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F2C" w:rsidRPr="00445F77" w:rsidRDefault="00C47C3B" w:rsidP="00BA3DC6">
      <w:pPr>
        <w:autoSpaceDE w:val="0"/>
        <w:autoSpaceDN w:val="0"/>
        <w:adjustRightInd w:val="0"/>
        <w:spacing w:after="0" w:line="240" w:lineRule="auto"/>
        <w:ind w:left="-142"/>
        <w:rPr>
          <w:rFonts w:ascii="Arial" w:hAnsi="Arial" w:cs="Arial"/>
          <w:color w:val="C00000"/>
          <w:sz w:val="24"/>
          <w:szCs w:val="24"/>
          <w:lang w:val="fr-FR" w:eastAsia="en-GB"/>
        </w:rPr>
      </w:pPr>
      <w:r w:rsidRPr="00C47C3B">
        <w:rPr>
          <w:rFonts w:ascii="Arial" w:hAnsi="Arial" w:cs="Arial"/>
          <w:noProof/>
          <w:sz w:val="24"/>
          <w:szCs w:val="24"/>
          <w:lang w:val="en-US" w:eastAsia="zh-TW"/>
        </w:rPr>
        <w:pict>
          <v:shapetype id="_x0000_t202" coordsize="21600,21600" o:spt="202" path="m,l,21600r21600,l21600,xe">
            <v:stroke joinstyle="miter"/>
            <v:path gradientshapeok="t" o:connecttype="rect"/>
          </v:shapetype>
          <v:shape id="_x0000_s1649" type="#_x0000_t202" style="position:absolute;left:0;text-align:left;margin-left:318.25pt;margin-top:28.05pt;width:127.8pt;height:128.1pt;z-index:251661824;mso-wrap-style:none;mso-width-percent:400;mso-height-percent:200;mso-width-percent:400;mso-height-percent:200;mso-width-relative:margin;mso-height-relative:margin" stroked="f">
            <v:textbox style="mso-fit-shape-to-text:t">
              <w:txbxContent>
                <w:p w:rsidR="00B4351F" w:rsidRDefault="00B4351F">
                  <w:r>
                    <w:rPr>
                      <w:noProof/>
                      <w:lang w:val="en-US"/>
                    </w:rPr>
                    <w:drawing>
                      <wp:inline distT="0" distB="0" distL="0" distR="0">
                        <wp:extent cx="1438275" cy="1381125"/>
                        <wp:effectExtent l="19050" t="0" r="9525" b="0"/>
                        <wp:docPr id="2" name="Picture 2" descr="M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D Logo"/>
                                <pic:cNvPicPr>
                                  <a:picLocks noChangeAspect="1" noChangeArrowheads="1"/>
                                </pic:cNvPicPr>
                              </pic:nvPicPr>
                              <pic:blipFill>
                                <a:blip r:embed="rId8"/>
                                <a:srcRect/>
                                <a:stretch>
                                  <a:fillRect/>
                                </a:stretch>
                              </pic:blipFill>
                              <pic:spPr bwMode="auto">
                                <a:xfrm>
                                  <a:off x="0" y="0"/>
                                  <a:ext cx="1438275" cy="1381125"/>
                                </a:xfrm>
                                <a:prstGeom prst="rect">
                                  <a:avLst/>
                                </a:prstGeom>
                                <a:noFill/>
                                <a:ln w="9525">
                                  <a:noFill/>
                                  <a:miter lim="800000"/>
                                  <a:headEnd/>
                                  <a:tailEnd/>
                                </a:ln>
                              </pic:spPr>
                            </pic:pic>
                          </a:graphicData>
                        </a:graphic>
                      </wp:inline>
                    </w:drawing>
                  </w:r>
                </w:p>
              </w:txbxContent>
            </v:textbox>
          </v:shape>
        </w:pict>
      </w:r>
    </w:p>
    <w:p w:rsidR="00351F2C" w:rsidRPr="00445F77" w:rsidRDefault="000D756D">
      <w:pPr>
        <w:rPr>
          <w:rFonts w:ascii="Arial" w:hAnsi="Arial" w:cs="Arial"/>
          <w:sz w:val="24"/>
          <w:szCs w:val="24"/>
          <w:lang w:val="fr-FR"/>
        </w:rPr>
      </w:pPr>
      <w:r>
        <w:rPr>
          <w:rFonts w:ascii="Arial" w:hAnsi="Arial" w:cs="Arial"/>
          <w:noProof/>
          <w:sz w:val="24"/>
          <w:szCs w:val="24"/>
          <w:lang w:val="en-US"/>
        </w:rPr>
        <w:drawing>
          <wp:inline distT="0" distB="0" distL="0" distR="0">
            <wp:extent cx="1714500" cy="733425"/>
            <wp:effectExtent l="19050" t="0" r="0" b="0"/>
            <wp:docPr id="1" name="Picture 1" descr="UN-RE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
                    <pic:cNvPicPr>
                      <a:picLocks noChangeAspect="1" noChangeArrowheads="1"/>
                    </pic:cNvPicPr>
                  </pic:nvPicPr>
                  <pic:blipFill>
                    <a:blip r:embed="rId9" cstate="print"/>
                    <a:srcRect/>
                    <a:stretch>
                      <a:fillRect/>
                    </a:stretch>
                  </pic:blipFill>
                  <pic:spPr bwMode="auto">
                    <a:xfrm>
                      <a:off x="0" y="0"/>
                      <a:ext cx="1714500" cy="733425"/>
                    </a:xfrm>
                    <a:prstGeom prst="rect">
                      <a:avLst/>
                    </a:prstGeom>
                    <a:noFill/>
                    <a:ln w="9525">
                      <a:noFill/>
                      <a:miter lim="800000"/>
                      <a:headEnd/>
                      <a:tailEnd/>
                    </a:ln>
                  </pic:spPr>
                </pic:pic>
              </a:graphicData>
            </a:graphic>
          </wp:inline>
        </w:drawing>
      </w:r>
    </w:p>
    <w:p w:rsidR="00351F2C" w:rsidRPr="00445F77" w:rsidRDefault="00351F2C">
      <w:pPr>
        <w:rPr>
          <w:rFonts w:ascii="Arial" w:hAnsi="Arial" w:cs="Arial"/>
          <w:sz w:val="24"/>
          <w:szCs w:val="24"/>
          <w:lang w:val="fr-FR"/>
        </w:rPr>
      </w:pPr>
    </w:p>
    <w:tbl>
      <w:tblPr>
        <w:tblpPr w:leftFromText="187" w:rightFromText="187" w:vertAnchor="page" w:horzAnchor="margin" w:tblpXSpec="right" w:tblpY="5446"/>
        <w:tblW w:w="2857"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5145"/>
      </w:tblGrid>
      <w:tr w:rsidR="00351F2C" w:rsidRPr="00445F77">
        <w:trPr>
          <w:trHeight w:val="1418"/>
        </w:trPr>
        <w:tc>
          <w:tcPr>
            <w:tcW w:w="0" w:type="auto"/>
            <w:tcBorders>
              <w:top w:val="nil"/>
              <w:left w:val="nil"/>
              <w:bottom w:val="nil"/>
              <w:right w:val="nil"/>
            </w:tcBorders>
            <w:shd w:val="clear" w:color="auto" w:fill="FFFFFF"/>
          </w:tcPr>
          <w:p w:rsidR="00351F2C" w:rsidRPr="00445F77" w:rsidRDefault="00351F2C" w:rsidP="00BE3A9B">
            <w:pPr>
              <w:pStyle w:val="NoSpacing"/>
              <w:tabs>
                <w:tab w:val="left" w:pos="2100"/>
              </w:tabs>
              <w:rPr>
                <w:rFonts w:ascii="Arial" w:hAnsi="Arial" w:cs="Arial"/>
                <w:b/>
                <w:bCs/>
                <w:color w:val="000000"/>
                <w:sz w:val="24"/>
                <w:szCs w:val="24"/>
              </w:rPr>
            </w:pPr>
            <w:r w:rsidRPr="00BE3A9B">
              <w:rPr>
                <w:rFonts w:ascii="Arial" w:hAnsi="Arial" w:cs="Arial"/>
                <w:b/>
                <w:bCs/>
                <w:color w:val="000000"/>
                <w:sz w:val="48"/>
                <w:szCs w:val="48"/>
              </w:rPr>
              <w:t>Design of a REDD-Compliant Benefit Distribution System for Viet Nam</w:t>
            </w:r>
            <w:r w:rsidRPr="00445F77">
              <w:rPr>
                <w:rFonts w:ascii="Arial" w:hAnsi="Arial" w:cs="Arial"/>
                <w:b/>
                <w:bCs/>
                <w:color w:val="000000"/>
                <w:sz w:val="24"/>
                <w:szCs w:val="24"/>
              </w:rPr>
              <w:t xml:space="preserve"> </w:t>
            </w:r>
          </w:p>
        </w:tc>
      </w:tr>
      <w:tr w:rsidR="00351F2C" w:rsidRPr="00445F77">
        <w:trPr>
          <w:trHeight w:val="390"/>
        </w:trPr>
        <w:tc>
          <w:tcPr>
            <w:tcW w:w="0" w:type="auto"/>
            <w:tcBorders>
              <w:left w:val="nil"/>
              <w:bottom w:val="nil"/>
              <w:right w:val="nil"/>
            </w:tcBorders>
            <w:shd w:val="clear" w:color="auto" w:fill="FFFFFF"/>
          </w:tcPr>
          <w:p w:rsidR="00351F2C" w:rsidRPr="00445F77" w:rsidRDefault="00351F2C" w:rsidP="003D6C74">
            <w:pPr>
              <w:pStyle w:val="NoSpacing"/>
              <w:rPr>
                <w:rFonts w:ascii="Arial" w:hAnsi="Arial" w:cs="Arial"/>
                <w:bCs/>
                <w:color w:val="0070C0"/>
                <w:sz w:val="24"/>
                <w:szCs w:val="24"/>
              </w:rPr>
            </w:pPr>
            <w:r w:rsidRPr="00445F77">
              <w:rPr>
                <w:rFonts w:ascii="Arial" w:hAnsi="Arial" w:cs="Arial"/>
                <w:bCs/>
                <w:color w:val="548DD4"/>
                <w:sz w:val="24"/>
                <w:szCs w:val="24"/>
              </w:rPr>
              <w:t>UN-REDD PROGRAMME</w:t>
            </w:r>
          </w:p>
        </w:tc>
      </w:tr>
      <w:tr w:rsidR="00351F2C" w:rsidRPr="00445F77">
        <w:trPr>
          <w:trHeight w:val="345"/>
        </w:trPr>
        <w:tc>
          <w:tcPr>
            <w:tcW w:w="0" w:type="auto"/>
            <w:tcBorders>
              <w:left w:val="nil"/>
              <w:bottom w:val="nil"/>
              <w:right w:val="nil"/>
            </w:tcBorders>
            <w:shd w:val="clear" w:color="auto" w:fill="FFFFFF"/>
          </w:tcPr>
          <w:p w:rsidR="00351F2C" w:rsidRPr="00445F77" w:rsidRDefault="000711A6" w:rsidP="000711A6">
            <w:pPr>
              <w:pStyle w:val="NoSpacing"/>
              <w:rPr>
                <w:rFonts w:ascii="Arial" w:hAnsi="Arial" w:cs="Arial"/>
                <w:bCs/>
                <w:color w:val="000000"/>
                <w:sz w:val="24"/>
                <w:szCs w:val="24"/>
              </w:rPr>
            </w:pPr>
            <w:r>
              <w:rPr>
                <w:rFonts w:ascii="Arial" w:hAnsi="Arial" w:cs="Arial"/>
                <w:bCs/>
                <w:color w:val="000000"/>
                <w:sz w:val="24"/>
                <w:szCs w:val="24"/>
              </w:rPr>
              <w:t>January</w:t>
            </w:r>
            <w:r w:rsidR="00351F2C" w:rsidRPr="00445F77">
              <w:rPr>
                <w:rFonts w:ascii="Arial" w:hAnsi="Arial" w:cs="Arial"/>
                <w:bCs/>
                <w:color w:val="000000"/>
                <w:sz w:val="24"/>
                <w:szCs w:val="24"/>
              </w:rPr>
              <w:t xml:space="preserve">, </w:t>
            </w:r>
            <w:r w:rsidRPr="00445F77">
              <w:rPr>
                <w:rFonts w:ascii="Arial" w:hAnsi="Arial" w:cs="Arial"/>
                <w:bCs/>
                <w:color w:val="000000"/>
                <w:sz w:val="24"/>
                <w:szCs w:val="24"/>
              </w:rPr>
              <w:t>20</w:t>
            </w:r>
            <w:r>
              <w:rPr>
                <w:rFonts w:ascii="Arial" w:hAnsi="Arial" w:cs="Arial"/>
                <w:bCs/>
                <w:color w:val="000000"/>
                <w:sz w:val="24"/>
                <w:szCs w:val="24"/>
              </w:rPr>
              <w:t>10</w:t>
            </w:r>
          </w:p>
        </w:tc>
      </w:tr>
    </w:tbl>
    <w:p w:rsidR="00351F2C" w:rsidRPr="00445F77" w:rsidRDefault="00C47C3B" w:rsidP="00E90339">
      <w:pPr>
        <w:rPr>
          <w:rFonts w:ascii="Arial" w:hAnsi="Arial" w:cs="Arial"/>
          <w:b/>
          <w:sz w:val="24"/>
          <w:szCs w:val="24"/>
        </w:rPr>
      </w:pPr>
      <w:r w:rsidRPr="00C47C3B">
        <w:rPr>
          <w:rFonts w:ascii="Arial" w:hAnsi="Arial" w:cs="Arial"/>
          <w:b/>
          <w:noProof/>
          <w:sz w:val="24"/>
          <w:szCs w:val="24"/>
          <w:lang w:eastAsia="zh-TW"/>
        </w:rPr>
        <w:pict>
          <v:shape id="_x0000_s1027" type="#_x0000_t202" style="position:absolute;margin-left:270.35pt;margin-top:440.5pt;width:175.7pt;height:139.65pt;z-index:251601408;mso-width-percent:400;mso-height-percent:200;mso-position-horizontal-relative:text;mso-position-vertical-relative:text;mso-width-percent:400;mso-height-percent:200;mso-width-relative:margin;mso-height-relative:margin" stroked="f">
            <v:textbox style="mso-next-textbox:#_x0000_s1027;mso-fit-shape-to-text:t">
              <w:txbxContent>
                <w:p w:rsidR="00B4351F" w:rsidRDefault="00B4351F">
                  <w:r>
                    <w:rPr>
                      <w:noProof/>
                      <w:lang w:val="en-US"/>
                    </w:rPr>
                    <w:drawing>
                      <wp:inline distT="0" distB="0" distL="0" distR="0">
                        <wp:extent cx="2028825" cy="1533525"/>
                        <wp:effectExtent l="19050" t="0" r="9525" b="0"/>
                        <wp:docPr id="18" name="Picture 10" descr="GTZ plus German Co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Z plus German Cooperation"/>
                                <pic:cNvPicPr>
                                  <a:picLocks noChangeAspect="1" noChangeArrowheads="1"/>
                                </pic:cNvPicPr>
                              </pic:nvPicPr>
                              <pic:blipFill>
                                <a:blip r:embed="rId10"/>
                                <a:srcRect/>
                                <a:stretch>
                                  <a:fillRect/>
                                </a:stretch>
                              </pic:blipFill>
                              <pic:spPr bwMode="auto">
                                <a:xfrm>
                                  <a:off x="0" y="0"/>
                                  <a:ext cx="2028825" cy="1533525"/>
                                </a:xfrm>
                                <a:prstGeom prst="rect">
                                  <a:avLst/>
                                </a:prstGeom>
                                <a:noFill/>
                                <a:ln w="9525">
                                  <a:noFill/>
                                  <a:miter lim="800000"/>
                                  <a:headEnd/>
                                  <a:tailEnd/>
                                </a:ln>
                              </pic:spPr>
                            </pic:pic>
                          </a:graphicData>
                        </a:graphic>
                      </wp:inline>
                    </w:drawing>
                  </w:r>
                </w:p>
              </w:txbxContent>
            </v:textbox>
          </v:shape>
        </w:pict>
      </w:r>
      <w:r w:rsidR="00351F2C" w:rsidRPr="00445F77">
        <w:rPr>
          <w:rFonts w:ascii="Arial" w:eastAsia="Times New Roman" w:hAnsi="Arial" w:cs="Arial"/>
          <w:caps/>
          <w:sz w:val="24"/>
          <w:szCs w:val="24"/>
          <w:lang w:val="en-US"/>
        </w:rPr>
        <w:br w:type="page"/>
      </w:r>
    </w:p>
    <w:p w:rsidR="00445F77" w:rsidRPr="00445F77" w:rsidRDefault="00470483" w:rsidP="002D0F33">
      <w:pPr>
        <w:pStyle w:val="TOCHeading"/>
      </w:pPr>
      <w:r>
        <w:lastRenderedPageBreak/>
        <w:t xml:space="preserve">Table of </w:t>
      </w:r>
      <w:r w:rsidR="00445F77" w:rsidRPr="00445F77">
        <w:t>Contents</w:t>
      </w:r>
    </w:p>
    <w:p w:rsidR="00F90425" w:rsidRDefault="00C47C3B" w:rsidP="00F90425">
      <w:pPr>
        <w:pStyle w:val="TOC1"/>
        <w:tabs>
          <w:tab w:val="right" w:leader="dot" w:pos="8778"/>
        </w:tabs>
        <w:ind w:left="900" w:hanging="900"/>
        <w:rPr>
          <w:rFonts w:eastAsia="Times New Roman"/>
          <w:b w:val="0"/>
          <w:bCs w:val="0"/>
          <w:caps w:val="0"/>
          <w:noProof/>
          <w:sz w:val="22"/>
          <w:szCs w:val="22"/>
          <w:lang w:val="en-US"/>
        </w:rPr>
      </w:pPr>
      <w:r w:rsidRPr="00C47C3B">
        <w:rPr>
          <w:rFonts w:ascii="Arial" w:hAnsi="Arial" w:cs="Arial"/>
          <w:sz w:val="24"/>
        </w:rPr>
        <w:fldChar w:fldCharType="begin"/>
      </w:r>
      <w:r w:rsidR="00445F77" w:rsidRPr="00445F77">
        <w:rPr>
          <w:rFonts w:ascii="Arial" w:hAnsi="Arial" w:cs="Arial"/>
          <w:sz w:val="24"/>
        </w:rPr>
        <w:instrText xml:space="preserve"> TOC \o "1-1" \h \z \t "Heading 2,2" </w:instrText>
      </w:r>
      <w:r w:rsidRPr="00C47C3B">
        <w:rPr>
          <w:rFonts w:ascii="Arial" w:hAnsi="Arial" w:cs="Arial"/>
          <w:sz w:val="24"/>
        </w:rPr>
        <w:fldChar w:fldCharType="separate"/>
      </w:r>
      <w:hyperlink w:anchor="_Toc252354720" w:history="1">
        <w:r w:rsidR="00F90425" w:rsidRPr="0076012E">
          <w:rPr>
            <w:rStyle w:val="Hyperlink"/>
            <w:noProof/>
          </w:rPr>
          <w:t>Executive Summary</w:t>
        </w:r>
        <w:r w:rsidR="00F90425">
          <w:rPr>
            <w:noProof/>
            <w:webHidden/>
          </w:rPr>
          <w:tab/>
        </w:r>
        <w:r>
          <w:rPr>
            <w:noProof/>
            <w:webHidden/>
          </w:rPr>
          <w:fldChar w:fldCharType="begin"/>
        </w:r>
        <w:r w:rsidR="00F90425">
          <w:rPr>
            <w:noProof/>
            <w:webHidden/>
          </w:rPr>
          <w:instrText xml:space="preserve"> PAGEREF _Toc252354720 \h </w:instrText>
        </w:r>
        <w:r>
          <w:rPr>
            <w:noProof/>
            <w:webHidden/>
          </w:rPr>
        </w:r>
        <w:r>
          <w:rPr>
            <w:noProof/>
            <w:webHidden/>
          </w:rPr>
          <w:fldChar w:fldCharType="separate"/>
        </w:r>
        <w:r w:rsidR="00B4351F">
          <w:rPr>
            <w:noProof/>
            <w:webHidden/>
          </w:rPr>
          <w:t>6</w:t>
        </w:r>
        <w:r>
          <w:rPr>
            <w:noProof/>
            <w:webHidden/>
          </w:rPr>
          <w:fldChar w:fldCharType="end"/>
        </w:r>
      </w:hyperlink>
    </w:p>
    <w:p w:rsidR="00F90425" w:rsidRDefault="00C47C3B" w:rsidP="00F90425">
      <w:pPr>
        <w:pStyle w:val="TOC1"/>
        <w:tabs>
          <w:tab w:val="right" w:leader="dot" w:pos="8778"/>
        </w:tabs>
        <w:ind w:left="900" w:hanging="900"/>
        <w:rPr>
          <w:rFonts w:eastAsia="Times New Roman"/>
          <w:b w:val="0"/>
          <w:bCs w:val="0"/>
          <w:caps w:val="0"/>
          <w:noProof/>
          <w:sz w:val="22"/>
          <w:szCs w:val="22"/>
          <w:lang w:val="en-US"/>
        </w:rPr>
      </w:pPr>
      <w:hyperlink w:anchor="_Toc252354721" w:history="1">
        <w:r w:rsidR="00F90425" w:rsidRPr="0076012E">
          <w:rPr>
            <w:rStyle w:val="Hyperlink"/>
            <w:noProof/>
          </w:rPr>
          <w:t>1. Background and Introduction</w:t>
        </w:r>
        <w:r w:rsidR="00F90425">
          <w:rPr>
            <w:noProof/>
            <w:webHidden/>
          </w:rPr>
          <w:tab/>
        </w:r>
        <w:r>
          <w:rPr>
            <w:noProof/>
            <w:webHidden/>
          </w:rPr>
          <w:fldChar w:fldCharType="begin"/>
        </w:r>
        <w:r w:rsidR="00F90425">
          <w:rPr>
            <w:noProof/>
            <w:webHidden/>
          </w:rPr>
          <w:instrText xml:space="preserve"> PAGEREF _Toc252354721 \h </w:instrText>
        </w:r>
        <w:r>
          <w:rPr>
            <w:noProof/>
            <w:webHidden/>
          </w:rPr>
        </w:r>
        <w:r>
          <w:rPr>
            <w:noProof/>
            <w:webHidden/>
          </w:rPr>
          <w:fldChar w:fldCharType="separate"/>
        </w:r>
        <w:r w:rsidR="00B4351F">
          <w:rPr>
            <w:noProof/>
            <w:webHidden/>
          </w:rPr>
          <w:t>22</w:t>
        </w:r>
        <w:r>
          <w:rPr>
            <w:noProof/>
            <w:webHidden/>
          </w:rPr>
          <w:fldChar w:fldCharType="end"/>
        </w:r>
      </w:hyperlink>
    </w:p>
    <w:p w:rsidR="00F90425" w:rsidRDefault="00C47C3B" w:rsidP="00F90425">
      <w:pPr>
        <w:pStyle w:val="TOC2"/>
        <w:tabs>
          <w:tab w:val="left" w:pos="880"/>
          <w:tab w:val="right" w:leader="dot" w:pos="8778"/>
        </w:tabs>
        <w:ind w:left="900" w:hanging="900"/>
        <w:rPr>
          <w:rFonts w:eastAsia="Times New Roman"/>
          <w:smallCaps w:val="0"/>
          <w:noProof/>
          <w:sz w:val="22"/>
          <w:szCs w:val="22"/>
          <w:lang w:val="en-US"/>
        </w:rPr>
      </w:pPr>
      <w:hyperlink w:anchor="_Toc252354722" w:history="1">
        <w:r w:rsidR="00F90425" w:rsidRPr="0076012E">
          <w:rPr>
            <w:rStyle w:val="Hyperlink"/>
            <w:rFonts w:ascii="Arial" w:hAnsi="Arial"/>
            <w:noProof/>
          </w:rPr>
          <w:t>1.1.</w:t>
        </w:r>
        <w:r w:rsidR="00F90425">
          <w:rPr>
            <w:rFonts w:eastAsia="Times New Roman"/>
            <w:smallCaps w:val="0"/>
            <w:noProof/>
            <w:sz w:val="22"/>
            <w:szCs w:val="22"/>
            <w:lang w:val="en-US"/>
          </w:rPr>
          <w:tab/>
        </w:r>
        <w:r w:rsidR="00F90425" w:rsidRPr="0076012E">
          <w:rPr>
            <w:rStyle w:val="Hyperlink"/>
            <w:rFonts w:ascii="Arial" w:hAnsi="Arial" w:cs="Arial"/>
            <w:noProof/>
          </w:rPr>
          <w:t>Background to REDD+, the UNFCCC Negotiation Process, and Implications for BDSs</w:t>
        </w:r>
        <w:r w:rsidR="00F90425">
          <w:rPr>
            <w:rStyle w:val="Hyperlink"/>
            <w:rFonts w:ascii="Arial" w:hAnsi="Arial" w:cs="Arial"/>
            <w:noProof/>
          </w:rPr>
          <w:t xml:space="preserve"> ..</w:t>
        </w:r>
        <w:r w:rsidR="00F90425">
          <w:rPr>
            <w:noProof/>
            <w:webHidden/>
          </w:rPr>
          <w:tab/>
        </w:r>
        <w:r>
          <w:rPr>
            <w:noProof/>
            <w:webHidden/>
          </w:rPr>
          <w:fldChar w:fldCharType="begin"/>
        </w:r>
        <w:r w:rsidR="00F90425">
          <w:rPr>
            <w:noProof/>
            <w:webHidden/>
          </w:rPr>
          <w:instrText xml:space="preserve"> PAGEREF _Toc252354722 \h </w:instrText>
        </w:r>
        <w:r>
          <w:rPr>
            <w:noProof/>
            <w:webHidden/>
          </w:rPr>
        </w:r>
        <w:r>
          <w:rPr>
            <w:noProof/>
            <w:webHidden/>
          </w:rPr>
          <w:fldChar w:fldCharType="separate"/>
        </w:r>
        <w:r w:rsidR="00B4351F">
          <w:rPr>
            <w:noProof/>
            <w:webHidden/>
          </w:rPr>
          <w:t>23</w:t>
        </w:r>
        <w:r>
          <w:rPr>
            <w:noProof/>
            <w:webHidden/>
          </w:rPr>
          <w:fldChar w:fldCharType="end"/>
        </w:r>
      </w:hyperlink>
    </w:p>
    <w:p w:rsidR="00F90425" w:rsidRDefault="00C47C3B" w:rsidP="00F90425">
      <w:pPr>
        <w:pStyle w:val="TOC2"/>
        <w:tabs>
          <w:tab w:val="left" w:pos="880"/>
          <w:tab w:val="right" w:leader="dot" w:pos="8778"/>
        </w:tabs>
        <w:ind w:left="900" w:hanging="900"/>
        <w:rPr>
          <w:rFonts w:eastAsia="Times New Roman"/>
          <w:smallCaps w:val="0"/>
          <w:noProof/>
          <w:sz w:val="22"/>
          <w:szCs w:val="22"/>
          <w:lang w:val="en-US"/>
        </w:rPr>
      </w:pPr>
      <w:hyperlink w:anchor="_Toc252354723" w:history="1">
        <w:r w:rsidR="00F90425" w:rsidRPr="0076012E">
          <w:rPr>
            <w:rStyle w:val="Hyperlink"/>
            <w:rFonts w:ascii="Arial" w:hAnsi="Arial"/>
            <w:noProof/>
          </w:rPr>
          <w:t>1.2.</w:t>
        </w:r>
        <w:r w:rsidR="00F90425">
          <w:rPr>
            <w:rFonts w:eastAsia="Times New Roman"/>
            <w:smallCaps w:val="0"/>
            <w:noProof/>
            <w:sz w:val="22"/>
            <w:szCs w:val="22"/>
            <w:lang w:val="en-US"/>
          </w:rPr>
          <w:tab/>
        </w:r>
        <w:r w:rsidR="00F90425" w:rsidRPr="0076012E">
          <w:rPr>
            <w:rStyle w:val="Hyperlink"/>
            <w:rFonts w:ascii="Arial" w:hAnsi="Arial" w:cs="Arial"/>
            <w:noProof/>
          </w:rPr>
          <w:t>REDD+ Implementation and Benefit Sharing</w:t>
        </w:r>
        <w:r w:rsidR="00F90425">
          <w:rPr>
            <w:noProof/>
            <w:webHidden/>
          </w:rPr>
          <w:tab/>
        </w:r>
        <w:r>
          <w:rPr>
            <w:noProof/>
            <w:webHidden/>
          </w:rPr>
          <w:fldChar w:fldCharType="begin"/>
        </w:r>
        <w:r w:rsidR="00F90425">
          <w:rPr>
            <w:noProof/>
            <w:webHidden/>
          </w:rPr>
          <w:instrText xml:space="preserve"> PAGEREF _Toc252354723 \h </w:instrText>
        </w:r>
        <w:r>
          <w:rPr>
            <w:noProof/>
            <w:webHidden/>
          </w:rPr>
        </w:r>
        <w:r>
          <w:rPr>
            <w:noProof/>
            <w:webHidden/>
          </w:rPr>
          <w:fldChar w:fldCharType="separate"/>
        </w:r>
        <w:r w:rsidR="00B4351F">
          <w:rPr>
            <w:noProof/>
            <w:webHidden/>
          </w:rPr>
          <w:t>26</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24" w:history="1">
        <w:r w:rsidR="00F90425" w:rsidRPr="0076012E">
          <w:rPr>
            <w:rStyle w:val="Hyperlink"/>
            <w:rFonts w:ascii="Arial" w:hAnsi="Arial" w:cs="Arial"/>
            <w:noProof/>
          </w:rPr>
          <w:t xml:space="preserve">1.3 </w:t>
        </w:r>
        <w:r w:rsidR="00942BB8">
          <w:rPr>
            <w:rStyle w:val="Hyperlink"/>
            <w:rFonts w:ascii="Arial" w:hAnsi="Arial" w:cs="Arial"/>
            <w:noProof/>
          </w:rPr>
          <w:t xml:space="preserve">             </w:t>
        </w:r>
        <w:r w:rsidR="00F90425" w:rsidRPr="0076012E">
          <w:rPr>
            <w:rStyle w:val="Hyperlink"/>
            <w:rFonts w:ascii="Arial" w:hAnsi="Arial" w:cs="Arial"/>
            <w:noProof/>
          </w:rPr>
          <w:t>Forests in Viet Nam</w:t>
        </w:r>
        <w:r w:rsidR="00F90425">
          <w:rPr>
            <w:noProof/>
            <w:webHidden/>
          </w:rPr>
          <w:tab/>
        </w:r>
        <w:r>
          <w:rPr>
            <w:noProof/>
            <w:webHidden/>
          </w:rPr>
          <w:fldChar w:fldCharType="begin"/>
        </w:r>
        <w:r w:rsidR="00F90425">
          <w:rPr>
            <w:noProof/>
            <w:webHidden/>
          </w:rPr>
          <w:instrText xml:space="preserve"> PAGEREF _Toc252354724 \h </w:instrText>
        </w:r>
        <w:r>
          <w:rPr>
            <w:noProof/>
            <w:webHidden/>
          </w:rPr>
        </w:r>
        <w:r>
          <w:rPr>
            <w:noProof/>
            <w:webHidden/>
          </w:rPr>
          <w:fldChar w:fldCharType="separate"/>
        </w:r>
        <w:r w:rsidR="00B4351F">
          <w:rPr>
            <w:noProof/>
            <w:webHidden/>
          </w:rPr>
          <w:t>30</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25" w:history="1">
        <w:r w:rsidR="00F90425" w:rsidRPr="0076012E">
          <w:rPr>
            <w:rStyle w:val="Hyperlink"/>
            <w:rFonts w:ascii="Arial" w:hAnsi="Arial" w:cs="Arial"/>
            <w:noProof/>
            <w:lang w:val="en-US"/>
          </w:rPr>
          <w:t>Agencies and institutions responsible for socio-economic development planning and forest management in Viet Nam</w:t>
        </w:r>
        <w:r w:rsidR="00F90425">
          <w:rPr>
            <w:noProof/>
            <w:webHidden/>
          </w:rPr>
          <w:tab/>
        </w:r>
        <w:r>
          <w:rPr>
            <w:noProof/>
            <w:webHidden/>
          </w:rPr>
          <w:fldChar w:fldCharType="begin"/>
        </w:r>
        <w:r w:rsidR="00F90425">
          <w:rPr>
            <w:noProof/>
            <w:webHidden/>
          </w:rPr>
          <w:instrText xml:space="preserve"> PAGEREF _Toc252354725 \h </w:instrText>
        </w:r>
        <w:r>
          <w:rPr>
            <w:noProof/>
            <w:webHidden/>
          </w:rPr>
        </w:r>
        <w:r>
          <w:rPr>
            <w:noProof/>
            <w:webHidden/>
          </w:rPr>
          <w:fldChar w:fldCharType="separate"/>
        </w:r>
        <w:r w:rsidR="00B4351F">
          <w:rPr>
            <w:noProof/>
            <w:webHidden/>
          </w:rPr>
          <w:t>31</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26" w:history="1">
        <w:r w:rsidR="00F90425" w:rsidRPr="0076012E">
          <w:rPr>
            <w:rStyle w:val="Hyperlink"/>
            <w:rFonts w:ascii="Arial" w:hAnsi="Arial" w:cs="Arial"/>
            <w:noProof/>
          </w:rPr>
          <w:t>1.4</w:t>
        </w:r>
        <w:r w:rsidR="00942BB8">
          <w:rPr>
            <w:rStyle w:val="Hyperlink"/>
            <w:rFonts w:ascii="Arial" w:hAnsi="Arial" w:cs="Arial"/>
            <w:noProof/>
          </w:rPr>
          <w:t xml:space="preserve">            </w:t>
        </w:r>
        <w:r w:rsidR="00F90425" w:rsidRPr="0076012E">
          <w:rPr>
            <w:rStyle w:val="Hyperlink"/>
            <w:rFonts w:ascii="Arial" w:hAnsi="Arial" w:cs="Arial"/>
            <w:noProof/>
          </w:rPr>
          <w:t xml:space="preserve"> Conclusion</w:t>
        </w:r>
        <w:r w:rsidR="00F90425">
          <w:rPr>
            <w:noProof/>
            <w:webHidden/>
          </w:rPr>
          <w:tab/>
        </w:r>
        <w:r>
          <w:rPr>
            <w:noProof/>
            <w:webHidden/>
          </w:rPr>
          <w:fldChar w:fldCharType="begin"/>
        </w:r>
        <w:r w:rsidR="00F90425">
          <w:rPr>
            <w:noProof/>
            <w:webHidden/>
          </w:rPr>
          <w:instrText xml:space="preserve"> PAGEREF _Toc252354726 \h </w:instrText>
        </w:r>
        <w:r>
          <w:rPr>
            <w:noProof/>
            <w:webHidden/>
          </w:rPr>
        </w:r>
        <w:r>
          <w:rPr>
            <w:noProof/>
            <w:webHidden/>
          </w:rPr>
          <w:fldChar w:fldCharType="separate"/>
        </w:r>
        <w:r w:rsidR="00B4351F">
          <w:rPr>
            <w:noProof/>
            <w:webHidden/>
          </w:rPr>
          <w:t>36</w:t>
        </w:r>
        <w:r>
          <w:rPr>
            <w:noProof/>
            <w:webHidden/>
          </w:rPr>
          <w:fldChar w:fldCharType="end"/>
        </w:r>
      </w:hyperlink>
    </w:p>
    <w:p w:rsidR="00F90425" w:rsidRDefault="00C47C3B" w:rsidP="00F90425">
      <w:pPr>
        <w:pStyle w:val="TOC1"/>
        <w:tabs>
          <w:tab w:val="right" w:leader="dot" w:pos="8778"/>
        </w:tabs>
        <w:ind w:left="900" w:hanging="900"/>
        <w:rPr>
          <w:rFonts w:eastAsia="Times New Roman"/>
          <w:b w:val="0"/>
          <w:bCs w:val="0"/>
          <w:caps w:val="0"/>
          <w:noProof/>
          <w:sz w:val="22"/>
          <w:szCs w:val="22"/>
          <w:lang w:val="en-US"/>
        </w:rPr>
      </w:pPr>
      <w:hyperlink w:anchor="_Toc252354727" w:history="1">
        <w:r w:rsidR="00F90425" w:rsidRPr="0076012E">
          <w:rPr>
            <w:rStyle w:val="Hyperlink"/>
            <w:noProof/>
          </w:rPr>
          <w:t>2. Lessons and Experiences from Existing Initiatives in Viet Nam</w:t>
        </w:r>
        <w:r w:rsidR="00F90425">
          <w:rPr>
            <w:noProof/>
            <w:webHidden/>
          </w:rPr>
          <w:tab/>
        </w:r>
        <w:r>
          <w:rPr>
            <w:noProof/>
            <w:webHidden/>
          </w:rPr>
          <w:fldChar w:fldCharType="begin"/>
        </w:r>
        <w:r w:rsidR="00F90425">
          <w:rPr>
            <w:noProof/>
            <w:webHidden/>
          </w:rPr>
          <w:instrText xml:space="preserve"> PAGEREF _Toc252354727 \h </w:instrText>
        </w:r>
        <w:r>
          <w:rPr>
            <w:noProof/>
            <w:webHidden/>
          </w:rPr>
        </w:r>
        <w:r>
          <w:rPr>
            <w:noProof/>
            <w:webHidden/>
          </w:rPr>
          <w:fldChar w:fldCharType="separate"/>
        </w:r>
        <w:r w:rsidR="00B4351F">
          <w:rPr>
            <w:noProof/>
            <w:webHidden/>
          </w:rPr>
          <w:t>38</w:t>
        </w:r>
        <w:r>
          <w:rPr>
            <w:noProof/>
            <w:webHidden/>
          </w:rPr>
          <w:fldChar w:fldCharType="end"/>
        </w:r>
      </w:hyperlink>
    </w:p>
    <w:p w:rsidR="00F90425" w:rsidRDefault="00C47C3B" w:rsidP="00F90425">
      <w:pPr>
        <w:pStyle w:val="TOC1"/>
        <w:tabs>
          <w:tab w:val="right" w:leader="dot" w:pos="8778"/>
        </w:tabs>
        <w:ind w:left="900" w:hanging="900"/>
        <w:rPr>
          <w:rFonts w:eastAsia="Times New Roman"/>
          <w:b w:val="0"/>
          <w:bCs w:val="0"/>
          <w:caps w:val="0"/>
          <w:noProof/>
          <w:sz w:val="22"/>
          <w:szCs w:val="22"/>
          <w:lang w:val="en-US"/>
        </w:rPr>
      </w:pPr>
      <w:hyperlink w:anchor="_Toc252354728" w:history="1">
        <w:r w:rsidR="00F90425" w:rsidRPr="0076012E">
          <w:rPr>
            <w:rStyle w:val="Hyperlink"/>
            <w:noProof/>
          </w:rPr>
          <w:t>3: Legal Framework</w:t>
        </w:r>
        <w:r w:rsidR="00F90425">
          <w:rPr>
            <w:noProof/>
            <w:webHidden/>
          </w:rPr>
          <w:tab/>
        </w:r>
        <w:r>
          <w:rPr>
            <w:noProof/>
            <w:webHidden/>
          </w:rPr>
          <w:fldChar w:fldCharType="begin"/>
        </w:r>
        <w:r w:rsidR="00F90425">
          <w:rPr>
            <w:noProof/>
            <w:webHidden/>
          </w:rPr>
          <w:instrText xml:space="preserve"> PAGEREF _Toc252354728 \h </w:instrText>
        </w:r>
        <w:r>
          <w:rPr>
            <w:noProof/>
            <w:webHidden/>
          </w:rPr>
        </w:r>
        <w:r>
          <w:rPr>
            <w:noProof/>
            <w:webHidden/>
          </w:rPr>
          <w:fldChar w:fldCharType="separate"/>
        </w:r>
        <w:r w:rsidR="00B4351F">
          <w:rPr>
            <w:noProof/>
            <w:webHidden/>
          </w:rPr>
          <w:t>69</w:t>
        </w:r>
        <w:r>
          <w:rPr>
            <w:noProof/>
            <w:webHidden/>
          </w:rPr>
          <w:fldChar w:fldCharType="end"/>
        </w:r>
      </w:hyperlink>
    </w:p>
    <w:p w:rsidR="00F90425" w:rsidRDefault="00C47C3B" w:rsidP="00F90425">
      <w:pPr>
        <w:pStyle w:val="TOC2"/>
        <w:tabs>
          <w:tab w:val="left" w:pos="880"/>
          <w:tab w:val="right" w:leader="dot" w:pos="8778"/>
        </w:tabs>
        <w:ind w:left="900" w:hanging="900"/>
        <w:rPr>
          <w:rFonts w:eastAsia="Times New Roman"/>
          <w:smallCaps w:val="0"/>
          <w:noProof/>
          <w:sz w:val="22"/>
          <w:szCs w:val="22"/>
          <w:lang w:val="en-US"/>
        </w:rPr>
      </w:pPr>
      <w:hyperlink w:anchor="_Toc252354729" w:history="1">
        <w:r w:rsidR="00F90425" w:rsidRPr="0076012E">
          <w:rPr>
            <w:rStyle w:val="Hyperlink"/>
            <w:rFonts w:ascii="Arial" w:hAnsi="Arial" w:cs="Arial"/>
            <w:noProof/>
          </w:rPr>
          <w:t>3.1</w:t>
        </w:r>
        <w:r w:rsidR="00F90425">
          <w:rPr>
            <w:rFonts w:eastAsia="Times New Roman"/>
            <w:smallCaps w:val="0"/>
            <w:noProof/>
            <w:sz w:val="22"/>
            <w:szCs w:val="22"/>
            <w:lang w:val="en-US"/>
          </w:rPr>
          <w:tab/>
        </w:r>
        <w:r w:rsidR="00F90425" w:rsidRPr="0076012E">
          <w:rPr>
            <w:rStyle w:val="Hyperlink"/>
            <w:rFonts w:ascii="Arial" w:hAnsi="Arial" w:cs="Arial"/>
            <w:noProof/>
          </w:rPr>
          <w:t>A comprehensive REDD+ BDS legal framework</w:t>
        </w:r>
        <w:r w:rsidR="00F90425">
          <w:rPr>
            <w:noProof/>
            <w:webHidden/>
          </w:rPr>
          <w:tab/>
        </w:r>
        <w:r>
          <w:rPr>
            <w:noProof/>
            <w:webHidden/>
          </w:rPr>
          <w:fldChar w:fldCharType="begin"/>
        </w:r>
        <w:r w:rsidR="00F90425">
          <w:rPr>
            <w:noProof/>
            <w:webHidden/>
          </w:rPr>
          <w:instrText xml:space="preserve"> PAGEREF _Toc252354729 \h </w:instrText>
        </w:r>
        <w:r>
          <w:rPr>
            <w:noProof/>
            <w:webHidden/>
          </w:rPr>
        </w:r>
        <w:r>
          <w:rPr>
            <w:noProof/>
            <w:webHidden/>
          </w:rPr>
          <w:fldChar w:fldCharType="separate"/>
        </w:r>
        <w:r w:rsidR="00B4351F">
          <w:rPr>
            <w:noProof/>
            <w:webHidden/>
          </w:rPr>
          <w:t>69</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30" w:history="1">
        <w:r w:rsidR="00F90425" w:rsidRPr="0076012E">
          <w:rPr>
            <w:rStyle w:val="Hyperlink"/>
            <w:rFonts w:ascii="Arial" w:hAnsi="Arial" w:cs="Arial"/>
            <w:noProof/>
          </w:rPr>
          <w:t>3.2</w:t>
        </w:r>
        <w:r w:rsidR="00942BB8">
          <w:rPr>
            <w:rStyle w:val="Hyperlink"/>
            <w:rFonts w:ascii="Arial" w:hAnsi="Arial" w:cs="Arial"/>
            <w:noProof/>
          </w:rPr>
          <w:t xml:space="preserve">             </w:t>
        </w:r>
        <w:r w:rsidR="00F90425" w:rsidRPr="0076012E">
          <w:rPr>
            <w:rStyle w:val="Hyperlink"/>
            <w:rFonts w:ascii="Arial" w:hAnsi="Arial" w:cs="Arial"/>
            <w:noProof/>
          </w:rPr>
          <w:t xml:space="preserve"> A brief review of the key legal issues to be addressed in establishing the basis for equitable, effective and efficient entitlement to REDD+ benefits distribution in Viet Nam</w:t>
        </w:r>
        <w:r w:rsidR="00F90425">
          <w:rPr>
            <w:noProof/>
            <w:webHidden/>
          </w:rPr>
          <w:tab/>
        </w:r>
        <w:r>
          <w:rPr>
            <w:noProof/>
            <w:webHidden/>
          </w:rPr>
          <w:fldChar w:fldCharType="begin"/>
        </w:r>
        <w:r w:rsidR="00F90425">
          <w:rPr>
            <w:noProof/>
            <w:webHidden/>
          </w:rPr>
          <w:instrText xml:space="preserve"> PAGEREF _Toc252354730 \h </w:instrText>
        </w:r>
        <w:r>
          <w:rPr>
            <w:noProof/>
            <w:webHidden/>
          </w:rPr>
        </w:r>
        <w:r>
          <w:rPr>
            <w:noProof/>
            <w:webHidden/>
          </w:rPr>
          <w:fldChar w:fldCharType="separate"/>
        </w:r>
        <w:r w:rsidR="00B4351F">
          <w:rPr>
            <w:noProof/>
            <w:webHidden/>
          </w:rPr>
          <w:t>72</w:t>
        </w:r>
        <w:r>
          <w:rPr>
            <w:noProof/>
            <w:webHidden/>
          </w:rPr>
          <w:fldChar w:fldCharType="end"/>
        </w:r>
      </w:hyperlink>
    </w:p>
    <w:p w:rsidR="00F90425" w:rsidRDefault="00C47C3B" w:rsidP="00F90425">
      <w:pPr>
        <w:pStyle w:val="TOC2"/>
        <w:tabs>
          <w:tab w:val="left" w:pos="880"/>
          <w:tab w:val="right" w:leader="dot" w:pos="8778"/>
        </w:tabs>
        <w:ind w:left="900" w:hanging="900"/>
        <w:rPr>
          <w:rFonts w:eastAsia="Times New Roman"/>
          <w:smallCaps w:val="0"/>
          <w:noProof/>
          <w:sz w:val="22"/>
          <w:szCs w:val="22"/>
          <w:lang w:val="en-US"/>
        </w:rPr>
      </w:pPr>
      <w:hyperlink w:anchor="_Toc252354731" w:history="1">
        <w:r w:rsidR="00F90425" w:rsidRPr="0076012E">
          <w:rPr>
            <w:rStyle w:val="Hyperlink"/>
            <w:rFonts w:ascii="Arial" w:hAnsi="Arial" w:cs="Arial"/>
            <w:noProof/>
          </w:rPr>
          <w:t>3.3</w:t>
        </w:r>
        <w:r w:rsidR="00F90425">
          <w:rPr>
            <w:rFonts w:eastAsia="Times New Roman"/>
            <w:smallCaps w:val="0"/>
            <w:noProof/>
            <w:sz w:val="22"/>
            <w:szCs w:val="22"/>
            <w:lang w:val="en-US"/>
          </w:rPr>
          <w:tab/>
        </w:r>
        <w:r w:rsidR="00F90425" w:rsidRPr="0076012E">
          <w:rPr>
            <w:rStyle w:val="Hyperlink"/>
            <w:rFonts w:ascii="Arial" w:hAnsi="Arial" w:cs="Arial"/>
            <w:noProof/>
          </w:rPr>
          <w:t>Options and Recommendations for a Legal Framework covering REDD+ in Viet Nam</w:t>
        </w:r>
        <w:r w:rsidR="00F90425">
          <w:rPr>
            <w:noProof/>
            <w:webHidden/>
          </w:rPr>
          <w:tab/>
        </w:r>
        <w:r>
          <w:rPr>
            <w:noProof/>
            <w:webHidden/>
          </w:rPr>
          <w:fldChar w:fldCharType="begin"/>
        </w:r>
        <w:r w:rsidR="00F90425">
          <w:rPr>
            <w:noProof/>
            <w:webHidden/>
          </w:rPr>
          <w:instrText xml:space="preserve"> PAGEREF _Toc252354731 \h </w:instrText>
        </w:r>
        <w:r>
          <w:rPr>
            <w:noProof/>
            <w:webHidden/>
          </w:rPr>
        </w:r>
        <w:r>
          <w:rPr>
            <w:noProof/>
            <w:webHidden/>
          </w:rPr>
          <w:fldChar w:fldCharType="separate"/>
        </w:r>
        <w:r w:rsidR="00B4351F">
          <w:rPr>
            <w:noProof/>
            <w:webHidden/>
          </w:rPr>
          <w:t>76</w:t>
        </w:r>
        <w:r>
          <w:rPr>
            <w:noProof/>
            <w:webHidden/>
          </w:rPr>
          <w:fldChar w:fldCharType="end"/>
        </w:r>
      </w:hyperlink>
    </w:p>
    <w:p w:rsidR="00F90425" w:rsidRDefault="00C47C3B" w:rsidP="00F90425">
      <w:pPr>
        <w:pStyle w:val="TOC1"/>
        <w:tabs>
          <w:tab w:val="right" w:leader="dot" w:pos="8778"/>
        </w:tabs>
        <w:ind w:left="900" w:hanging="900"/>
        <w:rPr>
          <w:rFonts w:eastAsia="Times New Roman"/>
          <w:b w:val="0"/>
          <w:bCs w:val="0"/>
          <w:caps w:val="0"/>
          <w:noProof/>
          <w:sz w:val="22"/>
          <w:szCs w:val="22"/>
          <w:lang w:val="en-US"/>
        </w:rPr>
      </w:pPr>
      <w:hyperlink w:anchor="_Toc252354732" w:history="1">
        <w:r w:rsidR="00F90425" w:rsidRPr="0076012E">
          <w:rPr>
            <w:rStyle w:val="Hyperlink"/>
            <w:noProof/>
            <w:lang w:val="en-US"/>
          </w:rPr>
          <w:t>4: Institutional Framework</w:t>
        </w:r>
        <w:r w:rsidR="00F90425" w:rsidRPr="0076012E">
          <w:rPr>
            <w:rStyle w:val="Hyperlink"/>
            <w:noProof/>
          </w:rPr>
          <w:t xml:space="preserve"> for National-Level Finance</w:t>
        </w:r>
        <w:r w:rsidR="00F90425">
          <w:rPr>
            <w:noProof/>
            <w:webHidden/>
          </w:rPr>
          <w:tab/>
        </w:r>
        <w:r>
          <w:rPr>
            <w:noProof/>
            <w:webHidden/>
          </w:rPr>
          <w:fldChar w:fldCharType="begin"/>
        </w:r>
        <w:r w:rsidR="00F90425">
          <w:rPr>
            <w:noProof/>
            <w:webHidden/>
          </w:rPr>
          <w:instrText xml:space="preserve"> PAGEREF _Toc252354732 \h </w:instrText>
        </w:r>
        <w:r>
          <w:rPr>
            <w:noProof/>
            <w:webHidden/>
          </w:rPr>
        </w:r>
        <w:r>
          <w:rPr>
            <w:noProof/>
            <w:webHidden/>
          </w:rPr>
          <w:fldChar w:fldCharType="separate"/>
        </w:r>
        <w:r w:rsidR="00B4351F">
          <w:rPr>
            <w:noProof/>
            <w:webHidden/>
          </w:rPr>
          <w:t>85</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33" w:history="1">
        <w:r w:rsidR="00F90425" w:rsidRPr="0076012E">
          <w:rPr>
            <w:rStyle w:val="Hyperlink"/>
            <w:rFonts w:ascii="Arial" w:hAnsi="Arial" w:cs="Arial"/>
            <w:noProof/>
            <w:lang w:val="en-US"/>
          </w:rPr>
          <w:t xml:space="preserve">4.1 </w:t>
        </w:r>
        <w:r w:rsidR="00942BB8">
          <w:rPr>
            <w:rStyle w:val="Hyperlink"/>
            <w:rFonts w:ascii="Arial" w:hAnsi="Arial" w:cs="Arial"/>
            <w:noProof/>
            <w:lang w:val="en-US"/>
          </w:rPr>
          <w:t xml:space="preserve">           </w:t>
        </w:r>
        <w:r w:rsidR="00F90425" w:rsidRPr="0076012E">
          <w:rPr>
            <w:rStyle w:val="Hyperlink"/>
            <w:rFonts w:ascii="Arial" w:hAnsi="Arial" w:cs="Arial"/>
            <w:noProof/>
            <w:lang w:val="en-US"/>
          </w:rPr>
          <w:t>National-level finance mechanisms in Viet Nam’s forestry sector</w:t>
        </w:r>
        <w:r w:rsidR="00F90425">
          <w:rPr>
            <w:noProof/>
            <w:webHidden/>
          </w:rPr>
          <w:tab/>
        </w:r>
        <w:r>
          <w:rPr>
            <w:noProof/>
            <w:webHidden/>
          </w:rPr>
          <w:fldChar w:fldCharType="begin"/>
        </w:r>
        <w:r w:rsidR="00F90425">
          <w:rPr>
            <w:noProof/>
            <w:webHidden/>
          </w:rPr>
          <w:instrText xml:space="preserve"> PAGEREF _Toc252354733 \h </w:instrText>
        </w:r>
        <w:r>
          <w:rPr>
            <w:noProof/>
            <w:webHidden/>
          </w:rPr>
        </w:r>
        <w:r>
          <w:rPr>
            <w:noProof/>
            <w:webHidden/>
          </w:rPr>
          <w:fldChar w:fldCharType="separate"/>
        </w:r>
        <w:r w:rsidR="00B4351F">
          <w:rPr>
            <w:noProof/>
            <w:webHidden/>
          </w:rPr>
          <w:t>85</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34" w:history="1">
        <w:r w:rsidR="00F90425" w:rsidRPr="0076012E">
          <w:rPr>
            <w:rStyle w:val="Hyperlink"/>
            <w:rFonts w:ascii="Arial" w:hAnsi="Arial" w:cs="Arial"/>
            <w:noProof/>
            <w:lang w:val="en-US"/>
          </w:rPr>
          <w:t xml:space="preserve">4.2 </w:t>
        </w:r>
        <w:r w:rsidR="00942BB8">
          <w:rPr>
            <w:rStyle w:val="Hyperlink"/>
            <w:rFonts w:ascii="Arial" w:hAnsi="Arial" w:cs="Arial"/>
            <w:noProof/>
            <w:lang w:val="en-US"/>
          </w:rPr>
          <w:t xml:space="preserve">           </w:t>
        </w:r>
        <w:r w:rsidR="00F90425" w:rsidRPr="0076012E">
          <w:rPr>
            <w:rStyle w:val="Hyperlink"/>
            <w:rFonts w:ascii="Arial" w:hAnsi="Arial" w:cs="Arial"/>
            <w:noProof/>
            <w:lang w:val="en-US"/>
          </w:rPr>
          <w:t>National-level finance mechanisms for ecosystem services: international experiences</w:t>
        </w:r>
        <w:r w:rsidR="00F90425">
          <w:rPr>
            <w:noProof/>
            <w:webHidden/>
          </w:rPr>
          <w:tab/>
        </w:r>
        <w:r>
          <w:rPr>
            <w:noProof/>
            <w:webHidden/>
          </w:rPr>
          <w:fldChar w:fldCharType="begin"/>
        </w:r>
        <w:r w:rsidR="00F90425">
          <w:rPr>
            <w:noProof/>
            <w:webHidden/>
          </w:rPr>
          <w:instrText xml:space="preserve"> PAGEREF _Toc252354734 \h </w:instrText>
        </w:r>
        <w:r>
          <w:rPr>
            <w:noProof/>
            <w:webHidden/>
          </w:rPr>
        </w:r>
        <w:r>
          <w:rPr>
            <w:noProof/>
            <w:webHidden/>
          </w:rPr>
          <w:fldChar w:fldCharType="separate"/>
        </w:r>
        <w:r w:rsidR="00B4351F">
          <w:rPr>
            <w:noProof/>
            <w:webHidden/>
          </w:rPr>
          <w:t>88</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35" w:history="1">
        <w:r w:rsidR="00F90425" w:rsidRPr="0076012E">
          <w:rPr>
            <w:rStyle w:val="Hyperlink"/>
            <w:rFonts w:ascii="Arial" w:hAnsi="Arial" w:cs="Arial"/>
            <w:noProof/>
            <w:lang w:val="en-US"/>
          </w:rPr>
          <w:t xml:space="preserve">4.3 </w:t>
        </w:r>
        <w:r w:rsidR="00942BB8">
          <w:rPr>
            <w:rStyle w:val="Hyperlink"/>
            <w:rFonts w:ascii="Arial" w:hAnsi="Arial" w:cs="Arial"/>
            <w:noProof/>
            <w:lang w:val="en-US"/>
          </w:rPr>
          <w:t xml:space="preserve">          </w:t>
        </w:r>
        <w:r w:rsidR="00F90425" w:rsidRPr="0076012E">
          <w:rPr>
            <w:rStyle w:val="Hyperlink"/>
            <w:rFonts w:ascii="Arial" w:hAnsi="Arial" w:cs="Arial"/>
            <w:noProof/>
            <w:lang w:val="en-US"/>
          </w:rPr>
          <w:t>Key issues and recommendations</w:t>
        </w:r>
        <w:r w:rsidR="00F90425">
          <w:rPr>
            <w:noProof/>
            <w:webHidden/>
          </w:rPr>
          <w:tab/>
        </w:r>
        <w:r>
          <w:rPr>
            <w:noProof/>
            <w:webHidden/>
          </w:rPr>
          <w:fldChar w:fldCharType="begin"/>
        </w:r>
        <w:r w:rsidR="00F90425">
          <w:rPr>
            <w:noProof/>
            <w:webHidden/>
          </w:rPr>
          <w:instrText xml:space="preserve"> PAGEREF _Toc252354735 \h </w:instrText>
        </w:r>
        <w:r>
          <w:rPr>
            <w:noProof/>
            <w:webHidden/>
          </w:rPr>
        </w:r>
        <w:r>
          <w:rPr>
            <w:noProof/>
            <w:webHidden/>
          </w:rPr>
          <w:fldChar w:fldCharType="separate"/>
        </w:r>
        <w:r w:rsidR="00B4351F">
          <w:rPr>
            <w:noProof/>
            <w:webHidden/>
          </w:rPr>
          <w:t>91</w:t>
        </w:r>
        <w:r>
          <w:rPr>
            <w:noProof/>
            <w:webHidden/>
          </w:rPr>
          <w:fldChar w:fldCharType="end"/>
        </w:r>
      </w:hyperlink>
    </w:p>
    <w:p w:rsidR="00F90425" w:rsidRDefault="00C47C3B" w:rsidP="00F90425">
      <w:pPr>
        <w:pStyle w:val="TOC1"/>
        <w:tabs>
          <w:tab w:val="right" w:leader="dot" w:pos="8778"/>
        </w:tabs>
        <w:ind w:left="900" w:hanging="900"/>
        <w:rPr>
          <w:rFonts w:eastAsia="Times New Roman"/>
          <w:b w:val="0"/>
          <w:bCs w:val="0"/>
          <w:caps w:val="0"/>
          <w:noProof/>
          <w:sz w:val="22"/>
          <w:szCs w:val="22"/>
          <w:lang w:val="en-US"/>
        </w:rPr>
      </w:pPr>
      <w:hyperlink w:anchor="_Toc252354736" w:history="1">
        <w:r w:rsidR="00F90425" w:rsidRPr="0076012E">
          <w:rPr>
            <w:rStyle w:val="Hyperlink"/>
            <w:noProof/>
          </w:rPr>
          <w:t>5: Costs and Retained Revenues</w:t>
        </w:r>
        <w:r w:rsidR="00F90425">
          <w:rPr>
            <w:noProof/>
            <w:webHidden/>
          </w:rPr>
          <w:tab/>
        </w:r>
        <w:r>
          <w:rPr>
            <w:noProof/>
            <w:webHidden/>
          </w:rPr>
          <w:fldChar w:fldCharType="begin"/>
        </w:r>
        <w:r w:rsidR="00F90425">
          <w:rPr>
            <w:noProof/>
            <w:webHidden/>
          </w:rPr>
          <w:instrText xml:space="preserve"> PAGEREF _Toc252354736 \h </w:instrText>
        </w:r>
        <w:r>
          <w:rPr>
            <w:noProof/>
            <w:webHidden/>
          </w:rPr>
        </w:r>
        <w:r>
          <w:rPr>
            <w:noProof/>
            <w:webHidden/>
          </w:rPr>
          <w:fldChar w:fldCharType="separate"/>
        </w:r>
        <w:r w:rsidR="00B4351F">
          <w:rPr>
            <w:noProof/>
            <w:webHidden/>
          </w:rPr>
          <w:t>99</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37" w:history="1">
        <w:r w:rsidR="00F90425" w:rsidRPr="0076012E">
          <w:rPr>
            <w:rStyle w:val="Hyperlink"/>
            <w:rFonts w:ascii="Arial" w:hAnsi="Arial" w:cs="Arial"/>
            <w:noProof/>
          </w:rPr>
          <w:t xml:space="preserve">5.1 </w:t>
        </w:r>
        <w:r w:rsidR="00942BB8">
          <w:rPr>
            <w:rStyle w:val="Hyperlink"/>
            <w:rFonts w:ascii="Arial" w:hAnsi="Arial" w:cs="Arial"/>
            <w:noProof/>
          </w:rPr>
          <w:t xml:space="preserve">             </w:t>
        </w:r>
        <w:r w:rsidR="00F90425" w:rsidRPr="0076012E">
          <w:rPr>
            <w:rStyle w:val="Hyperlink"/>
            <w:rFonts w:ascii="Arial" w:hAnsi="Arial" w:cs="Arial"/>
            <w:noProof/>
          </w:rPr>
          <w:t>Analysis of potential REDD+ revenue flows to Viet Nam</w:t>
        </w:r>
        <w:r w:rsidR="00F90425">
          <w:rPr>
            <w:noProof/>
            <w:webHidden/>
          </w:rPr>
          <w:tab/>
        </w:r>
        <w:r>
          <w:rPr>
            <w:noProof/>
            <w:webHidden/>
          </w:rPr>
          <w:fldChar w:fldCharType="begin"/>
        </w:r>
        <w:r w:rsidR="00F90425">
          <w:rPr>
            <w:noProof/>
            <w:webHidden/>
          </w:rPr>
          <w:instrText xml:space="preserve"> PAGEREF _Toc252354737 \h </w:instrText>
        </w:r>
        <w:r>
          <w:rPr>
            <w:noProof/>
            <w:webHidden/>
          </w:rPr>
        </w:r>
        <w:r>
          <w:rPr>
            <w:noProof/>
            <w:webHidden/>
          </w:rPr>
          <w:fldChar w:fldCharType="separate"/>
        </w:r>
        <w:r w:rsidR="00B4351F">
          <w:rPr>
            <w:noProof/>
            <w:webHidden/>
          </w:rPr>
          <w:t>100</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38" w:history="1">
        <w:r w:rsidR="00F90425" w:rsidRPr="0076012E">
          <w:rPr>
            <w:rStyle w:val="Hyperlink"/>
            <w:rFonts w:ascii="Arial" w:hAnsi="Arial" w:cs="Arial"/>
            <w:noProof/>
          </w:rPr>
          <w:t xml:space="preserve">5.2 </w:t>
        </w:r>
        <w:r w:rsidR="00942BB8">
          <w:rPr>
            <w:rStyle w:val="Hyperlink"/>
            <w:rFonts w:ascii="Arial" w:hAnsi="Arial" w:cs="Arial"/>
            <w:noProof/>
          </w:rPr>
          <w:t xml:space="preserve">             </w:t>
        </w:r>
        <w:r w:rsidR="00F90425" w:rsidRPr="0076012E">
          <w:rPr>
            <w:rStyle w:val="Hyperlink"/>
            <w:rFonts w:ascii="Arial" w:hAnsi="Arial" w:cs="Arial"/>
            <w:noProof/>
          </w:rPr>
          <w:t>International practice in defining and calculating the costs of REDD+</w:t>
        </w:r>
        <w:r w:rsidR="00F90425">
          <w:rPr>
            <w:noProof/>
            <w:webHidden/>
          </w:rPr>
          <w:tab/>
        </w:r>
        <w:r>
          <w:rPr>
            <w:noProof/>
            <w:webHidden/>
          </w:rPr>
          <w:fldChar w:fldCharType="begin"/>
        </w:r>
        <w:r w:rsidR="00F90425">
          <w:rPr>
            <w:noProof/>
            <w:webHidden/>
          </w:rPr>
          <w:instrText xml:space="preserve"> PAGEREF _Toc252354738 \h </w:instrText>
        </w:r>
        <w:r>
          <w:rPr>
            <w:noProof/>
            <w:webHidden/>
          </w:rPr>
        </w:r>
        <w:r>
          <w:rPr>
            <w:noProof/>
            <w:webHidden/>
          </w:rPr>
          <w:fldChar w:fldCharType="separate"/>
        </w:r>
        <w:r w:rsidR="00B4351F">
          <w:rPr>
            <w:noProof/>
            <w:webHidden/>
          </w:rPr>
          <w:t>101</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39" w:history="1">
        <w:r w:rsidR="00F90425" w:rsidRPr="0076012E">
          <w:rPr>
            <w:rStyle w:val="Hyperlink"/>
            <w:rFonts w:ascii="Arial" w:hAnsi="Arial" w:cs="Arial"/>
            <w:noProof/>
          </w:rPr>
          <w:t xml:space="preserve">5.3 </w:t>
        </w:r>
        <w:r w:rsidR="00942BB8">
          <w:rPr>
            <w:rStyle w:val="Hyperlink"/>
            <w:rFonts w:ascii="Arial" w:hAnsi="Arial" w:cs="Arial"/>
            <w:noProof/>
          </w:rPr>
          <w:t xml:space="preserve">            </w:t>
        </w:r>
        <w:r w:rsidR="00F90425" w:rsidRPr="0076012E">
          <w:rPr>
            <w:rStyle w:val="Hyperlink"/>
            <w:rFonts w:ascii="Arial" w:hAnsi="Arial" w:cs="Arial"/>
            <w:noProof/>
          </w:rPr>
          <w:t>Review of approaches and principles for allocating and retaining conservation payments in Viet Nam</w:t>
        </w:r>
        <w:r w:rsidR="00F90425">
          <w:rPr>
            <w:noProof/>
            <w:webHidden/>
          </w:rPr>
          <w:tab/>
        </w:r>
        <w:r>
          <w:rPr>
            <w:noProof/>
            <w:webHidden/>
          </w:rPr>
          <w:fldChar w:fldCharType="begin"/>
        </w:r>
        <w:r w:rsidR="00F90425">
          <w:rPr>
            <w:noProof/>
            <w:webHidden/>
          </w:rPr>
          <w:instrText xml:space="preserve"> PAGEREF _Toc252354739 \h </w:instrText>
        </w:r>
        <w:r>
          <w:rPr>
            <w:noProof/>
            <w:webHidden/>
          </w:rPr>
        </w:r>
        <w:r>
          <w:rPr>
            <w:noProof/>
            <w:webHidden/>
          </w:rPr>
          <w:fldChar w:fldCharType="separate"/>
        </w:r>
        <w:r w:rsidR="00B4351F">
          <w:rPr>
            <w:noProof/>
            <w:webHidden/>
          </w:rPr>
          <w:t>107</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40" w:history="1">
        <w:r w:rsidR="00F90425" w:rsidRPr="0076012E">
          <w:rPr>
            <w:rStyle w:val="Hyperlink"/>
            <w:rFonts w:ascii="Arial" w:hAnsi="Arial" w:cs="Arial"/>
            <w:noProof/>
          </w:rPr>
          <w:t xml:space="preserve">5.4 </w:t>
        </w:r>
        <w:r w:rsidR="00942BB8">
          <w:rPr>
            <w:rStyle w:val="Hyperlink"/>
            <w:rFonts w:ascii="Arial" w:hAnsi="Arial" w:cs="Arial"/>
            <w:noProof/>
          </w:rPr>
          <w:t xml:space="preserve">            </w:t>
        </w:r>
        <w:r w:rsidR="00F90425" w:rsidRPr="0076012E">
          <w:rPr>
            <w:rStyle w:val="Hyperlink"/>
            <w:rFonts w:ascii="Arial" w:hAnsi="Arial" w:cs="Arial"/>
            <w:noProof/>
          </w:rPr>
          <w:t>Conclusions: key issues in REDD+ costs and revenue retention</w:t>
        </w:r>
        <w:r w:rsidR="00F90425">
          <w:rPr>
            <w:noProof/>
            <w:webHidden/>
          </w:rPr>
          <w:tab/>
        </w:r>
        <w:r>
          <w:rPr>
            <w:noProof/>
            <w:webHidden/>
          </w:rPr>
          <w:fldChar w:fldCharType="begin"/>
        </w:r>
        <w:r w:rsidR="00F90425">
          <w:rPr>
            <w:noProof/>
            <w:webHidden/>
          </w:rPr>
          <w:instrText xml:space="preserve"> PAGEREF _Toc252354740 \h </w:instrText>
        </w:r>
        <w:r>
          <w:rPr>
            <w:noProof/>
            <w:webHidden/>
          </w:rPr>
        </w:r>
        <w:r>
          <w:rPr>
            <w:noProof/>
            <w:webHidden/>
          </w:rPr>
          <w:fldChar w:fldCharType="separate"/>
        </w:r>
        <w:r w:rsidR="00B4351F">
          <w:rPr>
            <w:noProof/>
            <w:webHidden/>
          </w:rPr>
          <w:t>112</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41" w:history="1">
        <w:r w:rsidR="00F90425" w:rsidRPr="0076012E">
          <w:rPr>
            <w:rStyle w:val="Hyperlink"/>
            <w:rFonts w:ascii="Arial" w:hAnsi="Arial" w:cs="Arial"/>
            <w:noProof/>
          </w:rPr>
          <w:t xml:space="preserve">5.5 </w:t>
        </w:r>
        <w:r w:rsidR="00942BB8">
          <w:rPr>
            <w:rStyle w:val="Hyperlink"/>
            <w:rFonts w:ascii="Arial" w:hAnsi="Arial" w:cs="Arial"/>
            <w:noProof/>
          </w:rPr>
          <w:t xml:space="preserve">            </w:t>
        </w:r>
        <w:r w:rsidR="00F90425" w:rsidRPr="0076012E">
          <w:rPr>
            <w:rStyle w:val="Hyperlink"/>
            <w:rFonts w:ascii="Arial" w:hAnsi="Arial" w:cs="Arial"/>
            <w:noProof/>
          </w:rPr>
          <w:t>Recommendations and next steps: factoring revenue retention, cost-recovery and incentive considerations into Viet Nam’s REDD+ BDS</w:t>
        </w:r>
        <w:r w:rsidR="00F90425">
          <w:rPr>
            <w:noProof/>
            <w:webHidden/>
          </w:rPr>
          <w:tab/>
        </w:r>
        <w:r>
          <w:rPr>
            <w:noProof/>
            <w:webHidden/>
          </w:rPr>
          <w:fldChar w:fldCharType="begin"/>
        </w:r>
        <w:r w:rsidR="00F90425">
          <w:rPr>
            <w:noProof/>
            <w:webHidden/>
          </w:rPr>
          <w:instrText xml:space="preserve"> PAGEREF _Toc252354741 \h </w:instrText>
        </w:r>
        <w:r>
          <w:rPr>
            <w:noProof/>
            <w:webHidden/>
          </w:rPr>
        </w:r>
        <w:r>
          <w:rPr>
            <w:noProof/>
            <w:webHidden/>
          </w:rPr>
          <w:fldChar w:fldCharType="separate"/>
        </w:r>
        <w:r w:rsidR="00B4351F">
          <w:rPr>
            <w:noProof/>
            <w:webHidden/>
          </w:rPr>
          <w:t>120</w:t>
        </w:r>
        <w:r>
          <w:rPr>
            <w:noProof/>
            <w:webHidden/>
          </w:rPr>
          <w:fldChar w:fldCharType="end"/>
        </w:r>
      </w:hyperlink>
    </w:p>
    <w:p w:rsidR="00F90425" w:rsidRDefault="00C47C3B" w:rsidP="00F90425">
      <w:pPr>
        <w:pStyle w:val="TOC1"/>
        <w:tabs>
          <w:tab w:val="right" w:leader="dot" w:pos="8778"/>
        </w:tabs>
        <w:ind w:left="900" w:hanging="900"/>
        <w:rPr>
          <w:rFonts w:eastAsia="Times New Roman"/>
          <w:b w:val="0"/>
          <w:bCs w:val="0"/>
          <w:caps w:val="0"/>
          <w:noProof/>
          <w:sz w:val="22"/>
          <w:szCs w:val="22"/>
          <w:lang w:val="en-US"/>
        </w:rPr>
      </w:pPr>
      <w:hyperlink w:anchor="_Toc252354742" w:history="1">
        <w:r w:rsidR="00F90425" w:rsidRPr="0076012E">
          <w:rPr>
            <w:rStyle w:val="Hyperlink"/>
            <w:noProof/>
          </w:rPr>
          <w:t>Chapter 6: Eligibility, Principles and Performance in the Distribution System</w:t>
        </w:r>
        <w:r w:rsidR="00F90425">
          <w:rPr>
            <w:noProof/>
            <w:webHidden/>
          </w:rPr>
          <w:tab/>
        </w:r>
        <w:r>
          <w:rPr>
            <w:noProof/>
            <w:webHidden/>
          </w:rPr>
          <w:fldChar w:fldCharType="begin"/>
        </w:r>
        <w:r w:rsidR="00F90425">
          <w:rPr>
            <w:noProof/>
            <w:webHidden/>
          </w:rPr>
          <w:instrText xml:space="preserve"> PAGEREF _Toc252354742 \h </w:instrText>
        </w:r>
        <w:r>
          <w:rPr>
            <w:noProof/>
            <w:webHidden/>
          </w:rPr>
        </w:r>
        <w:r>
          <w:rPr>
            <w:noProof/>
            <w:webHidden/>
          </w:rPr>
          <w:fldChar w:fldCharType="separate"/>
        </w:r>
        <w:r w:rsidR="00B4351F">
          <w:rPr>
            <w:noProof/>
            <w:webHidden/>
          </w:rPr>
          <w:t>129</w:t>
        </w:r>
        <w:r>
          <w:rPr>
            <w:noProof/>
            <w:webHidden/>
          </w:rPr>
          <w:fldChar w:fldCharType="end"/>
        </w:r>
      </w:hyperlink>
    </w:p>
    <w:p w:rsidR="00F90425" w:rsidRDefault="00C47C3B" w:rsidP="00F90425">
      <w:pPr>
        <w:pStyle w:val="TOC2"/>
        <w:tabs>
          <w:tab w:val="left" w:pos="880"/>
          <w:tab w:val="right" w:leader="dot" w:pos="8778"/>
        </w:tabs>
        <w:ind w:left="900" w:hanging="900"/>
        <w:rPr>
          <w:rFonts w:eastAsia="Times New Roman"/>
          <w:smallCaps w:val="0"/>
          <w:noProof/>
          <w:sz w:val="22"/>
          <w:szCs w:val="22"/>
          <w:lang w:val="en-US"/>
        </w:rPr>
      </w:pPr>
      <w:hyperlink w:anchor="_Toc252354743" w:history="1">
        <w:r w:rsidR="00F90425" w:rsidRPr="0076012E">
          <w:rPr>
            <w:rStyle w:val="Hyperlink"/>
            <w:rFonts w:ascii="Arial" w:hAnsi="Arial" w:cs="Arial"/>
            <w:noProof/>
            <w:lang w:val="en-US"/>
          </w:rPr>
          <w:t>6.1.</w:t>
        </w:r>
        <w:r w:rsidR="00F90425">
          <w:rPr>
            <w:rFonts w:eastAsia="Times New Roman"/>
            <w:smallCaps w:val="0"/>
            <w:noProof/>
            <w:sz w:val="22"/>
            <w:szCs w:val="22"/>
            <w:lang w:val="en-US"/>
          </w:rPr>
          <w:tab/>
        </w:r>
        <w:r w:rsidR="00F90425" w:rsidRPr="0076012E">
          <w:rPr>
            <w:rStyle w:val="Hyperlink"/>
            <w:rFonts w:ascii="Arial" w:hAnsi="Arial" w:cs="Arial"/>
            <w:noProof/>
            <w:lang w:val="en-US"/>
          </w:rPr>
          <w:t>Experiences with payment systems in Viet Nam’s forestry sector</w:t>
        </w:r>
        <w:r w:rsidR="00F90425">
          <w:rPr>
            <w:noProof/>
            <w:webHidden/>
          </w:rPr>
          <w:tab/>
        </w:r>
        <w:r>
          <w:rPr>
            <w:noProof/>
            <w:webHidden/>
          </w:rPr>
          <w:fldChar w:fldCharType="begin"/>
        </w:r>
        <w:r w:rsidR="00F90425">
          <w:rPr>
            <w:noProof/>
            <w:webHidden/>
          </w:rPr>
          <w:instrText xml:space="preserve"> PAGEREF _Toc252354743 \h </w:instrText>
        </w:r>
        <w:r>
          <w:rPr>
            <w:noProof/>
            <w:webHidden/>
          </w:rPr>
        </w:r>
        <w:r>
          <w:rPr>
            <w:noProof/>
            <w:webHidden/>
          </w:rPr>
          <w:fldChar w:fldCharType="separate"/>
        </w:r>
        <w:r w:rsidR="00B4351F">
          <w:rPr>
            <w:noProof/>
            <w:webHidden/>
          </w:rPr>
          <w:t>129</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44" w:history="1">
        <w:r w:rsidR="00F90425" w:rsidRPr="0076012E">
          <w:rPr>
            <w:rStyle w:val="Hyperlink"/>
            <w:rFonts w:ascii="Arial" w:hAnsi="Arial" w:cs="Arial"/>
            <w:noProof/>
            <w:lang w:val="en-US"/>
          </w:rPr>
          <w:t xml:space="preserve">6.2 </w:t>
        </w:r>
        <w:r w:rsidR="00942BB8">
          <w:rPr>
            <w:rStyle w:val="Hyperlink"/>
            <w:rFonts w:ascii="Arial" w:hAnsi="Arial" w:cs="Arial"/>
            <w:noProof/>
            <w:lang w:val="en-US"/>
          </w:rPr>
          <w:t xml:space="preserve">            </w:t>
        </w:r>
        <w:r w:rsidR="00F90425" w:rsidRPr="0076012E">
          <w:rPr>
            <w:rStyle w:val="Hyperlink"/>
            <w:rFonts w:ascii="Arial" w:hAnsi="Arial" w:cs="Arial"/>
            <w:noProof/>
            <w:lang w:val="en-US"/>
          </w:rPr>
          <w:t>Experiences with payments for ecosystem services: international best practice</w:t>
        </w:r>
        <w:r w:rsidR="00F90425">
          <w:rPr>
            <w:noProof/>
            <w:webHidden/>
          </w:rPr>
          <w:tab/>
        </w:r>
        <w:r>
          <w:rPr>
            <w:noProof/>
            <w:webHidden/>
          </w:rPr>
          <w:fldChar w:fldCharType="begin"/>
        </w:r>
        <w:r w:rsidR="00F90425">
          <w:rPr>
            <w:noProof/>
            <w:webHidden/>
          </w:rPr>
          <w:instrText xml:space="preserve"> PAGEREF _Toc252354744 \h </w:instrText>
        </w:r>
        <w:r>
          <w:rPr>
            <w:noProof/>
            <w:webHidden/>
          </w:rPr>
        </w:r>
        <w:r>
          <w:rPr>
            <w:noProof/>
            <w:webHidden/>
          </w:rPr>
          <w:fldChar w:fldCharType="separate"/>
        </w:r>
        <w:r w:rsidR="00B4351F">
          <w:rPr>
            <w:noProof/>
            <w:webHidden/>
          </w:rPr>
          <w:t>131</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45" w:history="1">
        <w:r w:rsidR="00F90425" w:rsidRPr="0076012E">
          <w:rPr>
            <w:rStyle w:val="Hyperlink"/>
            <w:rFonts w:ascii="Arial" w:hAnsi="Arial" w:cs="Arial"/>
            <w:noProof/>
            <w:lang w:val="en-US"/>
          </w:rPr>
          <w:t xml:space="preserve">6.3 </w:t>
        </w:r>
        <w:r w:rsidR="00942BB8">
          <w:rPr>
            <w:rStyle w:val="Hyperlink"/>
            <w:rFonts w:ascii="Arial" w:hAnsi="Arial" w:cs="Arial"/>
            <w:noProof/>
            <w:lang w:val="en-US"/>
          </w:rPr>
          <w:t xml:space="preserve">            </w:t>
        </w:r>
        <w:r w:rsidR="00F90425" w:rsidRPr="0076012E">
          <w:rPr>
            <w:rStyle w:val="Hyperlink"/>
            <w:rFonts w:ascii="Arial" w:hAnsi="Arial" w:cs="Arial"/>
            <w:noProof/>
            <w:lang w:val="en-US"/>
          </w:rPr>
          <w:t>Views and recommendations of ethnic minority and forest margin community representatives</w:t>
        </w:r>
        <w:r w:rsidR="00F90425">
          <w:rPr>
            <w:noProof/>
            <w:webHidden/>
          </w:rPr>
          <w:tab/>
        </w:r>
        <w:r>
          <w:rPr>
            <w:noProof/>
            <w:webHidden/>
          </w:rPr>
          <w:fldChar w:fldCharType="begin"/>
        </w:r>
        <w:r w:rsidR="00F90425">
          <w:rPr>
            <w:noProof/>
            <w:webHidden/>
          </w:rPr>
          <w:instrText xml:space="preserve"> PAGEREF _Toc252354745 \h </w:instrText>
        </w:r>
        <w:r>
          <w:rPr>
            <w:noProof/>
            <w:webHidden/>
          </w:rPr>
        </w:r>
        <w:r>
          <w:rPr>
            <w:noProof/>
            <w:webHidden/>
          </w:rPr>
          <w:fldChar w:fldCharType="separate"/>
        </w:r>
        <w:r w:rsidR="00B4351F">
          <w:rPr>
            <w:noProof/>
            <w:webHidden/>
          </w:rPr>
          <w:t>134</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46" w:history="1">
        <w:r w:rsidR="00F90425" w:rsidRPr="0076012E">
          <w:rPr>
            <w:rStyle w:val="Hyperlink"/>
            <w:rFonts w:ascii="Arial" w:hAnsi="Arial" w:cs="Arial"/>
            <w:noProof/>
            <w:lang w:val="en-US"/>
          </w:rPr>
          <w:t xml:space="preserve">6.4 </w:t>
        </w:r>
        <w:r w:rsidR="00942BB8">
          <w:rPr>
            <w:rStyle w:val="Hyperlink"/>
            <w:rFonts w:ascii="Arial" w:hAnsi="Arial" w:cs="Arial"/>
            <w:noProof/>
            <w:lang w:val="en-US"/>
          </w:rPr>
          <w:t xml:space="preserve">            </w:t>
        </w:r>
        <w:r w:rsidR="00F90425" w:rsidRPr="0076012E">
          <w:rPr>
            <w:rStyle w:val="Hyperlink"/>
            <w:rFonts w:ascii="Arial" w:hAnsi="Arial" w:cs="Arial"/>
            <w:noProof/>
            <w:lang w:val="en-US"/>
          </w:rPr>
          <w:t>The allocation mechanism</w:t>
        </w:r>
        <w:r w:rsidR="00F90425">
          <w:rPr>
            <w:noProof/>
            <w:webHidden/>
          </w:rPr>
          <w:tab/>
        </w:r>
        <w:r>
          <w:rPr>
            <w:noProof/>
            <w:webHidden/>
          </w:rPr>
          <w:fldChar w:fldCharType="begin"/>
        </w:r>
        <w:r w:rsidR="00F90425">
          <w:rPr>
            <w:noProof/>
            <w:webHidden/>
          </w:rPr>
          <w:instrText xml:space="preserve"> PAGEREF _Toc252354746 \h </w:instrText>
        </w:r>
        <w:r>
          <w:rPr>
            <w:noProof/>
            <w:webHidden/>
          </w:rPr>
        </w:r>
        <w:r>
          <w:rPr>
            <w:noProof/>
            <w:webHidden/>
          </w:rPr>
          <w:fldChar w:fldCharType="separate"/>
        </w:r>
        <w:r w:rsidR="00B4351F">
          <w:rPr>
            <w:noProof/>
            <w:webHidden/>
          </w:rPr>
          <w:t>139</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47" w:history="1">
        <w:r w:rsidR="00F90425" w:rsidRPr="0076012E">
          <w:rPr>
            <w:rStyle w:val="Hyperlink"/>
            <w:rFonts w:ascii="Arial" w:hAnsi="Arial" w:cs="Arial"/>
            <w:noProof/>
            <w:lang w:val="en-US"/>
          </w:rPr>
          <w:t xml:space="preserve">6.5 </w:t>
        </w:r>
        <w:r w:rsidR="00942BB8">
          <w:rPr>
            <w:rStyle w:val="Hyperlink"/>
            <w:rFonts w:ascii="Arial" w:hAnsi="Arial" w:cs="Arial"/>
            <w:noProof/>
            <w:lang w:val="en-US"/>
          </w:rPr>
          <w:t xml:space="preserve">             </w:t>
        </w:r>
        <w:r w:rsidR="00F90425" w:rsidRPr="0076012E">
          <w:rPr>
            <w:rStyle w:val="Hyperlink"/>
            <w:rFonts w:ascii="Arial" w:hAnsi="Arial" w:cs="Arial"/>
            <w:noProof/>
            <w:lang w:val="en-US"/>
          </w:rPr>
          <w:t>Linking benefit distribution to performance</w:t>
        </w:r>
        <w:r w:rsidR="00F90425">
          <w:rPr>
            <w:noProof/>
            <w:webHidden/>
          </w:rPr>
          <w:tab/>
        </w:r>
        <w:r>
          <w:rPr>
            <w:noProof/>
            <w:webHidden/>
          </w:rPr>
          <w:fldChar w:fldCharType="begin"/>
        </w:r>
        <w:r w:rsidR="00F90425">
          <w:rPr>
            <w:noProof/>
            <w:webHidden/>
          </w:rPr>
          <w:instrText xml:space="preserve"> PAGEREF _Toc252354747 \h </w:instrText>
        </w:r>
        <w:r>
          <w:rPr>
            <w:noProof/>
            <w:webHidden/>
          </w:rPr>
        </w:r>
        <w:r>
          <w:rPr>
            <w:noProof/>
            <w:webHidden/>
          </w:rPr>
          <w:fldChar w:fldCharType="separate"/>
        </w:r>
        <w:r w:rsidR="00B4351F">
          <w:rPr>
            <w:noProof/>
            <w:webHidden/>
          </w:rPr>
          <w:t>141</w:t>
        </w:r>
        <w:r>
          <w:rPr>
            <w:noProof/>
            <w:webHidden/>
          </w:rPr>
          <w:fldChar w:fldCharType="end"/>
        </w:r>
      </w:hyperlink>
    </w:p>
    <w:p w:rsidR="00F90425" w:rsidRDefault="00C47C3B" w:rsidP="00F90425">
      <w:pPr>
        <w:pStyle w:val="TOC2"/>
        <w:tabs>
          <w:tab w:val="right" w:leader="dot" w:pos="8778"/>
        </w:tabs>
        <w:ind w:left="900" w:hanging="900"/>
        <w:rPr>
          <w:rFonts w:eastAsia="Times New Roman"/>
          <w:smallCaps w:val="0"/>
          <w:noProof/>
          <w:sz w:val="22"/>
          <w:szCs w:val="22"/>
          <w:lang w:val="en-US"/>
        </w:rPr>
      </w:pPr>
      <w:hyperlink w:anchor="_Toc252354748" w:history="1">
        <w:r w:rsidR="00F90425" w:rsidRPr="0076012E">
          <w:rPr>
            <w:rStyle w:val="Hyperlink"/>
            <w:rFonts w:ascii="Arial" w:hAnsi="Arial" w:cs="Arial"/>
            <w:noProof/>
            <w:lang w:val="en-US"/>
          </w:rPr>
          <w:t xml:space="preserve">6.6 </w:t>
        </w:r>
        <w:r w:rsidR="00942BB8">
          <w:rPr>
            <w:rStyle w:val="Hyperlink"/>
            <w:rFonts w:ascii="Arial" w:hAnsi="Arial" w:cs="Arial"/>
            <w:noProof/>
            <w:lang w:val="en-US"/>
          </w:rPr>
          <w:t xml:space="preserve">            </w:t>
        </w:r>
        <w:r w:rsidR="00F90425" w:rsidRPr="0076012E">
          <w:rPr>
            <w:rStyle w:val="Hyperlink"/>
            <w:rFonts w:ascii="Arial" w:hAnsi="Arial" w:cs="Arial"/>
            <w:noProof/>
            <w:lang w:val="en-US"/>
          </w:rPr>
          <w:t>Issues and Recommendations</w:t>
        </w:r>
        <w:r w:rsidR="00F90425">
          <w:rPr>
            <w:noProof/>
            <w:webHidden/>
          </w:rPr>
          <w:tab/>
        </w:r>
        <w:r>
          <w:rPr>
            <w:noProof/>
            <w:webHidden/>
          </w:rPr>
          <w:fldChar w:fldCharType="begin"/>
        </w:r>
        <w:r w:rsidR="00F90425">
          <w:rPr>
            <w:noProof/>
            <w:webHidden/>
          </w:rPr>
          <w:instrText xml:space="preserve"> PAGEREF _Toc252354748 \h </w:instrText>
        </w:r>
        <w:r>
          <w:rPr>
            <w:noProof/>
            <w:webHidden/>
          </w:rPr>
        </w:r>
        <w:r>
          <w:rPr>
            <w:noProof/>
            <w:webHidden/>
          </w:rPr>
          <w:fldChar w:fldCharType="separate"/>
        </w:r>
        <w:r w:rsidR="00B4351F">
          <w:rPr>
            <w:noProof/>
            <w:webHidden/>
          </w:rPr>
          <w:t>142</w:t>
        </w:r>
        <w:r>
          <w:rPr>
            <w:noProof/>
            <w:webHidden/>
          </w:rPr>
          <w:fldChar w:fldCharType="end"/>
        </w:r>
      </w:hyperlink>
    </w:p>
    <w:p w:rsidR="00F90425" w:rsidRDefault="00C47C3B">
      <w:pPr>
        <w:pStyle w:val="TOC1"/>
        <w:tabs>
          <w:tab w:val="right" w:leader="dot" w:pos="8778"/>
        </w:tabs>
        <w:rPr>
          <w:rFonts w:eastAsia="Times New Roman"/>
          <w:b w:val="0"/>
          <w:bCs w:val="0"/>
          <w:caps w:val="0"/>
          <w:noProof/>
          <w:sz w:val="22"/>
          <w:szCs w:val="22"/>
          <w:lang w:val="en-US"/>
        </w:rPr>
      </w:pPr>
      <w:hyperlink w:anchor="_Toc252354749" w:history="1">
        <w:r w:rsidR="00F90425" w:rsidRPr="0076012E">
          <w:rPr>
            <w:rStyle w:val="Hyperlink"/>
            <w:noProof/>
          </w:rPr>
          <w:t>7:  Monitoring Performance</w:t>
        </w:r>
        <w:r w:rsidR="00F90425">
          <w:rPr>
            <w:noProof/>
            <w:webHidden/>
          </w:rPr>
          <w:tab/>
        </w:r>
        <w:r>
          <w:rPr>
            <w:noProof/>
            <w:webHidden/>
          </w:rPr>
          <w:fldChar w:fldCharType="begin"/>
        </w:r>
        <w:r w:rsidR="00F90425">
          <w:rPr>
            <w:noProof/>
            <w:webHidden/>
          </w:rPr>
          <w:instrText xml:space="preserve"> PAGEREF _Toc252354749 \h </w:instrText>
        </w:r>
        <w:r>
          <w:rPr>
            <w:noProof/>
            <w:webHidden/>
          </w:rPr>
        </w:r>
        <w:r>
          <w:rPr>
            <w:noProof/>
            <w:webHidden/>
          </w:rPr>
          <w:fldChar w:fldCharType="separate"/>
        </w:r>
        <w:r w:rsidR="00B4351F">
          <w:rPr>
            <w:noProof/>
            <w:webHidden/>
          </w:rPr>
          <w:t>149</w:t>
        </w:r>
        <w:r>
          <w:rPr>
            <w:noProof/>
            <w:webHidden/>
          </w:rPr>
          <w:fldChar w:fldCharType="end"/>
        </w:r>
      </w:hyperlink>
    </w:p>
    <w:p w:rsidR="00F90425" w:rsidRDefault="00C47C3B" w:rsidP="00942BB8">
      <w:pPr>
        <w:pStyle w:val="TOC2"/>
        <w:tabs>
          <w:tab w:val="right" w:leader="dot" w:pos="8778"/>
        </w:tabs>
        <w:ind w:left="0"/>
        <w:rPr>
          <w:rFonts w:eastAsia="Times New Roman"/>
          <w:smallCaps w:val="0"/>
          <w:noProof/>
          <w:sz w:val="22"/>
          <w:szCs w:val="22"/>
          <w:lang w:val="en-US"/>
        </w:rPr>
      </w:pPr>
      <w:hyperlink w:anchor="_Toc252354750" w:history="1">
        <w:r w:rsidR="00F90425" w:rsidRPr="0076012E">
          <w:rPr>
            <w:rStyle w:val="Hyperlink"/>
            <w:rFonts w:ascii="Arial" w:hAnsi="Arial" w:cs="Arial"/>
            <w:noProof/>
          </w:rPr>
          <w:t xml:space="preserve">7.1 </w:t>
        </w:r>
        <w:r w:rsidR="00942BB8">
          <w:rPr>
            <w:rStyle w:val="Hyperlink"/>
            <w:rFonts w:ascii="Arial" w:hAnsi="Arial" w:cs="Arial"/>
            <w:noProof/>
          </w:rPr>
          <w:t xml:space="preserve">            </w:t>
        </w:r>
        <w:r w:rsidR="00F90425" w:rsidRPr="0076012E">
          <w:rPr>
            <w:rStyle w:val="Hyperlink"/>
            <w:rFonts w:ascii="Arial" w:hAnsi="Arial" w:cs="Arial"/>
            <w:noProof/>
          </w:rPr>
          <w:t>Principles and practices of effective monitoring</w:t>
        </w:r>
        <w:r w:rsidR="00F90425">
          <w:rPr>
            <w:noProof/>
            <w:webHidden/>
          </w:rPr>
          <w:tab/>
        </w:r>
        <w:r>
          <w:rPr>
            <w:noProof/>
            <w:webHidden/>
          </w:rPr>
          <w:fldChar w:fldCharType="begin"/>
        </w:r>
        <w:r w:rsidR="00F90425">
          <w:rPr>
            <w:noProof/>
            <w:webHidden/>
          </w:rPr>
          <w:instrText xml:space="preserve"> PAGEREF _Toc252354750 \h </w:instrText>
        </w:r>
        <w:r>
          <w:rPr>
            <w:noProof/>
            <w:webHidden/>
          </w:rPr>
        </w:r>
        <w:r>
          <w:rPr>
            <w:noProof/>
            <w:webHidden/>
          </w:rPr>
          <w:fldChar w:fldCharType="separate"/>
        </w:r>
        <w:r w:rsidR="00B4351F">
          <w:rPr>
            <w:noProof/>
            <w:webHidden/>
          </w:rPr>
          <w:t>150</w:t>
        </w:r>
        <w:r>
          <w:rPr>
            <w:noProof/>
            <w:webHidden/>
          </w:rPr>
          <w:fldChar w:fldCharType="end"/>
        </w:r>
      </w:hyperlink>
    </w:p>
    <w:p w:rsidR="00F90425" w:rsidRDefault="00C47C3B" w:rsidP="00942BB8">
      <w:pPr>
        <w:pStyle w:val="TOC2"/>
        <w:tabs>
          <w:tab w:val="right" w:leader="dot" w:pos="8778"/>
        </w:tabs>
        <w:ind w:left="0"/>
        <w:rPr>
          <w:rFonts w:eastAsia="Times New Roman"/>
          <w:smallCaps w:val="0"/>
          <w:noProof/>
          <w:sz w:val="22"/>
          <w:szCs w:val="22"/>
          <w:lang w:val="en-US"/>
        </w:rPr>
      </w:pPr>
      <w:hyperlink w:anchor="_Toc252354751" w:history="1">
        <w:r w:rsidR="00F90425" w:rsidRPr="0076012E">
          <w:rPr>
            <w:rStyle w:val="Hyperlink"/>
            <w:rFonts w:ascii="Arial" w:hAnsi="Arial" w:cs="Arial"/>
            <w:noProof/>
          </w:rPr>
          <w:t xml:space="preserve">7.2 </w:t>
        </w:r>
        <w:r w:rsidR="00942BB8">
          <w:rPr>
            <w:rStyle w:val="Hyperlink"/>
            <w:rFonts w:ascii="Arial" w:hAnsi="Arial" w:cs="Arial"/>
            <w:noProof/>
          </w:rPr>
          <w:t xml:space="preserve">            </w:t>
        </w:r>
        <w:r w:rsidR="00F90425" w:rsidRPr="0076012E">
          <w:rPr>
            <w:rStyle w:val="Hyperlink"/>
            <w:rFonts w:ascii="Arial" w:hAnsi="Arial" w:cs="Arial"/>
            <w:noProof/>
          </w:rPr>
          <w:t>Monitoring functions for REDD+ in the context of Viet Nam</w:t>
        </w:r>
        <w:r w:rsidR="00F90425">
          <w:rPr>
            <w:noProof/>
            <w:webHidden/>
          </w:rPr>
          <w:tab/>
        </w:r>
        <w:r>
          <w:rPr>
            <w:noProof/>
            <w:webHidden/>
          </w:rPr>
          <w:fldChar w:fldCharType="begin"/>
        </w:r>
        <w:r w:rsidR="00F90425">
          <w:rPr>
            <w:noProof/>
            <w:webHidden/>
          </w:rPr>
          <w:instrText xml:space="preserve"> PAGEREF _Toc252354751 \h </w:instrText>
        </w:r>
        <w:r>
          <w:rPr>
            <w:noProof/>
            <w:webHidden/>
          </w:rPr>
        </w:r>
        <w:r>
          <w:rPr>
            <w:noProof/>
            <w:webHidden/>
          </w:rPr>
          <w:fldChar w:fldCharType="separate"/>
        </w:r>
        <w:r w:rsidR="00B4351F">
          <w:rPr>
            <w:noProof/>
            <w:webHidden/>
          </w:rPr>
          <w:t>155</w:t>
        </w:r>
        <w:r>
          <w:rPr>
            <w:noProof/>
            <w:webHidden/>
          </w:rPr>
          <w:fldChar w:fldCharType="end"/>
        </w:r>
      </w:hyperlink>
    </w:p>
    <w:p w:rsidR="00F90425" w:rsidRDefault="00C47C3B">
      <w:pPr>
        <w:pStyle w:val="TOC2"/>
        <w:tabs>
          <w:tab w:val="right" w:leader="dot" w:pos="8778"/>
        </w:tabs>
        <w:rPr>
          <w:rFonts w:eastAsia="Times New Roman"/>
          <w:smallCaps w:val="0"/>
          <w:noProof/>
          <w:sz w:val="22"/>
          <w:szCs w:val="22"/>
          <w:lang w:val="en-US"/>
        </w:rPr>
      </w:pPr>
      <w:hyperlink w:anchor="_Toc252354752" w:history="1">
        <w:r w:rsidR="00F90425" w:rsidRPr="0076012E">
          <w:rPr>
            <w:rStyle w:val="Hyperlink"/>
            <w:rFonts w:ascii="Arial" w:hAnsi="Arial" w:cs="Arial"/>
            <w:i/>
            <w:noProof/>
          </w:rPr>
          <w:t>Monitoring for performance</w:t>
        </w:r>
        <w:r w:rsidR="00F90425">
          <w:rPr>
            <w:noProof/>
            <w:webHidden/>
          </w:rPr>
          <w:tab/>
        </w:r>
        <w:r>
          <w:rPr>
            <w:noProof/>
            <w:webHidden/>
          </w:rPr>
          <w:fldChar w:fldCharType="begin"/>
        </w:r>
        <w:r w:rsidR="00F90425">
          <w:rPr>
            <w:noProof/>
            <w:webHidden/>
          </w:rPr>
          <w:instrText xml:space="preserve"> PAGEREF _Toc252354752 \h </w:instrText>
        </w:r>
        <w:r>
          <w:rPr>
            <w:noProof/>
            <w:webHidden/>
          </w:rPr>
        </w:r>
        <w:r>
          <w:rPr>
            <w:noProof/>
            <w:webHidden/>
          </w:rPr>
          <w:fldChar w:fldCharType="separate"/>
        </w:r>
        <w:r w:rsidR="00B4351F">
          <w:rPr>
            <w:noProof/>
            <w:webHidden/>
          </w:rPr>
          <w:t>155</w:t>
        </w:r>
        <w:r>
          <w:rPr>
            <w:noProof/>
            <w:webHidden/>
          </w:rPr>
          <w:fldChar w:fldCharType="end"/>
        </w:r>
      </w:hyperlink>
    </w:p>
    <w:p w:rsidR="00F90425" w:rsidRDefault="00C47C3B">
      <w:pPr>
        <w:pStyle w:val="TOC2"/>
        <w:tabs>
          <w:tab w:val="right" w:leader="dot" w:pos="8778"/>
        </w:tabs>
        <w:rPr>
          <w:rFonts w:eastAsia="Times New Roman"/>
          <w:smallCaps w:val="0"/>
          <w:noProof/>
          <w:sz w:val="22"/>
          <w:szCs w:val="22"/>
          <w:lang w:val="en-US"/>
        </w:rPr>
      </w:pPr>
      <w:hyperlink w:anchor="_Toc252354753" w:history="1">
        <w:r w:rsidR="00F90425" w:rsidRPr="0076012E">
          <w:rPr>
            <w:rStyle w:val="Hyperlink"/>
            <w:rFonts w:ascii="Arial" w:hAnsi="Arial" w:cs="Arial"/>
            <w:i/>
            <w:noProof/>
          </w:rPr>
          <w:t>Operational Monitoring: Linking performance to payments at all levels of the payment chain</w:t>
        </w:r>
        <w:r w:rsidR="00F90425">
          <w:rPr>
            <w:noProof/>
            <w:webHidden/>
          </w:rPr>
          <w:tab/>
        </w:r>
        <w:r>
          <w:rPr>
            <w:noProof/>
            <w:webHidden/>
          </w:rPr>
          <w:fldChar w:fldCharType="begin"/>
        </w:r>
        <w:r w:rsidR="00F90425">
          <w:rPr>
            <w:noProof/>
            <w:webHidden/>
          </w:rPr>
          <w:instrText xml:space="preserve"> PAGEREF _Toc252354753 \h </w:instrText>
        </w:r>
        <w:r>
          <w:rPr>
            <w:noProof/>
            <w:webHidden/>
          </w:rPr>
        </w:r>
        <w:r>
          <w:rPr>
            <w:noProof/>
            <w:webHidden/>
          </w:rPr>
          <w:fldChar w:fldCharType="separate"/>
        </w:r>
        <w:r w:rsidR="00B4351F">
          <w:rPr>
            <w:noProof/>
            <w:webHidden/>
          </w:rPr>
          <w:t>155</w:t>
        </w:r>
        <w:r>
          <w:rPr>
            <w:noProof/>
            <w:webHidden/>
          </w:rPr>
          <w:fldChar w:fldCharType="end"/>
        </w:r>
      </w:hyperlink>
    </w:p>
    <w:p w:rsidR="00F90425" w:rsidRDefault="00C47C3B">
      <w:pPr>
        <w:pStyle w:val="TOC2"/>
        <w:tabs>
          <w:tab w:val="right" w:leader="dot" w:pos="8778"/>
        </w:tabs>
        <w:rPr>
          <w:rFonts w:eastAsia="Times New Roman"/>
          <w:smallCaps w:val="0"/>
          <w:noProof/>
          <w:sz w:val="22"/>
          <w:szCs w:val="22"/>
          <w:lang w:val="en-US"/>
        </w:rPr>
      </w:pPr>
      <w:hyperlink w:anchor="_Toc252354754" w:history="1">
        <w:r w:rsidR="00F90425" w:rsidRPr="0076012E">
          <w:rPr>
            <w:rStyle w:val="Hyperlink"/>
            <w:rFonts w:ascii="Arial" w:hAnsi="Arial" w:cs="Arial"/>
            <w:i/>
            <w:noProof/>
          </w:rPr>
          <w:t>Monitoring Investment and Expenditure on Interventions and Activities</w:t>
        </w:r>
        <w:r w:rsidR="00F90425">
          <w:rPr>
            <w:noProof/>
            <w:webHidden/>
          </w:rPr>
          <w:tab/>
        </w:r>
        <w:r>
          <w:rPr>
            <w:noProof/>
            <w:webHidden/>
          </w:rPr>
          <w:fldChar w:fldCharType="begin"/>
        </w:r>
        <w:r w:rsidR="00F90425">
          <w:rPr>
            <w:noProof/>
            <w:webHidden/>
          </w:rPr>
          <w:instrText xml:space="preserve"> PAGEREF _Toc252354754 \h </w:instrText>
        </w:r>
        <w:r>
          <w:rPr>
            <w:noProof/>
            <w:webHidden/>
          </w:rPr>
        </w:r>
        <w:r>
          <w:rPr>
            <w:noProof/>
            <w:webHidden/>
          </w:rPr>
          <w:fldChar w:fldCharType="separate"/>
        </w:r>
        <w:r w:rsidR="00B4351F">
          <w:rPr>
            <w:noProof/>
            <w:webHidden/>
          </w:rPr>
          <w:t>156</w:t>
        </w:r>
        <w:r>
          <w:rPr>
            <w:noProof/>
            <w:webHidden/>
          </w:rPr>
          <w:fldChar w:fldCharType="end"/>
        </w:r>
      </w:hyperlink>
    </w:p>
    <w:p w:rsidR="00F90425" w:rsidRDefault="00C47C3B">
      <w:pPr>
        <w:pStyle w:val="TOC2"/>
        <w:tabs>
          <w:tab w:val="right" w:leader="dot" w:pos="8778"/>
        </w:tabs>
        <w:rPr>
          <w:rFonts w:eastAsia="Times New Roman"/>
          <w:smallCaps w:val="0"/>
          <w:noProof/>
          <w:sz w:val="22"/>
          <w:szCs w:val="22"/>
          <w:lang w:val="en-US"/>
        </w:rPr>
      </w:pPr>
      <w:hyperlink w:anchor="_Toc252354755" w:history="1">
        <w:r w:rsidR="00F90425" w:rsidRPr="0076012E">
          <w:rPr>
            <w:rStyle w:val="Hyperlink"/>
            <w:rFonts w:ascii="Arial" w:hAnsi="Arial" w:cs="Arial"/>
            <w:i/>
            <w:noProof/>
          </w:rPr>
          <w:t>Monitoring Effectiveness and Efficiency of the BDS System – Financial Flows and Process</w:t>
        </w:r>
        <w:r w:rsidR="00F90425">
          <w:rPr>
            <w:noProof/>
            <w:webHidden/>
          </w:rPr>
          <w:tab/>
        </w:r>
        <w:r>
          <w:rPr>
            <w:noProof/>
            <w:webHidden/>
          </w:rPr>
          <w:fldChar w:fldCharType="begin"/>
        </w:r>
        <w:r w:rsidR="00F90425">
          <w:rPr>
            <w:noProof/>
            <w:webHidden/>
          </w:rPr>
          <w:instrText xml:space="preserve"> PAGEREF _Toc252354755 \h </w:instrText>
        </w:r>
        <w:r>
          <w:rPr>
            <w:noProof/>
            <w:webHidden/>
          </w:rPr>
        </w:r>
        <w:r>
          <w:rPr>
            <w:noProof/>
            <w:webHidden/>
          </w:rPr>
          <w:fldChar w:fldCharType="separate"/>
        </w:r>
        <w:r w:rsidR="00B4351F">
          <w:rPr>
            <w:noProof/>
            <w:webHidden/>
          </w:rPr>
          <w:t>158</w:t>
        </w:r>
        <w:r>
          <w:rPr>
            <w:noProof/>
            <w:webHidden/>
          </w:rPr>
          <w:fldChar w:fldCharType="end"/>
        </w:r>
      </w:hyperlink>
    </w:p>
    <w:p w:rsidR="00F90425" w:rsidRDefault="00C47C3B">
      <w:pPr>
        <w:pStyle w:val="TOC2"/>
        <w:tabs>
          <w:tab w:val="right" w:leader="dot" w:pos="8778"/>
        </w:tabs>
        <w:rPr>
          <w:rFonts w:eastAsia="Times New Roman"/>
          <w:smallCaps w:val="0"/>
          <w:noProof/>
          <w:sz w:val="22"/>
          <w:szCs w:val="22"/>
          <w:lang w:val="en-US"/>
        </w:rPr>
      </w:pPr>
      <w:hyperlink w:anchor="_Toc252354756" w:history="1">
        <w:r w:rsidR="00F90425" w:rsidRPr="0076012E">
          <w:rPr>
            <w:rStyle w:val="Hyperlink"/>
            <w:rFonts w:ascii="Arial" w:hAnsi="Arial" w:cs="Arial"/>
            <w:noProof/>
          </w:rPr>
          <w:t xml:space="preserve">7.3 </w:t>
        </w:r>
        <w:r w:rsidR="00942BB8">
          <w:rPr>
            <w:rStyle w:val="Hyperlink"/>
            <w:rFonts w:ascii="Arial" w:hAnsi="Arial" w:cs="Arial"/>
            <w:noProof/>
          </w:rPr>
          <w:t xml:space="preserve">        </w:t>
        </w:r>
        <w:r w:rsidR="00F90425" w:rsidRPr="0076012E">
          <w:rPr>
            <w:rStyle w:val="Hyperlink"/>
            <w:rFonts w:ascii="Arial" w:hAnsi="Arial" w:cs="Arial"/>
            <w:noProof/>
          </w:rPr>
          <w:t>Institutions and Bodies for Monitoring</w:t>
        </w:r>
        <w:r w:rsidR="00F90425">
          <w:rPr>
            <w:noProof/>
            <w:webHidden/>
          </w:rPr>
          <w:tab/>
        </w:r>
        <w:r>
          <w:rPr>
            <w:noProof/>
            <w:webHidden/>
          </w:rPr>
          <w:fldChar w:fldCharType="begin"/>
        </w:r>
        <w:r w:rsidR="00F90425">
          <w:rPr>
            <w:noProof/>
            <w:webHidden/>
          </w:rPr>
          <w:instrText xml:space="preserve"> PAGEREF _Toc252354756 \h </w:instrText>
        </w:r>
        <w:r>
          <w:rPr>
            <w:noProof/>
            <w:webHidden/>
          </w:rPr>
        </w:r>
        <w:r>
          <w:rPr>
            <w:noProof/>
            <w:webHidden/>
          </w:rPr>
          <w:fldChar w:fldCharType="separate"/>
        </w:r>
        <w:r w:rsidR="00B4351F">
          <w:rPr>
            <w:noProof/>
            <w:webHidden/>
          </w:rPr>
          <w:t>159</w:t>
        </w:r>
        <w:r>
          <w:rPr>
            <w:noProof/>
            <w:webHidden/>
          </w:rPr>
          <w:fldChar w:fldCharType="end"/>
        </w:r>
      </w:hyperlink>
    </w:p>
    <w:p w:rsidR="00F90425" w:rsidRDefault="00C47C3B">
      <w:pPr>
        <w:pStyle w:val="TOC2"/>
        <w:tabs>
          <w:tab w:val="right" w:leader="dot" w:pos="8778"/>
        </w:tabs>
        <w:rPr>
          <w:rFonts w:eastAsia="Times New Roman"/>
          <w:smallCaps w:val="0"/>
          <w:noProof/>
          <w:sz w:val="22"/>
          <w:szCs w:val="22"/>
          <w:lang w:val="en-US"/>
        </w:rPr>
      </w:pPr>
      <w:hyperlink w:anchor="_Toc252354757" w:history="1">
        <w:r w:rsidR="00F90425" w:rsidRPr="0076012E">
          <w:rPr>
            <w:rStyle w:val="Hyperlink"/>
            <w:rFonts w:ascii="Arial" w:hAnsi="Arial" w:cs="Arial"/>
            <w:i/>
            <w:noProof/>
          </w:rPr>
          <w:t>Monitoring of financial flows/auditing</w:t>
        </w:r>
        <w:r w:rsidR="00F90425">
          <w:rPr>
            <w:noProof/>
            <w:webHidden/>
          </w:rPr>
          <w:tab/>
        </w:r>
        <w:r>
          <w:rPr>
            <w:noProof/>
            <w:webHidden/>
          </w:rPr>
          <w:fldChar w:fldCharType="begin"/>
        </w:r>
        <w:r w:rsidR="00F90425">
          <w:rPr>
            <w:noProof/>
            <w:webHidden/>
          </w:rPr>
          <w:instrText xml:space="preserve"> PAGEREF _Toc252354757 \h </w:instrText>
        </w:r>
        <w:r>
          <w:rPr>
            <w:noProof/>
            <w:webHidden/>
          </w:rPr>
        </w:r>
        <w:r>
          <w:rPr>
            <w:noProof/>
            <w:webHidden/>
          </w:rPr>
          <w:fldChar w:fldCharType="separate"/>
        </w:r>
        <w:r w:rsidR="00B4351F">
          <w:rPr>
            <w:noProof/>
            <w:webHidden/>
          </w:rPr>
          <w:t>161</w:t>
        </w:r>
        <w:r>
          <w:rPr>
            <w:noProof/>
            <w:webHidden/>
          </w:rPr>
          <w:fldChar w:fldCharType="end"/>
        </w:r>
      </w:hyperlink>
    </w:p>
    <w:p w:rsidR="00F90425" w:rsidRDefault="00C47C3B">
      <w:pPr>
        <w:pStyle w:val="TOC2"/>
        <w:tabs>
          <w:tab w:val="right" w:leader="dot" w:pos="8778"/>
        </w:tabs>
        <w:rPr>
          <w:rFonts w:eastAsia="Times New Roman"/>
          <w:smallCaps w:val="0"/>
          <w:noProof/>
          <w:sz w:val="22"/>
          <w:szCs w:val="22"/>
          <w:lang w:val="en-US"/>
        </w:rPr>
      </w:pPr>
      <w:hyperlink w:anchor="_Toc252354758" w:history="1">
        <w:r w:rsidR="00F90425" w:rsidRPr="0076012E">
          <w:rPr>
            <w:rStyle w:val="Hyperlink"/>
            <w:rFonts w:ascii="Arial" w:hAnsi="Arial" w:cs="Arial"/>
            <w:noProof/>
          </w:rPr>
          <w:t xml:space="preserve">7.4 </w:t>
        </w:r>
        <w:r w:rsidR="00942BB8">
          <w:rPr>
            <w:rStyle w:val="Hyperlink"/>
            <w:rFonts w:ascii="Arial" w:hAnsi="Arial" w:cs="Arial"/>
            <w:noProof/>
          </w:rPr>
          <w:t xml:space="preserve">        </w:t>
        </w:r>
        <w:r w:rsidR="00F90425" w:rsidRPr="0076012E">
          <w:rPr>
            <w:rStyle w:val="Hyperlink"/>
            <w:rFonts w:ascii="Arial" w:hAnsi="Arial" w:cs="Arial"/>
            <w:noProof/>
          </w:rPr>
          <w:t>Building in safeguards: redress procedures and responsibilities, conflict resolution</w:t>
        </w:r>
        <w:r w:rsidR="00F90425">
          <w:rPr>
            <w:noProof/>
            <w:webHidden/>
          </w:rPr>
          <w:tab/>
        </w:r>
        <w:r>
          <w:rPr>
            <w:noProof/>
            <w:webHidden/>
          </w:rPr>
          <w:fldChar w:fldCharType="begin"/>
        </w:r>
        <w:r w:rsidR="00F90425">
          <w:rPr>
            <w:noProof/>
            <w:webHidden/>
          </w:rPr>
          <w:instrText xml:space="preserve"> PAGEREF _Toc252354758 \h </w:instrText>
        </w:r>
        <w:r>
          <w:rPr>
            <w:noProof/>
            <w:webHidden/>
          </w:rPr>
        </w:r>
        <w:r>
          <w:rPr>
            <w:noProof/>
            <w:webHidden/>
          </w:rPr>
          <w:fldChar w:fldCharType="separate"/>
        </w:r>
        <w:r w:rsidR="00B4351F">
          <w:rPr>
            <w:noProof/>
            <w:webHidden/>
          </w:rPr>
          <w:t>161</w:t>
        </w:r>
        <w:r>
          <w:rPr>
            <w:noProof/>
            <w:webHidden/>
          </w:rPr>
          <w:fldChar w:fldCharType="end"/>
        </w:r>
      </w:hyperlink>
    </w:p>
    <w:p w:rsidR="00F90425" w:rsidRDefault="00C47C3B">
      <w:pPr>
        <w:pStyle w:val="TOC1"/>
        <w:tabs>
          <w:tab w:val="right" w:leader="dot" w:pos="8778"/>
        </w:tabs>
        <w:rPr>
          <w:rFonts w:eastAsia="Times New Roman"/>
          <w:b w:val="0"/>
          <w:bCs w:val="0"/>
          <w:caps w:val="0"/>
          <w:noProof/>
          <w:sz w:val="22"/>
          <w:szCs w:val="22"/>
          <w:lang w:val="en-US"/>
        </w:rPr>
      </w:pPr>
      <w:hyperlink w:anchor="_Toc252354759" w:history="1">
        <w:r w:rsidR="00F90425" w:rsidRPr="0076012E">
          <w:rPr>
            <w:rStyle w:val="Hyperlink"/>
            <w:noProof/>
          </w:rPr>
          <w:t>Chapter 8: Implications for Policy Decisions</w:t>
        </w:r>
        <w:r w:rsidR="00F90425">
          <w:rPr>
            <w:noProof/>
            <w:webHidden/>
          </w:rPr>
          <w:tab/>
        </w:r>
        <w:r>
          <w:rPr>
            <w:noProof/>
            <w:webHidden/>
          </w:rPr>
          <w:fldChar w:fldCharType="begin"/>
        </w:r>
        <w:r w:rsidR="00F90425">
          <w:rPr>
            <w:noProof/>
            <w:webHidden/>
          </w:rPr>
          <w:instrText xml:space="preserve"> PAGEREF _Toc252354759 \h </w:instrText>
        </w:r>
        <w:r>
          <w:rPr>
            <w:noProof/>
            <w:webHidden/>
          </w:rPr>
        </w:r>
        <w:r>
          <w:rPr>
            <w:noProof/>
            <w:webHidden/>
          </w:rPr>
          <w:fldChar w:fldCharType="separate"/>
        </w:r>
        <w:r w:rsidR="00B4351F">
          <w:rPr>
            <w:noProof/>
            <w:webHidden/>
          </w:rPr>
          <w:t>168</w:t>
        </w:r>
        <w:r>
          <w:rPr>
            <w:noProof/>
            <w:webHidden/>
          </w:rPr>
          <w:fldChar w:fldCharType="end"/>
        </w:r>
      </w:hyperlink>
    </w:p>
    <w:p w:rsidR="00F90425" w:rsidRDefault="00C47C3B">
      <w:pPr>
        <w:pStyle w:val="TOC1"/>
        <w:tabs>
          <w:tab w:val="right" w:leader="dot" w:pos="8778"/>
        </w:tabs>
        <w:rPr>
          <w:rFonts w:eastAsia="Times New Roman"/>
          <w:b w:val="0"/>
          <w:bCs w:val="0"/>
          <w:caps w:val="0"/>
          <w:noProof/>
          <w:sz w:val="22"/>
          <w:szCs w:val="22"/>
          <w:lang w:val="en-US"/>
        </w:rPr>
      </w:pPr>
      <w:hyperlink w:anchor="_Toc252354760" w:history="1">
        <w:r w:rsidR="00F90425" w:rsidRPr="0076012E">
          <w:rPr>
            <w:rStyle w:val="Hyperlink"/>
            <w:noProof/>
          </w:rPr>
          <w:t>Chapter 9: Summary and Future Work</w:t>
        </w:r>
        <w:r w:rsidR="00F90425">
          <w:rPr>
            <w:noProof/>
            <w:webHidden/>
          </w:rPr>
          <w:tab/>
        </w:r>
        <w:r>
          <w:rPr>
            <w:noProof/>
            <w:webHidden/>
          </w:rPr>
          <w:fldChar w:fldCharType="begin"/>
        </w:r>
        <w:r w:rsidR="00F90425">
          <w:rPr>
            <w:noProof/>
            <w:webHidden/>
          </w:rPr>
          <w:instrText xml:space="preserve"> PAGEREF _Toc252354760 \h </w:instrText>
        </w:r>
        <w:r>
          <w:rPr>
            <w:noProof/>
            <w:webHidden/>
          </w:rPr>
        </w:r>
        <w:r>
          <w:rPr>
            <w:noProof/>
            <w:webHidden/>
          </w:rPr>
          <w:fldChar w:fldCharType="separate"/>
        </w:r>
        <w:r w:rsidR="00B4351F">
          <w:rPr>
            <w:noProof/>
            <w:webHidden/>
          </w:rPr>
          <w:t>181</w:t>
        </w:r>
        <w:r>
          <w:rPr>
            <w:noProof/>
            <w:webHidden/>
          </w:rPr>
          <w:fldChar w:fldCharType="end"/>
        </w:r>
      </w:hyperlink>
    </w:p>
    <w:p w:rsidR="00F90425" w:rsidRDefault="00C47C3B">
      <w:pPr>
        <w:pStyle w:val="TOC2"/>
        <w:tabs>
          <w:tab w:val="right" w:leader="dot" w:pos="8778"/>
        </w:tabs>
        <w:rPr>
          <w:rFonts w:eastAsia="Times New Roman"/>
          <w:smallCaps w:val="0"/>
          <w:noProof/>
          <w:sz w:val="22"/>
          <w:szCs w:val="22"/>
          <w:lang w:val="en-US"/>
        </w:rPr>
      </w:pPr>
      <w:hyperlink w:anchor="_Toc252354761" w:history="1">
        <w:r w:rsidR="00F90425" w:rsidRPr="0076012E">
          <w:rPr>
            <w:rStyle w:val="Hyperlink"/>
            <w:rFonts w:ascii="Arial" w:hAnsi="Arial" w:cs="Arial"/>
            <w:noProof/>
            <w:lang w:val="en-US"/>
          </w:rPr>
          <w:t xml:space="preserve">9.1 </w:t>
        </w:r>
        <w:r w:rsidR="00942BB8">
          <w:rPr>
            <w:rStyle w:val="Hyperlink"/>
            <w:rFonts w:ascii="Arial" w:hAnsi="Arial" w:cs="Arial"/>
            <w:noProof/>
            <w:lang w:val="en-US"/>
          </w:rPr>
          <w:t xml:space="preserve">        </w:t>
        </w:r>
        <w:r w:rsidR="00F90425" w:rsidRPr="0076012E">
          <w:rPr>
            <w:rStyle w:val="Hyperlink"/>
            <w:rFonts w:ascii="Arial" w:hAnsi="Arial" w:cs="Arial"/>
            <w:noProof/>
            <w:lang w:val="en-US"/>
          </w:rPr>
          <w:t>Identification and drafting of legal instruments</w:t>
        </w:r>
        <w:r w:rsidR="00F90425">
          <w:rPr>
            <w:noProof/>
            <w:webHidden/>
          </w:rPr>
          <w:tab/>
        </w:r>
        <w:r>
          <w:rPr>
            <w:noProof/>
            <w:webHidden/>
          </w:rPr>
          <w:fldChar w:fldCharType="begin"/>
        </w:r>
        <w:r w:rsidR="00F90425">
          <w:rPr>
            <w:noProof/>
            <w:webHidden/>
          </w:rPr>
          <w:instrText xml:space="preserve"> PAGEREF _Toc252354761 \h </w:instrText>
        </w:r>
        <w:r>
          <w:rPr>
            <w:noProof/>
            <w:webHidden/>
          </w:rPr>
        </w:r>
        <w:r>
          <w:rPr>
            <w:noProof/>
            <w:webHidden/>
          </w:rPr>
          <w:fldChar w:fldCharType="separate"/>
        </w:r>
        <w:r w:rsidR="00B4351F">
          <w:rPr>
            <w:noProof/>
            <w:webHidden/>
          </w:rPr>
          <w:t>181</w:t>
        </w:r>
        <w:r>
          <w:rPr>
            <w:noProof/>
            <w:webHidden/>
          </w:rPr>
          <w:fldChar w:fldCharType="end"/>
        </w:r>
      </w:hyperlink>
    </w:p>
    <w:p w:rsidR="00F90425" w:rsidRDefault="00C47C3B">
      <w:pPr>
        <w:pStyle w:val="TOC2"/>
        <w:tabs>
          <w:tab w:val="right" w:leader="dot" w:pos="8778"/>
        </w:tabs>
        <w:rPr>
          <w:rFonts w:eastAsia="Times New Roman"/>
          <w:smallCaps w:val="0"/>
          <w:noProof/>
          <w:sz w:val="22"/>
          <w:szCs w:val="22"/>
          <w:lang w:val="en-US"/>
        </w:rPr>
      </w:pPr>
      <w:hyperlink w:anchor="_Toc252354762" w:history="1">
        <w:r w:rsidR="00F90425" w:rsidRPr="0076012E">
          <w:rPr>
            <w:rStyle w:val="Hyperlink"/>
            <w:rFonts w:ascii="Arial" w:hAnsi="Arial" w:cs="Arial"/>
            <w:noProof/>
            <w:lang w:val="en-US"/>
          </w:rPr>
          <w:t xml:space="preserve">9.2 </w:t>
        </w:r>
        <w:r w:rsidR="00942BB8">
          <w:rPr>
            <w:rStyle w:val="Hyperlink"/>
            <w:rFonts w:ascii="Arial" w:hAnsi="Arial" w:cs="Arial"/>
            <w:noProof/>
            <w:lang w:val="en-US"/>
          </w:rPr>
          <w:t xml:space="preserve">        </w:t>
        </w:r>
        <w:r w:rsidR="00F90425" w:rsidRPr="0076012E">
          <w:rPr>
            <w:rStyle w:val="Hyperlink"/>
            <w:rFonts w:ascii="Arial" w:hAnsi="Arial" w:cs="Arial"/>
            <w:noProof/>
            <w:lang w:val="en-US"/>
          </w:rPr>
          <w:t>Reviews and Evaluations of Current Initiatives and Programmes</w:t>
        </w:r>
        <w:r w:rsidR="00F90425">
          <w:rPr>
            <w:noProof/>
            <w:webHidden/>
          </w:rPr>
          <w:tab/>
        </w:r>
        <w:r>
          <w:rPr>
            <w:noProof/>
            <w:webHidden/>
          </w:rPr>
          <w:fldChar w:fldCharType="begin"/>
        </w:r>
        <w:r w:rsidR="00F90425">
          <w:rPr>
            <w:noProof/>
            <w:webHidden/>
          </w:rPr>
          <w:instrText xml:space="preserve"> PAGEREF _Toc252354762 \h </w:instrText>
        </w:r>
        <w:r>
          <w:rPr>
            <w:noProof/>
            <w:webHidden/>
          </w:rPr>
        </w:r>
        <w:r>
          <w:rPr>
            <w:noProof/>
            <w:webHidden/>
          </w:rPr>
          <w:fldChar w:fldCharType="separate"/>
        </w:r>
        <w:r w:rsidR="00B4351F">
          <w:rPr>
            <w:noProof/>
            <w:webHidden/>
          </w:rPr>
          <w:t>182</w:t>
        </w:r>
        <w:r>
          <w:rPr>
            <w:noProof/>
            <w:webHidden/>
          </w:rPr>
          <w:fldChar w:fldCharType="end"/>
        </w:r>
      </w:hyperlink>
    </w:p>
    <w:p w:rsidR="00F90425" w:rsidRDefault="00C47C3B">
      <w:pPr>
        <w:pStyle w:val="TOC2"/>
        <w:tabs>
          <w:tab w:val="right" w:leader="dot" w:pos="8778"/>
        </w:tabs>
        <w:rPr>
          <w:rFonts w:eastAsia="Times New Roman"/>
          <w:smallCaps w:val="0"/>
          <w:noProof/>
          <w:sz w:val="22"/>
          <w:szCs w:val="22"/>
          <w:lang w:val="en-US"/>
        </w:rPr>
      </w:pPr>
      <w:hyperlink w:anchor="_Toc252354763" w:history="1">
        <w:r w:rsidR="00F90425" w:rsidRPr="0076012E">
          <w:rPr>
            <w:rStyle w:val="Hyperlink"/>
            <w:rFonts w:ascii="Arial" w:hAnsi="Arial" w:cs="Arial"/>
            <w:noProof/>
          </w:rPr>
          <w:t xml:space="preserve">9.3 </w:t>
        </w:r>
        <w:r w:rsidR="00942BB8">
          <w:rPr>
            <w:rStyle w:val="Hyperlink"/>
            <w:rFonts w:ascii="Arial" w:hAnsi="Arial" w:cs="Arial"/>
            <w:noProof/>
          </w:rPr>
          <w:t xml:space="preserve">        </w:t>
        </w:r>
        <w:r w:rsidR="00F90425" w:rsidRPr="0076012E">
          <w:rPr>
            <w:rStyle w:val="Hyperlink"/>
            <w:rFonts w:ascii="Arial" w:hAnsi="Arial" w:cs="Arial"/>
            <w:noProof/>
          </w:rPr>
          <w:t>Piloting</w:t>
        </w:r>
        <w:r w:rsidR="00F90425">
          <w:rPr>
            <w:noProof/>
            <w:webHidden/>
          </w:rPr>
          <w:tab/>
        </w:r>
        <w:r>
          <w:rPr>
            <w:noProof/>
            <w:webHidden/>
          </w:rPr>
          <w:fldChar w:fldCharType="begin"/>
        </w:r>
        <w:r w:rsidR="00F90425">
          <w:rPr>
            <w:noProof/>
            <w:webHidden/>
          </w:rPr>
          <w:instrText xml:space="preserve"> PAGEREF _Toc252354763 \h </w:instrText>
        </w:r>
        <w:r>
          <w:rPr>
            <w:noProof/>
            <w:webHidden/>
          </w:rPr>
        </w:r>
        <w:r>
          <w:rPr>
            <w:noProof/>
            <w:webHidden/>
          </w:rPr>
          <w:fldChar w:fldCharType="separate"/>
        </w:r>
        <w:r w:rsidR="00B4351F">
          <w:rPr>
            <w:noProof/>
            <w:webHidden/>
          </w:rPr>
          <w:t>183</w:t>
        </w:r>
        <w:r>
          <w:rPr>
            <w:noProof/>
            <w:webHidden/>
          </w:rPr>
          <w:fldChar w:fldCharType="end"/>
        </w:r>
      </w:hyperlink>
    </w:p>
    <w:p w:rsidR="00F90425" w:rsidRDefault="00C47C3B">
      <w:pPr>
        <w:pStyle w:val="TOC2"/>
        <w:tabs>
          <w:tab w:val="right" w:leader="dot" w:pos="8778"/>
        </w:tabs>
        <w:rPr>
          <w:rFonts w:eastAsia="Times New Roman"/>
          <w:smallCaps w:val="0"/>
          <w:noProof/>
          <w:sz w:val="22"/>
          <w:szCs w:val="22"/>
          <w:lang w:val="en-US"/>
        </w:rPr>
      </w:pPr>
      <w:hyperlink w:anchor="_Toc252354764" w:history="1">
        <w:r w:rsidR="00F90425" w:rsidRPr="0076012E">
          <w:rPr>
            <w:rStyle w:val="Hyperlink"/>
            <w:rFonts w:ascii="Arial" w:hAnsi="Arial" w:cs="Arial"/>
            <w:noProof/>
          </w:rPr>
          <w:t xml:space="preserve">9.4 </w:t>
        </w:r>
        <w:r w:rsidR="00942BB8">
          <w:rPr>
            <w:rStyle w:val="Hyperlink"/>
            <w:rFonts w:ascii="Arial" w:hAnsi="Arial" w:cs="Arial"/>
            <w:noProof/>
          </w:rPr>
          <w:t xml:space="preserve">        </w:t>
        </w:r>
        <w:r w:rsidR="00F90425" w:rsidRPr="0076012E">
          <w:rPr>
            <w:rStyle w:val="Hyperlink"/>
            <w:rFonts w:ascii="Arial" w:hAnsi="Arial" w:cs="Arial"/>
            <w:noProof/>
          </w:rPr>
          <w:t>Research</w:t>
        </w:r>
        <w:r w:rsidR="00F90425">
          <w:rPr>
            <w:noProof/>
            <w:webHidden/>
          </w:rPr>
          <w:tab/>
        </w:r>
        <w:r>
          <w:rPr>
            <w:noProof/>
            <w:webHidden/>
          </w:rPr>
          <w:fldChar w:fldCharType="begin"/>
        </w:r>
        <w:r w:rsidR="00F90425">
          <w:rPr>
            <w:noProof/>
            <w:webHidden/>
          </w:rPr>
          <w:instrText xml:space="preserve"> PAGEREF _Toc252354764 \h </w:instrText>
        </w:r>
        <w:r>
          <w:rPr>
            <w:noProof/>
            <w:webHidden/>
          </w:rPr>
        </w:r>
        <w:r>
          <w:rPr>
            <w:noProof/>
            <w:webHidden/>
          </w:rPr>
          <w:fldChar w:fldCharType="separate"/>
        </w:r>
        <w:r w:rsidR="00B4351F">
          <w:rPr>
            <w:noProof/>
            <w:webHidden/>
          </w:rPr>
          <w:t>183</w:t>
        </w:r>
        <w:r>
          <w:rPr>
            <w:noProof/>
            <w:webHidden/>
          </w:rPr>
          <w:fldChar w:fldCharType="end"/>
        </w:r>
      </w:hyperlink>
    </w:p>
    <w:p w:rsidR="00F90425" w:rsidRDefault="00C47C3B">
      <w:pPr>
        <w:pStyle w:val="TOC2"/>
        <w:tabs>
          <w:tab w:val="right" w:leader="dot" w:pos="8778"/>
        </w:tabs>
        <w:rPr>
          <w:rFonts w:eastAsia="Times New Roman"/>
          <w:smallCaps w:val="0"/>
          <w:noProof/>
          <w:sz w:val="22"/>
          <w:szCs w:val="22"/>
          <w:lang w:val="en-US"/>
        </w:rPr>
      </w:pPr>
      <w:hyperlink w:anchor="_Toc252354765" w:history="1">
        <w:r w:rsidR="00F90425" w:rsidRPr="0076012E">
          <w:rPr>
            <w:rStyle w:val="Hyperlink"/>
            <w:rFonts w:ascii="Arial" w:hAnsi="Arial" w:cs="Arial"/>
            <w:noProof/>
          </w:rPr>
          <w:t xml:space="preserve">9.5 </w:t>
        </w:r>
        <w:r w:rsidR="00942BB8">
          <w:rPr>
            <w:rStyle w:val="Hyperlink"/>
            <w:rFonts w:ascii="Arial" w:hAnsi="Arial" w:cs="Arial"/>
            <w:noProof/>
          </w:rPr>
          <w:t xml:space="preserve">        </w:t>
        </w:r>
        <w:r w:rsidR="00F90425" w:rsidRPr="0076012E">
          <w:rPr>
            <w:rStyle w:val="Hyperlink"/>
            <w:rFonts w:ascii="Arial" w:hAnsi="Arial" w:cs="Arial"/>
            <w:noProof/>
          </w:rPr>
          <w:t>Analysis and Consultation</w:t>
        </w:r>
        <w:r w:rsidR="00F90425">
          <w:rPr>
            <w:noProof/>
            <w:webHidden/>
          </w:rPr>
          <w:tab/>
        </w:r>
        <w:r>
          <w:rPr>
            <w:noProof/>
            <w:webHidden/>
          </w:rPr>
          <w:fldChar w:fldCharType="begin"/>
        </w:r>
        <w:r w:rsidR="00F90425">
          <w:rPr>
            <w:noProof/>
            <w:webHidden/>
          </w:rPr>
          <w:instrText xml:space="preserve"> PAGEREF _Toc252354765 \h </w:instrText>
        </w:r>
        <w:r>
          <w:rPr>
            <w:noProof/>
            <w:webHidden/>
          </w:rPr>
        </w:r>
        <w:r>
          <w:rPr>
            <w:noProof/>
            <w:webHidden/>
          </w:rPr>
          <w:fldChar w:fldCharType="separate"/>
        </w:r>
        <w:r w:rsidR="00B4351F">
          <w:rPr>
            <w:noProof/>
            <w:webHidden/>
          </w:rPr>
          <w:t>183</w:t>
        </w:r>
        <w:r>
          <w:rPr>
            <w:noProof/>
            <w:webHidden/>
          </w:rPr>
          <w:fldChar w:fldCharType="end"/>
        </w:r>
      </w:hyperlink>
    </w:p>
    <w:p w:rsidR="00F90425" w:rsidRDefault="00C47C3B">
      <w:pPr>
        <w:pStyle w:val="TOC1"/>
        <w:tabs>
          <w:tab w:val="right" w:leader="dot" w:pos="8778"/>
        </w:tabs>
        <w:rPr>
          <w:rFonts w:eastAsia="Times New Roman"/>
          <w:b w:val="0"/>
          <w:bCs w:val="0"/>
          <w:caps w:val="0"/>
          <w:noProof/>
          <w:sz w:val="22"/>
          <w:szCs w:val="22"/>
          <w:lang w:val="en-US"/>
        </w:rPr>
      </w:pPr>
      <w:hyperlink w:anchor="_Toc252354766" w:history="1">
        <w:r w:rsidR="00F90425" w:rsidRPr="0076012E">
          <w:rPr>
            <w:rStyle w:val="Hyperlink"/>
            <w:noProof/>
          </w:rPr>
          <w:t>References</w:t>
        </w:r>
        <w:r w:rsidR="00F90425">
          <w:rPr>
            <w:noProof/>
            <w:webHidden/>
          </w:rPr>
          <w:tab/>
        </w:r>
        <w:r>
          <w:rPr>
            <w:noProof/>
            <w:webHidden/>
          </w:rPr>
          <w:fldChar w:fldCharType="begin"/>
        </w:r>
        <w:r w:rsidR="00F90425">
          <w:rPr>
            <w:noProof/>
            <w:webHidden/>
          </w:rPr>
          <w:instrText xml:space="preserve"> PAGEREF _Toc252354766 \h </w:instrText>
        </w:r>
        <w:r>
          <w:rPr>
            <w:noProof/>
            <w:webHidden/>
          </w:rPr>
        </w:r>
        <w:r>
          <w:rPr>
            <w:noProof/>
            <w:webHidden/>
          </w:rPr>
          <w:fldChar w:fldCharType="separate"/>
        </w:r>
        <w:r w:rsidR="00B4351F">
          <w:rPr>
            <w:noProof/>
            <w:webHidden/>
          </w:rPr>
          <w:t>185</w:t>
        </w:r>
        <w:r>
          <w:rPr>
            <w:noProof/>
            <w:webHidden/>
          </w:rPr>
          <w:fldChar w:fldCharType="end"/>
        </w:r>
      </w:hyperlink>
    </w:p>
    <w:p w:rsidR="00F90425" w:rsidRDefault="00C47C3B">
      <w:pPr>
        <w:pStyle w:val="TOC1"/>
        <w:tabs>
          <w:tab w:val="right" w:leader="dot" w:pos="8778"/>
        </w:tabs>
        <w:rPr>
          <w:rFonts w:eastAsia="Times New Roman"/>
          <w:b w:val="0"/>
          <w:bCs w:val="0"/>
          <w:caps w:val="0"/>
          <w:noProof/>
          <w:sz w:val="22"/>
          <w:szCs w:val="22"/>
          <w:lang w:val="en-US"/>
        </w:rPr>
      </w:pPr>
      <w:hyperlink w:anchor="_Toc252354767" w:history="1">
        <w:r w:rsidR="00F90425" w:rsidRPr="0076012E">
          <w:rPr>
            <w:rStyle w:val="Hyperlink"/>
            <w:noProof/>
          </w:rPr>
          <w:t>Annexes</w:t>
        </w:r>
        <w:r w:rsidR="00F90425">
          <w:rPr>
            <w:noProof/>
            <w:webHidden/>
          </w:rPr>
          <w:tab/>
        </w:r>
        <w:r>
          <w:rPr>
            <w:noProof/>
            <w:webHidden/>
          </w:rPr>
          <w:fldChar w:fldCharType="begin"/>
        </w:r>
        <w:r w:rsidR="00F90425">
          <w:rPr>
            <w:noProof/>
            <w:webHidden/>
          </w:rPr>
          <w:instrText xml:space="preserve"> PAGEREF _Toc252354767 \h </w:instrText>
        </w:r>
        <w:r>
          <w:rPr>
            <w:noProof/>
            <w:webHidden/>
          </w:rPr>
        </w:r>
        <w:r>
          <w:rPr>
            <w:noProof/>
            <w:webHidden/>
          </w:rPr>
          <w:fldChar w:fldCharType="separate"/>
        </w:r>
        <w:r w:rsidR="00B4351F">
          <w:rPr>
            <w:noProof/>
            <w:webHidden/>
          </w:rPr>
          <w:t>191</w:t>
        </w:r>
        <w:r>
          <w:rPr>
            <w:noProof/>
            <w:webHidden/>
          </w:rPr>
          <w:fldChar w:fldCharType="end"/>
        </w:r>
      </w:hyperlink>
    </w:p>
    <w:p w:rsidR="00F90425" w:rsidRDefault="00C47C3B">
      <w:pPr>
        <w:pStyle w:val="TOC1"/>
        <w:tabs>
          <w:tab w:val="right" w:leader="dot" w:pos="8778"/>
        </w:tabs>
        <w:rPr>
          <w:rFonts w:eastAsia="Times New Roman"/>
          <w:b w:val="0"/>
          <w:bCs w:val="0"/>
          <w:caps w:val="0"/>
          <w:noProof/>
          <w:sz w:val="22"/>
          <w:szCs w:val="22"/>
          <w:lang w:val="en-US"/>
        </w:rPr>
      </w:pPr>
      <w:hyperlink w:anchor="_Toc252354768" w:history="1">
        <w:r w:rsidR="00F90425" w:rsidRPr="0076012E">
          <w:rPr>
            <w:rStyle w:val="Hyperlink"/>
            <w:noProof/>
          </w:rPr>
          <w:t>Annex 1: Contributors to the study</w:t>
        </w:r>
        <w:r w:rsidR="00F90425">
          <w:rPr>
            <w:noProof/>
            <w:webHidden/>
          </w:rPr>
          <w:tab/>
        </w:r>
        <w:r>
          <w:rPr>
            <w:noProof/>
            <w:webHidden/>
          </w:rPr>
          <w:fldChar w:fldCharType="begin"/>
        </w:r>
        <w:r w:rsidR="00F90425">
          <w:rPr>
            <w:noProof/>
            <w:webHidden/>
          </w:rPr>
          <w:instrText xml:space="preserve"> PAGEREF _Toc252354768 \h </w:instrText>
        </w:r>
        <w:r>
          <w:rPr>
            <w:noProof/>
            <w:webHidden/>
          </w:rPr>
        </w:r>
        <w:r>
          <w:rPr>
            <w:noProof/>
            <w:webHidden/>
          </w:rPr>
          <w:fldChar w:fldCharType="separate"/>
        </w:r>
        <w:r w:rsidR="00B4351F">
          <w:rPr>
            <w:noProof/>
            <w:webHidden/>
          </w:rPr>
          <w:t>191</w:t>
        </w:r>
        <w:r>
          <w:rPr>
            <w:noProof/>
            <w:webHidden/>
          </w:rPr>
          <w:fldChar w:fldCharType="end"/>
        </w:r>
      </w:hyperlink>
    </w:p>
    <w:p w:rsidR="00445F77" w:rsidRPr="00445F77" w:rsidRDefault="00C47C3B">
      <w:pPr>
        <w:rPr>
          <w:rFonts w:ascii="Arial" w:hAnsi="Arial" w:cs="Arial"/>
          <w:sz w:val="24"/>
          <w:szCs w:val="24"/>
        </w:rPr>
      </w:pPr>
      <w:r w:rsidRPr="00445F77">
        <w:rPr>
          <w:rFonts w:ascii="Arial" w:hAnsi="Arial" w:cs="Arial"/>
          <w:sz w:val="24"/>
          <w:szCs w:val="24"/>
        </w:rPr>
        <w:fldChar w:fldCharType="end"/>
      </w:r>
    </w:p>
    <w:p w:rsidR="005338EA" w:rsidRPr="00445F77" w:rsidRDefault="005338EA">
      <w:pPr>
        <w:spacing w:after="0" w:line="240" w:lineRule="auto"/>
        <w:rPr>
          <w:rFonts w:ascii="Arial" w:hAnsi="Arial" w:cs="Arial"/>
          <w:b/>
          <w:color w:val="C00000"/>
          <w:sz w:val="24"/>
          <w:szCs w:val="24"/>
        </w:rPr>
      </w:pPr>
      <w:r w:rsidRPr="00445F77">
        <w:rPr>
          <w:rFonts w:ascii="Arial" w:hAnsi="Arial" w:cs="Arial"/>
          <w:b/>
          <w:color w:val="C00000"/>
          <w:sz w:val="24"/>
          <w:szCs w:val="24"/>
        </w:rPr>
        <w:br w:type="page"/>
      </w:r>
    </w:p>
    <w:p w:rsidR="00351F2C" w:rsidRPr="00445F77" w:rsidRDefault="00351F2C" w:rsidP="00C360D5">
      <w:pPr>
        <w:spacing w:after="0" w:line="240" w:lineRule="auto"/>
        <w:jc w:val="both"/>
        <w:rPr>
          <w:rFonts w:ascii="Arial" w:hAnsi="Arial" w:cs="Arial"/>
          <w:b/>
          <w:color w:val="C00000"/>
          <w:sz w:val="24"/>
          <w:szCs w:val="24"/>
        </w:rPr>
      </w:pPr>
    </w:p>
    <w:p w:rsidR="00351F2C" w:rsidRPr="00445F77" w:rsidRDefault="00351F2C" w:rsidP="003B7440">
      <w:pPr>
        <w:spacing w:after="0" w:line="240" w:lineRule="auto"/>
        <w:contextualSpacing/>
        <w:jc w:val="center"/>
        <w:rPr>
          <w:rFonts w:ascii="Arial" w:hAnsi="Arial" w:cs="Arial"/>
          <w:b/>
          <w:color w:val="C00000"/>
          <w:sz w:val="24"/>
          <w:szCs w:val="24"/>
        </w:rPr>
      </w:pPr>
      <w:r w:rsidRPr="00445F77">
        <w:rPr>
          <w:rFonts w:ascii="Arial" w:hAnsi="Arial" w:cs="Arial"/>
          <w:b/>
          <w:color w:val="C00000"/>
          <w:sz w:val="24"/>
          <w:szCs w:val="24"/>
        </w:rPr>
        <w:t>List of Acronyms</w:t>
      </w:r>
    </w:p>
    <w:p w:rsidR="00351F2C" w:rsidRPr="00445F77" w:rsidRDefault="00351F2C" w:rsidP="006367E3">
      <w:pPr>
        <w:spacing w:after="0" w:line="240" w:lineRule="auto"/>
        <w:contextualSpacing/>
        <w:jc w:val="both"/>
        <w:rPr>
          <w:rFonts w:ascii="Arial" w:hAnsi="Arial" w:cs="Arial"/>
          <w:b/>
          <w:color w:val="C00000"/>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728"/>
        <w:gridCol w:w="7276"/>
      </w:tblGrid>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5MHRP</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Five-Million Hectare Reforestation Programme (also the “661 Programme”)</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ADB</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Asian Development Bank</w:t>
            </w:r>
          </w:p>
        </w:tc>
      </w:tr>
      <w:tr w:rsidR="00830DCC" w:rsidRPr="00445F77">
        <w:tc>
          <w:tcPr>
            <w:tcW w:w="1728"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AR-CDM</w:t>
            </w:r>
          </w:p>
        </w:tc>
        <w:tc>
          <w:tcPr>
            <w:tcW w:w="7276"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 xml:space="preserve">Afforestation/reforestation Clean Development Mechanism </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AWG-LCA</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Ad-hoc Working Group on Long-term Cooperative Action</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BDS</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Benefit Distribution System</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BNDES</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National Bank for Social and Economic Development (Brazil)</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CCBA</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Climate Community and Biodiversity Alliance</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CDM</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Clean Development Mechanism</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CEMMA</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Committee for Ethnic Minorities in Mountainous Areas</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CER</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Certified Emission Reductions</w:t>
            </w:r>
          </w:p>
        </w:tc>
      </w:tr>
      <w:tr w:rsidR="00830DCC" w:rsidRPr="00445F77">
        <w:tc>
          <w:tcPr>
            <w:tcW w:w="1728"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CFM</w:t>
            </w:r>
          </w:p>
        </w:tc>
        <w:tc>
          <w:tcPr>
            <w:tcW w:w="7276"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Community Forest Management</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CIFOR</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Centre for International Forestry Research</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CoP</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Conference of the Parties</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CPC</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Commune Peoples’ Committee</w:t>
            </w:r>
          </w:p>
        </w:tc>
      </w:tr>
      <w:tr w:rsidR="004C481E" w:rsidRPr="00445F77">
        <w:tc>
          <w:tcPr>
            <w:tcW w:w="1728" w:type="dxa"/>
            <w:shd w:val="clear" w:color="auto" w:fill="DBE5F1"/>
          </w:tcPr>
          <w:p w:rsidR="004C481E" w:rsidRPr="003D2B4C" w:rsidRDefault="004C481E"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CSO</w:t>
            </w:r>
          </w:p>
        </w:tc>
        <w:tc>
          <w:tcPr>
            <w:tcW w:w="7276" w:type="dxa"/>
            <w:shd w:val="clear" w:color="auto" w:fill="DBE5F1"/>
          </w:tcPr>
          <w:p w:rsidR="004C481E" w:rsidRPr="003D2B4C" w:rsidRDefault="004C481E"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Civil Society Organization</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DARD</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Department of Agriculture and Rural Development</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DfID</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Department for International Development (UK)</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DoF</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Department of Forestry</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DPC</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District Peoples’ Committee</w:t>
            </w:r>
          </w:p>
        </w:tc>
      </w:tr>
      <w:tr w:rsidR="00830DCC" w:rsidRPr="00445F77">
        <w:tc>
          <w:tcPr>
            <w:tcW w:w="1728"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EUR</w:t>
            </w:r>
          </w:p>
        </w:tc>
        <w:tc>
          <w:tcPr>
            <w:tcW w:w="7276"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Euros</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FC</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Forestry Company</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FCPF</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Forest Carbon Partnership Facility</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FDI</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lang w:val="en-US"/>
              </w:rPr>
            </w:pPr>
            <w:r w:rsidRPr="003D2B4C">
              <w:rPr>
                <w:rFonts w:ascii="Book Antiqua" w:hAnsi="Book Antiqua" w:cs="Arial"/>
                <w:color w:val="000000"/>
                <w:sz w:val="20"/>
                <w:szCs w:val="20"/>
                <w:lang w:val="en-US"/>
              </w:rPr>
              <w:t>Foreign Direct Investment</w:t>
            </w:r>
          </w:p>
        </w:tc>
      </w:tr>
      <w:tr w:rsidR="00830DCC" w:rsidRPr="00445F77">
        <w:tc>
          <w:tcPr>
            <w:tcW w:w="1728"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FIPI</w:t>
            </w:r>
          </w:p>
        </w:tc>
        <w:tc>
          <w:tcPr>
            <w:tcW w:w="7276" w:type="dxa"/>
            <w:shd w:val="clear" w:color="auto" w:fill="DBE5F1"/>
          </w:tcPr>
          <w:p w:rsidR="00830DCC" w:rsidRPr="003D2B4C" w:rsidRDefault="00830DCC" w:rsidP="003D2B4C">
            <w:pPr>
              <w:spacing w:after="0" w:line="240" w:lineRule="auto"/>
              <w:rPr>
                <w:rFonts w:ascii="Book Antiqua" w:hAnsi="Book Antiqua" w:cs="Arial"/>
                <w:color w:val="000000"/>
                <w:sz w:val="20"/>
                <w:szCs w:val="20"/>
                <w:lang w:val="en-US"/>
              </w:rPr>
            </w:pPr>
            <w:r w:rsidRPr="003D2B4C">
              <w:rPr>
                <w:rFonts w:ascii="Book Antiqua" w:hAnsi="Book Antiqua" w:cs="Arial"/>
                <w:color w:val="000000"/>
                <w:sz w:val="20"/>
                <w:szCs w:val="20"/>
                <w:lang w:val="en-US"/>
              </w:rPr>
              <w:t>Forest Inventory and Planning Institute</w:t>
            </w:r>
          </w:p>
        </w:tc>
      </w:tr>
      <w:tr w:rsidR="00830DCC" w:rsidRPr="00445F77">
        <w:tc>
          <w:tcPr>
            <w:tcW w:w="1728"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FLEG</w:t>
            </w:r>
          </w:p>
        </w:tc>
        <w:tc>
          <w:tcPr>
            <w:tcW w:w="7276" w:type="dxa"/>
            <w:shd w:val="clear" w:color="auto" w:fill="DBE5F1"/>
          </w:tcPr>
          <w:p w:rsidR="00830DCC" w:rsidRPr="003D2B4C" w:rsidRDefault="00830DCC" w:rsidP="003D2B4C">
            <w:pPr>
              <w:spacing w:after="0" w:line="240" w:lineRule="auto"/>
              <w:rPr>
                <w:rFonts w:ascii="Book Antiqua" w:hAnsi="Book Antiqua" w:cs="Arial"/>
                <w:color w:val="000000"/>
                <w:sz w:val="20"/>
                <w:szCs w:val="20"/>
                <w:lang w:val="en-US"/>
              </w:rPr>
            </w:pPr>
            <w:r w:rsidRPr="003D2B4C">
              <w:rPr>
                <w:rFonts w:ascii="Book Antiqua" w:hAnsi="Book Antiqua" w:cs="Arial"/>
                <w:color w:val="000000"/>
                <w:sz w:val="20"/>
                <w:szCs w:val="20"/>
                <w:lang w:val="en-US"/>
              </w:rPr>
              <w:t>Forest Law Enforcement and Governance</w:t>
            </w:r>
          </w:p>
        </w:tc>
      </w:tr>
      <w:tr w:rsidR="00830DCC" w:rsidRPr="00445F77">
        <w:tc>
          <w:tcPr>
            <w:tcW w:w="1728"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FLEGT</w:t>
            </w:r>
          </w:p>
        </w:tc>
        <w:tc>
          <w:tcPr>
            <w:tcW w:w="7276" w:type="dxa"/>
            <w:shd w:val="clear" w:color="auto" w:fill="DBE5F1"/>
          </w:tcPr>
          <w:p w:rsidR="00830DCC" w:rsidRPr="003D2B4C" w:rsidRDefault="00830DCC" w:rsidP="003D2B4C">
            <w:pPr>
              <w:spacing w:after="0" w:line="240" w:lineRule="auto"/>
              <w:rPr>
                <w:rFonts w:ascii="Book Antiqua" w:hAnsi="Book Antiqua" w:cs="Arial"/>
                <w:color w:val="000000"/>
                <w:sz w:val="20"/>
                <w:szCs w:val="20"/>
                <w:lang w:val="en-US"/>
              </w:rPr>
            </w:pPr>
            <w:r w:rsidRPr="003D2B4C">
              <w:rPr>
                <w:rFonts w:ascii="Book Antiqua" w:hAnsi="Book Antiqua" w:cs="Arial"/>
                <w:color w:val="000000"/>
                <w:sz w:val="20"/>
                <w:szCs w:val="20"/>
                <w:lang w:val="en-US"/>
              </w:rPr>
              <w:t>Forest Law Enforcement, Governance, and Trade</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FLITCH</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lang w:val="en-US"/>
              </w:rPr>
              <w:t>Forest and Livelihoods Improvements in the Central Highlands project</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FONAFIFO</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lang w:val="en-US"/>
              </w:rPr>
              <w:t>National Forestry Financing Fund (Costa Rica)</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FPD</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Forest Protection Department</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FPDF</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Forest Protection and Development Fund</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FPU</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Forest Protection Unit</w:t>
            </w:r>
          </w:p>
        </w:tc>
      </w:tr>
      <w:tr w:rsidR="00830DCC" w:rsidRPr="00445F77">
        <w:tc>
          <w:tcPr>
            <w:tcW w:w="1728"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FSDP</w:t>
            </w:r>
          </w:p>
        </w:tc>
        <w:tc>
          <w:tcPr>
            <w:tcW w:w="7276"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Forest Sector Development Project</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FSSP</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Forest Sector Support Programme</w:t>
            </w:r>
          </w:p>
        </w:tc>
      </w:tr>
      <w:tr w:rsidR="00830DCC" w:rsidRPr="00445F77">
        <w:tc>
          <w:tcPr>
            <w:tcW w:w="1728"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GEF</w:t>
            </w:r>
          </w:p>
        </w:tc>
        <w:tc>
          <w:tcPr>
            <w:tcW w:w="7276"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Global Environment Facility</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GoV</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 xml:space="preserve">Government of </w:t>
            </w:r>
            <w:r w:rsidR="00480D3D" w:rsidRPr="003D2B4C">
              <w:rPr>
                <w:rFonts w:ascii="Book Antiqua" w:hAnsi="Book Antiqua" w:cs="Arial"/>
                <w:color w:val="000000"/>
                <w:sz w:val="20"/>
                <w:szCs w:val="20"/>
              </w:rPr>
              <w:t>Viet Nam</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GTZ</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Deutsche Gesellschaft für Technische Zusammenarbeit</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IIED</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International Institute for Environment and Development</w:t>
            </w:r>
          </w:p>
        </w:tc>
      </w:tr>
      <w:tr w:rsidR="00351F2C" w:rsidRPr="00942BB8">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IUPJL</w:t>
            </w:r>
          </w:p>
        </w:tc>
        <w:tc>
          <w:tcPr>
            <w:tcW w:w="7276" w:type="dxa"/>
            <w:shd w:val="clear" w:color="auto" w:fill="DBE5F1"/>
          </w:tcPr>
          <w:p w:rsidR="00351F2C" w:rsidRPr="00C93DB5" w:rsidRDefault="00351F2C" w:rsidP="003D2B4C">
            <w:pPr>
              <w:spacing w:after="0" w:line="240" w:lineRule="auto"/>
              <w:rPr>
                <w:rStyle w:val="Emphasis"/>
                <w:rFonts w:ascii="Book Antiqua" w:hAnsi="Book Antiqua" w:cs="Arial"/>
                <w:b w:val="0"/>
                <w:color w:val="000000"/>
                <w:sz w:val="20"/>
                <w:szCs w:val="20"/>
                <w:lang w:val="es-CR"/>
              </w:rPr>
            </w:pPr>
            <w:r w:rsidRPr="00C93DB5">
              <w:rPr>
                <w:rFonts w:ascii="Book Antiqua" w:hAnsi="Book Antiqua" w:cs="Arial"/>
                <w:iCs/>
                <w:color w:val="000000"/>
                <w:sz w:val="20"/>
                <w:szCs w:val="20"/>
                <w:lang w:val="es-CR"/>
              </w:rPr>
              <w:t>Izin Usaha Pemanfaatan Jasa Lingkungan</w:t>
            </w:r>
          </w:p>
        </w:tc>
      </w:tr>
      <w:tr w:rsidR="00830DCC" w:rsidRPr="00445F77">
        <w:tc>
          <w:tcPr>
            <w:tcW w:w="1728"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IWG-IFR</w:t>
            </w:r>
          </w:p>
        </w:tc>
        <w:tc>
          <w:tcPr>
            <w:tcW w:w="7276" w:type="dxa"/>
            <w:shd w:val="clear" w:color="auto" w:fill="DBE5F1"/>
          </w:tcPr>
          <w:p w:rsidR="00830DCC" w:rsidRPr="003D2B4C" w:rsidRDefault="00830DCC" w:rsidP="003D2B4C">
            <w:pPr>
              <w:spacing w:after="0" w:line="240" w:lineRule="auto"/>
              <w:rPr>
                <w:rStyle w:val="Emphasis"/>
                <w:rFonts w:ascii="Book Antiqua" w:hAnsi="Book Antiqua" w:cs="Arial"/>
                <w:b w:val="0"/>
                <w:color w:val="000000"/>
                <w:sz w:val="20"/>
                <w:szCs w:val="20"/>
              </w:rPr>
            </w:pPr>
            <w:r w:rsidRPr="003D2B4C">
              <w:rPr>
                <w:rStyle w:val="Emphasis"/>
                <w:rFonts w:ascii="Book Antiqua" w:hAnsi="Book Antiqua" w:cs="Arial"/>
                <w:b w:val="0"/>
                <w:color w:val="000000"/>
                <w:sz w:val="20"/>
                <w:szCs w:val="20"/>
              </w:rPr>
              <w:t>International Working Group on Interim Financing for REDD</w:t>
            </w:r>
          </w:p>
        </w:tc>
      </w:tr>
      <w:tr w:rsidR="00830DCC" w:rsidRPr="00445F77">
        <w:tc>
          <w:tcPr>
            <w:tcW w:w="1728"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JICA</w:t>
            </w:r>
          </w:p>
        </w:tc>
        <w:tc>
          <w:tcPr>
            <w:tcW w:w="7276" w:type="dxa"/>
            <w:shd w:val="clear" w:color="auto" w:fill="DBE5F1"/>
          </w:tcPr>
          <w:p w:rsidR="00830DCC" w:rsidRPr="003D2B4C" w:rsidRDefault="00830DCC" w:rsidP="003D2B4C">
            <w:pPr>
              <w:spacing w:after="0" w:line="240" w:lineRule="auto"/>
              <w:rPr>
                <w:rStyle w:val="Emphasis"/>
                <w:rFonts w:ascii="Book Antiqua" w:hAnsi="Book Antiqua" w:cs="Arial"/>
                <w:b w:val="0"/>
                <w:color w:val="000000"/>
                <w:sz w:val="20"/>
                <w:szCs w:val="20"/>
              </w:rPr>
            </w:pPr>
            <w:r w:rsidRPr="003D2B4C">
              <w:rPr>
                <w:rStyle w:val="Emphasis"/>
                <w:rFonts w:ascii="Book Antiqua" w:hAnsi="Book Antiqua" w:cs="Arial"/>
                <w:b w:val="0"/>
                <w:color w:val="000000"/>
                <w:sz w:val="20"/>
                <w:szCs w:val="20"/>
              </w:rPr>
              <w:t>Japanese International Cooperation Agency</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KfW</w:t>
            </w:r>
          </w:p>
        </w:tc>
        <w:tc>
          <w:tcPr>
            <w:tcW w:w="7276" w:type="dxa"/>
            <w:shd w:val="clear" w:color="auto" w:fill="DBE5F1"/>
          </w:tcPr>
          <w:p w:rsidR="00351F2C" w:rsidRPr="003D2B4C" w:rsidRDefault="00351F2C" w:rsidP="003D2B4C">
            <w:pPr>
              <w:spacing w:after="0" w:line="240" w:lineRule="auto"/>
              <w:rPr>
                <w:rFonts w:ascii="Book Antiqua" w:hAnsi="Book Antiqua" w:cs="Arial"/>
                <w:b/>
                <w:color w:val="000000"/>
                <w:sz w:val="20"/>
                <w:szCs w:val="20"/>
              </w:rPr>
            </w:pPr>
            <w:r w:rsidRPr="003D2B4C">
              <w:rPr>
                <w:rStyle w:val="Emphasis"/>
                <w:rFonts w:ascii="Book Antiqua" w:hAnsi="Book Antiqua" w:cs="Arial"/>
                <w:b w:val="0"/>
                <w:color w:val="000000"/>
                <w:sz w:val="20"/>
                <w:szCs w:val="20"/>
              </w:rPr>
              <w:t>Kreditanstalt für Wiederaufbau</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MARD</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Ministry of Agriculture and Rural Development</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MODIS</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Moderate Resolution Imaging Spectroradiometer</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MoF</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Ministry of Finance</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MONRE</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Ministry of Natural Resources and the Environment</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MoU</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Memorandum of Understanding</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MPI</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Ministry of Planning and Investment</w:t>
            </w:r>
          </w:p>
        </w:tc>
      </w:tr>
      <w:tr w:rsidR="00830DCC" w:rsidRPr="00445F77">
        <w:tc>
          <w:tcPr>
            <w:tcW w:w="1728"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MRV</w:t>
            </w:r>
          </w:p>
        </w:tc>
        <w:tc>
          <w:tcPr>
            <w:tcW w:w="7276" w:type="dxa"/>
            <w:shd w:val="clear" w:color="auto" w:fill="DBE5F1"/>
          </w:tcPr>
          <w:p w:rsidR="00830DCC" w:rsidRPr="003D2B4C" w:rsidRDefault="00830DC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Measurement, Reporting and Verification</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NA</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National Assembly</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NGO</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Non-governmental Organization</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lastRenderedPageBreak/>
              <w:t>ODA</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Overseas Development Assistance</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PAMB</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Protected Area Management Board</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PARC</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 xml:space="preserve">Creating Protected Areas for Resource Conservation in </w:t>
            </w:r>
            <w:r w:rsidR="00480D3D" w:rsidRPr="003D2B4C">
              <w:rPr>
                <w:rFonts w:ascii="Book Antiqua" w:hAnsi="Book Antiqua" w:cs="Arial"/>
                <w:color w:val="000000"/>
                <w:sz w:val="20"/>
                <w:szCs w:val="20"/>
              </w:rPr>
              <w:t>Viet Nam</w:t>
            </w:r>
            <w:r w:rsidRPr="003D2B4C">
              <w:rPr>
                <w:rFonts w:ascii="Book Antiqua" w:hAnsi="Book Antiqua" w:cs="Arial"/>
                <w:color w:val="000000"/>
                <w:sz w:val="20"/>
                <w:szCs w:val="20"/>
              </w:rPr>
              <w:t xml:space="preserve"> Using a Landscape Ecology Approach project</w:t>
            </w:r>
          </w:p>
        </w:tc>
      </w:tr>
      <w:tr w:rsidR="001B6D90" w:rsidRPr="00445F77">
        <w:tc>
          <w:tcPr>
            <w:tcW w:w="1728" w:type="dxa"/>
            <w:shd w:val="clear" w:color="auto" w:fill="DBE5F1"/>
          </w:tcPr>
          <w:p w:rsidR="001B6D90" w:rsidRPr="003D2B4C" w:rsidRDefault="001B6D90"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PEHS</w:t>
            </w:r>
          </w:p>
        </w:tc>
        <w:tc>
          <w:tcPr>
            <w:tcW w:w="7276" w:type="dxa"/>
            <w:shd w:val="clear" w:color="auto" w:fill="DBE5F1"/>
          </w:tcPr>
          <w:p w:rsidR="001B6D90" w:rsidRPr="003D2B4C" w:rsidRDefault="001B6D90"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Payment for environmental and hydrological services</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PES</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Payment for Ecosystem Services</w:t>
            </w:r>
          </w:p>
        </w:tc>
      </w:tr>
      <w:tr w:rsidR="001B6D90" w:rsidRPr="00445F77">
        <w:tc>
          <w:tcPr>
            <w:tcW w:w="1728" w:type="dxa"/>
            <w:shd w:val="clear" w:color="auto" w:fill="DBE5F1"/>
          </w:tcPr>
          <w:p w:rsidR="001B6D90" w:rsidRPr="003D2B4C" w:rsidRDefault="001B6D90"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PFES</w:t>
            </w:r>
          </w:p>
        </w:tc>
        <w:tc>
          <w:tcPr>
            <w:tcW w:w="7276" w:type="dxa"/>
            <w:shd w:val="clear" w:color="auto" w:fill="DBE5F1"/>
          </w:tcPr>
          <w:p w:rsidR="001B6D90" w:rsidRPr="003D2B4C" w:rsidRDefault="001B6D90"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Payment for Forest Ecological Services</w:t>
            </w:r>
          </w:p>
        </w:tc>
      </w:tr>
      <w:tr w:rsidR="001B6D90" w:rsidRPr="00445F77">
        <w:tc>
          <w:tcPr>
            <w:tcW w:w="1728" w:type="dxa"/>
            <w:shd w:val="clear" w:color="auto" w:fill="DBE5F1"/>
          </w:tcPr>
          <w:p w:rsidR="001B6D90" w:rsidRPr="003D2B4C" w:rsidRDefault="001B6D90"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PFMB</w:t>
            </w:r>
          </w:p>
        </w:tc>
        <w:tc>
          <w:tcPr>
            <w:tcW w:w="7276" w:type="dxa"/>
            <w:shd w:val="clear" w:color="auto" w:fill="DBE5F1"/>
          </w:tcPr>
          <w:p w:rsidR="001B6D90" w:rsidRPr="003D2B4C" w:rsidRDefault="001B6D90" w:rsidP="0056739A">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Management Board for Protect</w:t>
            </w:r>
            <w:r w:rsidR="0056739A">
              <w:rPr>
                <w:rFonts w:ascii="Book Antiqua" w:hAnsi="Book Antiqua" w:cs="Arial"/>
                <w:color w:val="000000"/>
                <w:sz w:val="20"/>
                <w:szCs w:val="20"/>
              </w:rPr>
              <w:t>ion</w:t>
            </w:r>
            <w:r w:rsidRPr="003D2B4C">
              <w:rPr>
                <w:rFonts w:ascii="Book Antiqua" w:hAnsi="Book Antiqua" w:cs="Arial"/>
                <w:color w:val="000000"/>
                <w:sz w:val="20"/>
                <w:szCs w:val="20"/>
              </w:rPr>
              <w:t xml:space="preserve"> Forest</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PPC</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Provincial Peoples’ Committee</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PROFAFOR</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lang w:val="en-US"/>
              </w:rPr>
              <w:t>Forests Absorbing Carbon-dioxide Emissions Forestation Program (Ecuador)</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RED</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Reducing Emissions from Deforestation</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REDD</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Reducing Emissions from Deforestation and Forest Degradation</w:t>
            </w:r>
          </w:p>
        </w:tc>
      </w:tr>
      <w:tr w:rsidR="00351F2C" w:rsidRPr="00445F77">
        <w:tc>
          <w:tcPr>
            <w:tcW w:w="1728" w:type="dxa"/>
            <w:shd w:val="clear" w:color="auto" w:fill="DBE5F1"/>
          </w:tcPr>
          <w:p w:rsidR="00351F2C" w:rsidRPr="003D2B4C" w:rsidRDefault="001B6D90"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REDD+</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Reducing Emissions from Deforestation and Forest Degradation, Sustainable Forest Management, Forest Conservation, and Enhancement of C-stocks</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R-PIN</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 xml:space="preserve">Readiness Project Identification </w:t>
            </w:r>
            <w:r w:rsidR="0074733F" w:rsidRPr="003D2B4C">
              <w:rPr>
                <w:rFonts w:ascii="Book Antiqua" w:hAnsi="Book Antiqua" w:cs="Arial"/>
                <w:color w:val="000000"/>
                <w:sz w:val="20"/>
                <w:szCs w:val="20"/>
              </w:rPr>
              <w:t>N</w:t>
            </w:r>
            <w:r w:rsidRPr="003D2B4C">
              <w:rPr>
                <w:rFonts w:ascii="Book Antiqua" w:hAnsi="Book Antiqua" w:cs="Arial"/>
                <w:color w:val="000000"/>
                <w:sz w:val="20"/>
                <w:szCs w:val="20"/>
              </w:rPr>
              <w:t>ote</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SBSTA</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Subsidiary Body for Scientific and Technical Advice</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SEDP</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Social and Economic Development Plan</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SFE</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State Forest Enterprise</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SNV</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Stichting Nederlandse Vrijwilligers (Netherlands Development Agency)</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SOC</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State-Owned Company</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TFF</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Trust Fund for Forests</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UNFCCC</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United Nations Framework Convention on Climate Change</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UN-REDD</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United National Programme to Reduce Emissions from Deforestation and Forest Degradation</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VBARD</w:t>
            </w:r>
          </w:p>
        </w:tc>
        <w:tc>
          <w:tcPr>
            <w:tcW w:w="7276" w:type="dxa"/>
            <w:shd w:val="clear" w:color="auto" w:fill="DBE5F1"/>
          </w:tcPr>
          <w:p w:rsidR="00351F2C" w:rsidRPr="003D2B4C" w:rsidRDefault="00480D3D"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Viet Nam</w:t>
            </w:r>
            <w:r w:rsidR="00351F2C" w:rsidRPr="003D2B4C">
              <w:rPr>
                <w:rFonts w:ascii="Book Antiqua" w:hAnsi="Book Antiqua" w:cs="Arial"/>
                <w:color w:val="000000"/>
                <w:sz w:val="20"/>
                <w:szCs w:val="20"/>
              </w:rPr>
              <w:t xml:space="preserve"> Bank for Agriculture and Rural Development</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VCS</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Voluntary Carbon Standards</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VER</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Verified Emission Reductions</w:t>
            </w:r>
          </w:p>
        </w:tc>
      </w:tr>
      <w:tr w:rsidR="00351F2C" w:rsidRPr="00445F77">
        <w:tc>
          <w:tcPr>
            <w:tcW w:w="1728"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VND</w:t>
            </w:r>
          </w:p>
        </w:tc>
        <w:tc>
          <w:tcPr>
            <w:tcW w:w="7276" w:type="dxa"/>
            <w:shd w:val="clear" w:color="auto" w:fill="DBE5F1"/>
          </w:tcPr>
          <w:p w:rsidR="00351F2C" w:rsidRPr="003D2B4C" w:rsidRDefault="00351F2C"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Viet Nam Dong (US$ 1 = approx VND 18,000)</w:t>
            </w:r>
          </w:p>
        </w:tc>
      </w:tr>
      <w:tr w:rsidR="00D7117B" w:rsidRPr="00445F77">
        <w:tc>
          <w:tcPr>
            <w:tcW w:w="1728" w:type="dxa"/>
            <w:shd w:val="clear" w:color="auto" w:fill="DBE5F1"/>
          </w:tcPr>
          <w:p w:rsidR="00D7117B" w:rsidRPr="003D2B4C" w:rsidRDefault="00D7117B"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WB</w:t>
            </w:r>
          </w:p>
        </w:tc>
        <w:tc>
          <w:tcPr>
            <w:tcW w:w="7276" w:type="dxa"/>
            <w:shd w:val="clear" w:color="auto" w:fill="DBE5F1"/>
          </w:tcPr>
          <w:p w:rsidR="00D7117B" w:rsidRPr="003D2B4C" w:rsidRDefault="00D7117B" w:rsidP="003D2B4C">
            <w:pPr>
              <w:spacing w:after="0" w:line="240" w:lineRule="auto"/>
              <w:rPr>
                <w:rFonts w:ascii="Book Antiqua" w:hAnsi="Book Antiqua" w:cs="Arial"/>
                <w:color w:val="000000"/>
                <w:sz w:val="20"/>
                <w:szCs w:val="20"/>
              </w:rPr>
            </w:pPr>
            <w:r w:rsidRPr="003D2B4C">
              <w:rPr>
                <w:rFonts w:ascii="Book Antiqua" w:hAnsi="Book Antiqua" w:cs="Arial"/>
                <w:color w:val="000000"/>
                <w:sz w:val="20"/>
                <w:szCs w:val="20"/>
              </w:rPr>
              <w:t>World Bank</w:t>
            </w:r>
          </w:p>
        </w:tc>
      </w:tr>
    </w:tbl>
    <w:p w:rsidR="00351F2C" w:rsidRPr="00445F77" w:rsidRDefault="00351F2C" w:rsidP="007141C6">
      <w:pPr>
        <w:spacing w:after="0" w:line="240" w:lineRule="auto"/>
        <w:rPr>
          <w:rFonts w:ascii="Arial" w:hAnsi="Arial" w:cs="Arial"/>
          <w:color w:val="000000"/>
          <w:sz w:val="24"/>
          <w:szCs w:val="24"/>
        </w:rPr>
      </w:pPr>
      <w:r w:rsidRPr="00445F77">
        <w:rPr>
          <w:rFonts w:ascii="Arial" w:hAnsi="Arial" w:cs="Arial"/>
          <w:color w:val="000000"/>
          <w:sz w:val="24"/>
          <w:szCs w:val="24"/>
        </w:rPr>
        <w:t xml:space="preserve"> </w:t>
      </w:r>
    </w:p>
    <w:p w:rsidR="00351F2C" w:rsidRPr="00445F77" w:rsidRDefault="00351F2C" w:rsidP="005D0252">
      <w:pPr>
        <w:spacing w:after="0" w:line="300" w:lineRule="atLeast"/>
        <w:contextualSpacing/>
        <w:jc w:val="both"/>
        <w:rPr>
          <w:rFonts w:ascii="Arial" w:hAnsi="Arial" w:cs="Arial"/>
          <w:color w:val="000000"/>
          <w:sz w:val="24"/>
          <w:szCs w:val="24"/>
          <w:lang w:val="en-US"/>
        </w:rPr>
      </w:pPr>
    </w:p>
    <w:p w:rsidR="00A256CB" w:rsidRPr="00445F77" w:rsidRDefault="00A256CB">
      <w:pPr>
        <w:spacing w:after="0" w:line="240" w:lineRule="auto"/>
        <w:rPr>
          <w:rFonts w:ascii="Arial" w:hAnsi="Arial" w:cs="Arial"/>
          <w:color w:val="000000"/>
          <w:sz w:val="24"/>
          <w:szCs w:val="24"/>
          <w:lang w:val="en-US"/>
        </w:rPr>
      </w:pPr>
      <w:bookmarkStart w:id="0" w:name="_Ref242759415"/>
      <w:bookmarkStart w:id="1" w:name="_Ref243924325"/>
      <w:bookmarkStart w:id="2" w:name="_Toc243929944"/>
      <w:bookmarkStart w:id="3" w:name="_Toc243984127"/>
      <w:bookmarkStart w:id="4" w:name="_Toc244327653"/>
      <w:bookmarkStart w:id="5" w:name="_Toc244327902"/>
      <w:bookmarkStart w:id="6" w:name="_Toc243964456"/>
      <w:bookmarkStart w:id="7" w:name="_Toc243984167"/>
      <w:r w:rsidRPr="00445F77">
        <w:rPr>
          <w:rFonts w:ascii="Arial" w:hAnsi="Arial" w:cs="Arial"/>
          <w:sz w:val="24"/>
          <w:szCs w:val="24"/>
        </w:rPr>
        <w:br w:type="page"/>
      </w:r>
    </w:p>
    <w:p w:rsidR="00351F2C" w:rsidRPr="00445F77" w:rsidRDefault="00351F2C" w:rsidP="00A256CB">
      <w:pPr>
        <w:pStyle w:val="Default"/>
        <w:rPr>
          <w:rFonts w:ascii="Arial" w:hAnsi="Arial" w:cs="Arial"/>
        </w:rPr>
      </w:pPr>
    </w:p>
    <w:p w:rsidR="00351F2C" w:rsidRPr="002D0F33" w:rsidRDefault="00351F2C" w:rsidP="002D0F33">
      <w:pPr>
        <w:pStyle w:val="Heading1"/>
      </w:pPr>
      <w:bookmarkStart w:id="8" w:name="_Toc244735051"/>
      <w:bookmarkStart w:id="9" w:name="_Toc244735136"/>
      <w:bookmarkStart w:id="10" w:name="_Toc244735140"/>
      <w:bookmarkStart w:id="11" w:name="_Toc244735142"/>
      <w:bookmarkStart w:id="12" w:name="_Toc244735150"/>
      <w:bookmarkStart w:id="13" w:name="_Toc252354720"/>
      <w:bookmarkEnd w:id="0"/>
      <w:bookmarkEnd w:id="1"/>
      <w:bookmarkEnd w:id="2"/>
      <w:bookmarkEnd w:id="3"/>
      <w:bookmarkEnd w:id="4"/>
      <w:bookmarkEnd w:id="5"/>
      <w:bookmarkEnd w:id="6"/>
      <w:bookmarkEnd w:id="7"/>
      <w:bookmarkEnd w:id="8"/>
      <w:bookmarkEnd w:id="9"/>
      <w:bookmarkEnd w:id="10"/>
      <w:bookmarkEnd w:id="11"/>
      <w:bookmarkEnd w:id="12"/>
      <w:r w:rsidRPr="002D0F33">
        <w:t>Executive Summary</w:t>
      </w:r>
      <w:bookmarkEnd w:id="13"/>
    </w:p>
    <w:p w:rsidR="00351F2C" w:rsidRPr="00445F77" w:rsidRDefault="00351F2C" w:rsidP="00A256CB">
      <w:pPr>
        <w:pStyle w:val="Default"/>
        <w:jc w:val="center"/>
        <w:rPr>
          <w:rFonts w:ascii="Arial" w:hAnsi="Arial" w:cs="Arial"/>
          <w:b/>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In 2005, in response to a joint proposal from the governments of Papua New Guinea and Costa Rica, the 11th meeting of the Conference of the Parties (CoP) to the United Nations Framework Convention on Climate Change (UNFCCC) began considering the possibility of including the reduction of emissions of greenhouse gasses from deforestation and degradation (</w:t>
      </w:r>
      <w:r w:rsidR="00480D3D">
        <w:rPr>
          <w:rFonts w:ascii="Book Antiqua" w:hAnsi="Book Antiqua" w:cs="Arial"/>
          <w:sz w:val="22"/>
          <w:szCs w:val="22"/>
        </w:rPr>
        <w:t>REDD+</w:t>
      </w:r>
      <w:r w:rsidRPr="005B3882">
        <w:rPr>
          <w:rFonts w:ascii="Book Antiqua" w:hAnsi="Book Antiqua" w:cs="Arial"/>
          <w:sz w:val="22"/>
          <w:szCs w:val="22"/>
        </w:rPr>
        <w:t>)</w:t>
      </w:r>
      <w:r w:rsidRPr="005B3882">
        <w:rPr>
          <w:rStyle w:val="FootnoteReference"/>
          <w:rFonts w:ascii="Book Antiqua" w:hAnsi="Book Antiqua" w:cs="Arial"/>
          <w:sz w:val="22"/>
          <w:szCs w:val="22"/>
        </w:rPr>
        <w:footnoteReference w:id="1"/>
      </w:r>
      <w:r w:rsidRPr="005B3882">
        <w:rPr>
          <w:rFonts w:ascii="Book Antiqua" w:hAnsi="Book Antiqua" w:cs="Arial"/>
          <w:sz w:val="22"/>
          <w:szCs w:val="22"/>
        </w:rPr>
        <w:t xml:space="preserve"> into a post-Kyoto climate change mitigation agreement.  The recognition of the potential cost-effectiveness of </w:t>
      </w:r>
      <w:r w:rsidR="00480D3D">
        <w:rPr>
          <w:rFonts w:ascii="Book Antiqua" w:hAnsi="Book Antiqua" w:cs="Arial"/>
          <w:sz w:val="22"/>
          <w:szCs w:val="22"/>
        </w:rPr>
        <w:t>REDD+</w:t>
      </w:r>
      <w:r w:rsidRPr="005B3882">
        <w:rPr>
          <w:rFonts w:ascii="Book Antiqua" w:hAnsi="Book Antiqua" w:cs="Arial"/>
          <w:sz w:val="22"/>
          <w:szCs w:val="22"/>
        </w:rPr>
        <w:t xml:space="preserve"> in reducing emissions led to its inclusion in the Bali Action Plan agreed at CoP13 in 2007.  </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Viet Nam is one of nine countries where the UN-REDD Programme is supporting the development of </w:t>
      </w:r>
      <w:r w:rsidR="00480D3D">
        <w:rPr>
          <w:rFonts w:ascii="Book Antiqua" w:hAnsi="Book Antiqua" w:cs="Arial"/>
          <w:sz w:val="22"/>
          <w:szCs w:val="22"/>
        </w:rPr>
        <w:t>REDD+</w:t>
      </w:r>
      <w:r w:rsidRPr="005B3882">
        <w:rPr>
          <w:rFonts w:ascii="Book Antiqua" w:hAnsi="Book Antiqua" w:cs="Arial"/>
          <w:sz w:val="22"/>
          <w:szCs w:val="22"/>
        </w:rPr>
        <w:t xml:space="preserve"> readiness.  In preparing for </w:t>
      </w:r>
      <w:r w:rsidR="00480D3D">
        <w:rPr>
          <w:rFonts w:ascii="Book Antiqua" w:hAnsi="Book Antiqua" w:cs="Arial"/>
          <w:sz w:val="22"/>
          <w:szCs w:val="22"/>
        </w:rPr>
        <w:t>REDD+</w:t>
      </w:r>
      <w:r w:rsidRPr="005B3882">
        <w:rPr>
          <w:rFonts w:ascii="Book Antiqua" w:hAnsi="Book Antiqua" w:cs="Arial"/>
          <w:sz w:val="22"/>
          <w:szCs w:val="22"/>
        </w:rPr>
        <w:t>, there are several elements that need to be addressed</w:t>
      </w:r>
      <w:r w:rsidRPr="005B3882">
        <w:rPr>
          <w:rFonts w:ascii="Book Antiqua" w:hAnsi="Book Antiqua" w:cs="Arial"/>
          <w:sz w:val="22"/>
          <w:szCs w:val="22"/>
        </w:rPr>
        <w:sym w:font="Symbol" w:char="F0BE"/>
      </w:r>
      <w:r w:rsidRPr="005B3882">
        <w:rPr>
          <w:rFonts w:ascii="Book Antiqua" w:hAnsi="Book Antiqua" w:cs="Arial"/>
          <w:sz w:val="22"/>
          <w:szCs w:val="22"/>
        </w:rPr>
        <w:t xml:space="preserve">the “components of readiness”.  Of these, the Government of Viet Nam (GoV) identified the design of a transparent and equitable benefit distribution system (BDS) as a priority for UN-REDD support.  This is innovative because so few countries have looked at how benefits should be distributed.  It is also courageous because, unlike carbon monitoring and other technical challenges, it raises potentially sensitive governance issues. </w:t>
      </w:r>
    </w:p>
    <w:p w:rsidR="00351F2C" w:rsidRPr="00445F77" w:rsidRDefault="00351F2C" w:rsidP="00A256CB">
      <w:pPr>
        <w:pStyle w:val="Default"/>
        <w:rPr>
          <w:rFonts w:ascii="Arial" w:hAnsi="Arial" w:cs="Arial"/>
        </w:rPr>
      </w:pPr>
    </w:p>
    <w:p w:rsidR="00351F2C" w:rsidRPr="002D0F33" w:rsidRDefault="00351F2C" w:rsidP="0003235B">
      <w:pPr>
        <w:pStyle w:val="Default"/>
        <w:rPr>
          <w:rFonts w:ascii="Arial" w:hAnsi="Arial" w:cs="Arial"/>
          <w:i/>
          <w:color w:val="1F497D"/>
        </w:rPr>
      </w:pPr>
      <w:r w:rsidRPr="002D0F33">
        <w:rPr>
          <w:rFonts w:ascii="Arial" w:hAnsi="Arial" w:cs="Arial"/>
          <w:i/>
          <w:color w:val="1F497D"/>
        </w:rPr>
        <w:t>Forest cover</w:t>
      </w: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In 2008, Viet Nam had 19.2 million hectares of “forest land”, but of this only 13.1 million hectares was forested, with the remainder consisting of denuded hillsides and barren lands.  Of the forested land, 10.3 million hectares are natural forest and 2.8 million hectares are plantation.  In terms of management, there are three types of forest: special use forests or SUFs (mainly protected areas) covering 2.2 million hectares; protection forests covering 5.7 million hectares; and production forests covering 8.3 million hectares. </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bookmarkStart w:id="14" w:name="BM5_3__changes_in_forest_resources_and_p"/>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xml:space="preserve">’s forest cover has undergone dramatic changes over the last 50 years.  From 1945 to the early 1980s about 50% of its forest was cleared, primarily for agriculture. </w:t>
      </w:r>
      <w:bookmarkStart w:id="15" w:name="BM00_intro"/>
      <w:r w:rsidRPr="005B3882">
        <w:rPr>
          <w:rFonts w:ascii="Book Antiqua" w:hAnsi="Book Antiqua" w:cs="Arial"/>
          <w:sz w:val="22"/>
          <w:szCs w:val="22"/>
        </w:rPr>
        <w:t xml:space="preserve"> </w:t>
      </w:r>
      <w:smartTag w:uri="urn:schemas-microsoft-com:office:smarttags" w:element="place">
        <w:r w:rsidRPr="005B3882">
          <w:rPr>
            <w:rFonts w:ascii="Book Antiqua" w:hAnsi="Book Antiqua" w:cs="Arial"/>
            <w:sz w:val="22"/>
            <w:szCs w:val="22"/>
          </w:rPr>
          <w:t>Forest</w:t>
        </w:r>
      </w:smartTag>
      <w:r w:rsidRPr="005B3882">
        <w:rPr>
          <w:rFonts w:ascii="Book Antiqua" w:hAnsi="Book Antiqua" w:cs="Arial"/>
          <w:sz w:val="22"/>
          <w:szCs w:val="22"/>
        </w:rPr>
        <w:t xml:space="preserve"> cover hit a minimum of about 27% around 1990.  Between 1990 and 2000, however, as a result of extensive replanting, </w:t>
      </w:r>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xml:space="preserve"> gained an average of 236,000 hectares of forest per year, equivalent to a 2.5% annual increase.  Between 2000 and 2005, the growth rate was 2.1% per year, and by 2008 forest cover reached 38.7% (MARD, 2009).  </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However, the national figures mask wide variations in different parts of the country.  In the Central Highlands, deforestation </w:t>
      </w:r>
      <w:r w:rsidR="00CD094C">
        <w:rPr>
          <w:rFonts w:ascii="Book Antiqua" w:hAnsi="Book Antiqua" w:cs="Arial"/>
          <w:sz w:val="22"/>
          <w:szCs w:val="22"/>
        </w:rPr>
        <w:t>is</w:t>
      </w:r>
      <w:r w:rsidRPr="005B3882">
        <w:rPr>
          <w:rFonts w:ascii="Book Antiqua" w:hAnsi="Book Antiqua" w:cs="Arial"/>
          <w:sz w:val="22"/>
          <w:szCs w:val="22"/>
        </w:rPr>
        <w:t xml:space="preserve"> the dominant land use change.  In other parts of the country, for example the North-central region, forest loss continues but at a much lower rate and the forest cover is virtually stable.</w:t>
      </w:r>
    </w:p>
    <w:p w:rsidR="00351F2C" w:rsidRPr="00445F77" w:rsidRDefault="00351F2C" w:rsidP="00A256CB">
      <w:pPr>
        <w:pStyle w:val="Default"/>
        <w:rPr>
          <w:rFonts w:ascii="Arial" w:hAnsi="Arial" w:cs="Arial"/>
        </w:rPr>
      </w:pPr>
    </w:p>
    <w:p w:rsidR="00351F2C" w:rsidRPr="002D0F33" w:rsidRDefault="00351F2C" w:rsidP="0003235B">
      <w:pPr>
        <w:pStyle w:val="Default"/>
        <w:rPr>
          <w:rFonts w:ascii="Arial" w:hAnsi="Arial" w:cs="Arial"/>
          <w:i/>
          <w:color w:val="1F497D"/>
        </w:rPr>
      </w:pPr>
      <w:smartTag w:uri="urn:schemas-microsoft-com:office:smarttags" w:element="place">
        <w:r w:rsidRPr="002D0F33">
          <w:rPr>
            <w:rFonts w:ascii="Arial" w:hAnsi="Arial" w:cs="Arial"/>
            <w:i/>
            <w:color w:val="1F497D"/>
          </w:rPr>
          <w:t>Forest</w:t>
        </w:r>
      </w:smartTag>
      <w:r w:rsidRPr="002D0F33">
        <w:rPr>
          <w:rFonts w:ascii="Arial" w:hAnsi="Arial" w:cs="Arial"/>
          <w:i/>
          <w:color w:val="1F497D"/>
        </w:rPr>
        <w:t xml:space="preserve"> tenure</w:t>
      </w: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According to the Constitution of the Socialist Republic of Viet Nam, all forest resources (including land, trees, and wildlife) are under the ownership of the people.  On behalf of the people, the State manages forest resources and legally entrusts the management of forest to specific groups.  At present, eight different groups are recognized, </w:t>
      </w:r>
      <w:r w:rsidR="0056739A">
        <w:rPr>
          <w:rFonts w:ascii="Book Antiqua" w:hAnsi="Book Antiqua" w:cs="Arial"/>
          <w:sz w:val="22"/>
          <w:szCs w:val="22"/>
        </w:rPr>
        <w:t>namely</w:t>
      </w:r>
      <w:r w:rsidRPr="005B3882">
        <w:rPr>
          <w:rFonts w:ascii="Book Antiqua" w:hAnsi="Book Antiqua" w:cs="Arial"/>
          <w:sz w:val="22"/>
          <w:szCs w:val="22"/>
        </w:rPr>
        <w:t>:</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8227FD">
      <w:pPr>
        <w:pStyle w:val="Default"/>
        <w:numPr>
          <w:ilvl w:val="0"/>
          <w:numId w:val="75"/>
        </w:numPr>
        <w:jc w:val="both"/>
        <w:rPr>
          <w:rFonts w:ascii="Book Antiqua" w:hAnsi="Book Antiqua" w:cs="Arial"/>
          <w:sz w:val="22"/>
          <w:szCs w:val="22"/>
        </w:rPr>
      </w:pPr>
      <w:r w:rsidRPr="005B3882">
        <w:rPr>
          <w:rFonts w:ascii="Book Antiqua" w:hAnsi="Book Antiqua" w:cs="Arial"/>
          <w:sz w:val="22"/>
          <w:szCs w:val="22"/>
        </w:rPr>
        <w:t>State-owned companies (SOCs), formerly known as state forest enterprises (SFEs).</w:t>
      </w:r>
    </w:p>
    <w:p w:rsidR="00351F2C" w:rsidRPr="005B3882" w:rsidRDefault="00351F2C" w:rsidP="008227FD">
      <w:pPr>
        <w:pStyle w:val="Default"/>
        <w:numPr>
          <w:ilvl w:val="0"/>
          <w:numId w:val="75"/>
        </w:numPr>
        <w:jc w:val="both"/>
        <w:rPr>
          <w:rFonts w:ascii="Book Antiqua" w:hAnsi="Book Antiqua" w:cs="Arial"/>
          <w:sz w:val="22"/>
          <w:szCs w:val="22"/>
        </w:rPr>
      </w:pPr>
      <w:r w:rsidRPr="005B3882">
        <w:rPr>
          <w:rFonts w:ascii="Book Antiqua" w:hAnsi="Book Antiqua" w:cs="Arial"/>
          <w:sz w:val="22"/>
          <w:szCs w:val="22"/>
        </w:rPr>
        <w:t>Individual households.</w:t>
      </w:r>
    </w:p>
    <w:p w:rsidR="00351F2C" w:rsidRPr="005B3882" w:rsidRDefault="00351F2C" w:rsidP="008227FD">
      <w:pPr>
        <w:pStyle w:val="Default"/>
        <w:numPr>
          <w:ilvl w:val="0"/>
          <w:numId w:val="75"/>
        </w:numPr>
        <w:jc w:val="both"/>
        <w:rPr>
          <w:rFonts w:ascii="Book Antiqua" w:hAnsi="Book Antiqua" w:cs="Arial"/>
          <w:sz w:val="22"/>
          <w:szCs w:val="22"/>
        </w:rPr>
      </w:pPr>
      <w:r w:rsidRPr="005B3882">
        <w:rPr>
          <w:rFonts w:ascii="Book Antiqua" w:hAnsi="Book Antiqua" w:cs="Arial"/>
          <w:sz w:val="22"/>
          <w:szCs w:val="22"/>
        </w:rPr>
        <w:lastRenderedPageBreak/>
        <w:t xml:space="preserve">Management boards for </w:t>
      </w:r>
      <w:r w:rsidR="0056739A">
        <w:rPr>
          <w:rFonts w:ascii="Book Antiqua" w:hAnsi="Book Antiqua" w:cs="Arial"/>
          <w:sz w:val="22"/>
          <w:szCs w:val="22"/>
        </w:rPr>
        <w:t>P</w:t>
      </w:r>
      <w:r w:rsidRPr="005B3882">
        <w:rPr>
          <w:rFonts w:ascii="Book Antiqua" w:hAnsi="Book Antiqua" w:cs="Arial"/>
          <w:sz w:val="22"/>
          <w:szCs w:val="22"/>
        </w:rPr>
        <w:t xml:space="preserve">rotection </w:t>
      </w:r>
      <w:r w:rsidR="0056739A">
        <w:rPr>
          <w:rFonts w:ascii="Book Antiqua" w:hAnsi="Book Antiqua" w:cs="Arial"/>
          <w:sz w:val="22"/>
          <w:szCs w:val="22"/>
        </w:rPr>
        <w:t>F</w:t>
      </w:r>
      <w:r w:rsidRPr="005B3882">
        <w:rPr>
          <w:rFonts w:ascii="Book Antiqua" w:hAnsi="Book Antiqua" w:cs="Arial"/>
          <w:sz w:val="22"/>
          <w:szCs w:val="22"/>
        </w:rPr>
        <w:t>orest (</w:t>
      </w:r>
      <w:r w:rsidR="001A3F68">
        <w:rPr>
          <w:rFonts w:ascii="Book Antiqua" w:hAnsi="Book Antiqua" w:cs="Arial"/>
          <w:sz w:val="22"/>
          <w:szCs w:val="22"/>
        </w:rPr>
        <w:t>PFMB</w:t>
      </w:r>
      <w:r w:rsidRPr="005B3882">
        <w:rPr>
          <w:rFonts w:ascii="Book Antiqua" w:hAnsi="Book Antiqua" w:cs="Arial"/>
          <w:sz w:val="22"/>
          <w:szCs w:val="22"/>
        </w:rPr>
        <w:t>s).</w:t>
      </w:r>
    </w:p>
    <w:p w:rsidR="00351F2C" w:rsidRPr="005B3882" w:rsidRDefault="00351F2C" w:rsidP="008227FD">
      <w:pPr>
        <w:pStyle w:val="Default"/>
        <w:numPr>
          <w:ilvl w:val="0"/>
          <w:numId w:val="75"/>
        </w:numPr>
        <w:jc w:val="both"/>
        <w:rPr>
          <w:rFonts w:ascii="Book Antiqua" w:hAnsi="Book Antiqua" w:cs="Arial"/>
          <w:sz w:val="22"/>
          <w:szCs w:val="22"/>
        </w:rPr>
      </w:pPr>
      <w:r w:rsidRPr="005B3882">
        <w:rPr>
          <w:rFonts w:ascii="Book Antiqua" w:hAnsi="Book Antiqua" w:cs="Arial"/>
          <w:sz w:val="22"/>
          <w:szCs w:val="22"/>
        </w:rPr>
        <w:t>Management boards for SUF (</w:t>
      </w:r>
      <w:r w:rsidR="001A3F68">
        <w:rPr>
          <w:rFonts w:ascii="Book Antiqua" w:hAnsi="Book Antiqua" w:cs="Arial"/>
          <w:sz w:val="22"/>
          <w:szCs w:val="22"/>
        </w:rPr>
        <w:t>PAMB</w:t>
      </w:r>
      <w:r w:rsidRPr="005B3882">
        <w:rPr>
          <w:rFonts w:ascii="Book Antiqua" w:hAnsi="Book Antiqua" w:cs="Arial"/>
          <w:sz w:val="22"/>
          <w:szCs w:val="22"/>
        </w:rPr>
        <w:t>s).</w:t>
      </w:r>
    </w:p>
    <w:p w:rsidR="00351F2C" w:rsidRPr="005B3882" w:rsidRDefault="00351F2C" w:rsidP="008227FD">
      <w:pPr>
        <w:pStyle w:val="Default"/>
        <w:numPr>
          <w:ilvl w:val="0"/>
          <w:numId w:val="75"/>
        </w:numPr>
        <w:jc w:val="both"/>
        <w:rPr>
          <w:rFonts w:ascii="Book Antiqua" w:hAnsi="Book Antiqua" w:cs="Arial"/>
          <w:sz w:val="22"/>
          <w:szCs w:val="22"/>
        </w:rPr>
      </w:pPr>
      <w:r w:rsidRPr="005B3882">
        <w:rPr>
          <w:rFonts w:ascii="Book Antiqua" w:hAnsi="Book Antiqua" w:cs="Arial"/>
          <w:sz w:val="22"/>
          <w:szCs w:val="22"/>
        </w:rPr>
        <w:t>People’s committees (PCs), mostly at the commune level (CPCs).</w:t>
      </w:r>
    </w:p>
    <w:p w:rsidR="00351F2C" w:rsidRPr="005B3882" w:rsidRDefault="00351F2C" w:rsidP="008227FD">
      <w:pPr>
        <w:pStyle w:val="Default"/>
        <w:numPr>
          <w:ilvl w:val="0"/>
          <w:numId w:val="75"/>
        </w:numPr>
        <w:jc w:val="both"/>
        <w:rPr>
          <w:rFonts w:ascii="Book Antiqua" w:hAnsi="Book Antiqua" w:cs="Arial"/>
          <w:sz w:val="22"/>
          <w:szCs w:val="22"/>
        </w:rPr>
      </w:pPr>
      <w:r w:rsidRPr="005B3882">
        <w:rPr>
          <w:rFonts w:ascii="Book Antiqua" w:hAnsi="Book Antiqua" w:cs="Arial"/>
          <w:sz w:val="22"/>
          <w:szCs w:val="22"/>
        </w:rPr>
        <w:t>Village communities.</w:t>
      </w:r>
    </w:p>
    <w:p w:rsidR="0056739A" w:rsidRPr="005B3882" w:rsidRDefault="0056739A" w:rsidP="0056739A">
      <w:pPr>
        <w:pStyle w:val="ListParagraph"/>
        <w:numPr>
          <w:ilvl w:val="0"/>
          <w:numId w:val="75"/>
        </w:numPr>
        <w:autoSpaceDE w:val="0"/>
        <w:autoSpaceDN w:val="0"/>
        <w:adjustRightInd w:val="0"/>
        <w:spacing w:after="0" w:line="280" w:lineRule="exact"/>
        <w:contextualSpacing w:val="0"/>
        <w:jc w:val="both"/>
        <w:rPr>
          <w:rFonts w:ascii="Book Antiqua" w:hAnsi="Book Antiqua" w:cs="Arial"/>
          <w:color w:val="000000"/>
        </w:rPr>
      </w:pPr>
      <w:r w:rsidRPr="005B3882">
        <w:rPr>
          <w:rFonts w:ascii="Book Antiqua" w:hAnsi="Book Antiqua" w:cs="Arial"/>
          <w:color w:val="000000"/>
        </w:rPr>
        <w:t>Joint venture enterprises;</w:t>
      </w:r>
    </w:p>
    <w:p w:rsidR="0056739A" w:rsidRPr="005B3882" w:rsidRDefault="0056739A" w:rsidP="0056739A">
      <w:pPr>
        <w:pStyle w:val="ListParagraph"/>
        <w:numPr>
          <w:ilvl w:val="0"/>
          <w:numId w:val="75"/>
        </w:numPr>
        <w:autoSpaceDE w:val="0"/>
        <w:autoSpaceDN w:val="0"/>
        <w:adjustRightInd w:val="0"/>
        <w:spacing w:after="0" w:line="280" w:lineRule="exact"/>
        <w:contextualSpacing w:val="0"/>
        <w:jc w:val="both"/>
        <w:rPr>
          <w:rFonts w:ascii="Book Antiqua" w:hAnsi="Book Antiqua" w:cs="Arial"/>
          <w:color w:val="000000"/>
        </w:rPr>
      </w:pPr>
      <w:r w:rsidRPr="005B3882">
        <w:rPr>
          <w:rFonts w:ascii="Book Antiqua" w:hAnsi="Book Antiqua" w:cs="Arial"/>
          <w:color w:val="000000"/>
        </w:rPr>
        <w:t>Army units;</w:t>
      </w:r>
    </w:p>
    <w:p w:rsidR="0056739A" w:rsidRDefault="0056739A" w:rsidP="0056739A">
      <w:pPr>
        <w:pStyle w:val="Default"/>
        <w:rPr>
          <w:rFonts w:ascii="Book Antiqua" w:hAnsi="Book Antiqua" w:cs="Arial"/>
        </w:rPr>
      </w:pPr>
    </w:p>
    <w:p w:rsidR="00351F2C" w:rsidRPr="005B3882" w:rsidRDefault="0056739A" w:rsidP="00A256CB">
      <w:pPr>
        <w:pStyle w:val="Default"/>
        <w:jc w:val="both"/>
        <w:rPr>
          <w:rFonts w:ascii="Book Antiqua" w:hAnsi="Book Antiqua" w:cs="Arial"/>
          <w:sz w:val="22"/>
          <w:szCs w:val="22"/>
        </w:rPr>
      </w:pPr>
      <w:r>
        <w:rPr>
          <w:rFonts w:ascii="Book Antiqua" w:hAnsi="Book Antiqua" w:cs="Arial"/>
          <w:sz w:val="22"/>
          <w:szCs w:val="22"/>
        </w:rPr>
        <w:t xml:space="preserve">The first five of these groups account for well over 90% of all forest areas.  </w:t>
      </w:r>
      <w:r w:rsidR="00351F2C" w:rsidRPr="005B3882">
        <w:rPr>
          <w:rFonts w:ascii="Book Antiqua" w:hAnsi="Book Antiqua" w:cs="Arial"/>
          <w:sz w:val="22"/>
          <w:szCs w:val="22"/>
          <w:lang w:val="en-GB"/>
        </w:rPr>
        <w:t xml:space="preserve">In terms of tenure arrangements, SOCs, and households are allocated forest for </w:t>
      </w:r>
      <w:r w:rsidR="00351F2C" w:rsidRPr="005B3882">
        <w:rPr>
          <w:rFonts w:ascii="Book Antiqua" w:hAnsi="Book Antiqua" w:cs="Arial"/>
          <w:sz w:val="22"/>
          <w:szCs w:val="22"/>
        </w:rPr>
        <w:t xml:space="preserve">long-term management (typically 50 years) and are entitled to land use certificates that legalize their control.  Although SOCs have recently been restructured and have had to return part of the forest under their management to the state for allocation to the other stakeholders, they still play an important role.  In many provinces, particularly in the central and southern parts of the country, SOCs not only manage the forest allocated to them but also control the forest they used to manage.  </w:t>
      </w:r>
    </w:p>
    <w:p w:rsidR="00351F2C" w:rsidRPr="005B3882" w:rsidRDefault="00351F2C" w:rsidP="00A256CB">
      <w:pPr>
        <w:pStyle w:val="Default"/>
        <w:jc w:val="both"/>
        <w:rPr>
          <w:rFonts w:ascii="Book Antiqua" w:hAnsi="Book Antiqua" w:cs="Arial"/>
          <w:sz w:val="22"/>
          <w:szCs w:val="22"/>
        </w:rPr>
      </w:pPr>
    </w:p>
    <w:p w:rsidR="00351F2C" w:rsidRPr="005B3882" w:rsidRDefault="001A3F68" w:rsidP="00A256CB">
      <w:pPr>
        <w:pStyle w:val="Default"/>
        <w:jc w:val="both"/>
        <w:rPr>
          <w:rFonts w:ascii="Book Antiqua" w:hAnsi="Book Antiqua" w:cs="Arial"/>
          <w:sz w:val="22"/>
          <w:szCs w:val="22"/>
        </w:rPr>
      </w:pPr>
      <w:r>
        <w:rPr>
          <w:rFonts w:ascii="Book Antiqua" w:hAnsi="Book Antiqua" w:cs="Arial"/>
          <w:sz w:val="22"/>
          <w:szCs w:val="22"/>
        </w:rPr>
        <w:t>PFMB</w:t>
      </w:r>
      <w:r w:rsidR="00351F2C" w:rsidRPr="005B3882">
        <w:rPr>
          <w:rFonts w:ascii="Book Antiqua" w:hAnsi="Book Antiqua" w:cs="Arial"/>
          <w:sz w:val="22"/>
          <w:szCs w:val="22"/>
        </w:rPr>
        <w:t xml:space="preserve">s, </w:t>
      </w:r>
      <w:r>
        <w:rPr>
          <w:rFonts w:ascii="Book Antiqua" w:hAnsi="Book Antiqua" w:cs="Arial"/>
          <w:sz w:val="22"/>
          <w:szCs w:val="22"/>
        </w:rPr>
        <w:t>PAMB</w:t>
      </w:r>
      <w:r w:rsidR="00351F2C" w:rsidRPr="005B3882">
        <w:rPr>
          <w:rFonts w:ascii="Book Antiqua" w:hAnsi="Book Antiqua" w:cs="Arial"/>
          <w:sz w:val="22"/>
          <w:szCs w:val="22"/>
        </w:rPr>
        <w:t>s, and CPCs are typically allocated forest for an unspecified period.  Management boards are entitled to receive state budget for forest management.  CPCs often serve as temporary custodians of forest that was formerly managed by SOCs and is in the process of being allocated to other stakeholders (e.g., households or communities).  CPCs therefore do not have full tenure rights to the forest under their users.  In practice, such areas often turn into “open access” zones as many CPCs do not have sufficient staff to manage the forest under their care.</w:t>
      </w:r>
    </w:p>
    <w:p w:rsidR="00351F2C" w:rsidRPr="00445F77" w:rsidRDefault="00351F2C" w:rsidP="00A256CB">
      <w:pPr>
        <w:pStyle w:val="Default"/>
        <w:rPr>
          <w:rFonts w:ascii="Arial" w:hAnsi="Arial" w:cs="Arial"/>
        </w:rPr>
      </w:pPr>
    </w:p>
    <w:bookmarkEnd w:id="14"/>
    <w:bookmarkEnd w:id="15"/>
    <w:p w:rsidR="00351F2C" w:rsidRPr="002D0F33" w:rsidRDefault="00351F2C" w:rsidP="0003235B">
      <w:pPr>
        <w:pStyle w:val="Default"/>
        <w:rPr>
          <w:rFonts w:ascii="Arial" w:hAnsi="Arial" w:cs="Arial"/>
          <w:i/>
          <w:color w:val="1F497D"/>
        </w:rPr>
      </w:pPr>
      <w:smartTag w:uri="urn:schemas-microsoft-com:office:smarttags" w:element="place">
        <w:r w:rsidRPr="002D0F33">
          <w:rPr>
            <w:rFonts w:ascii="Arial" w:hAnsi="Arial" w:cs="Arial"/>
            <w:i/>
            <w:color w:val="1F497D"/>
          </w:rPr>
          <w:t>Forest</w:t>
        </w:r>
      </w:smartTag>
      <w:r w:rsidRPr="002D0F33">
        <w:rPr>
          <w:rFonts w:ascii="Arial" w:hAnsi="Arial" w:cs="Arial"/>
          <w:i/>
          <w:color w:val="1F497D"/>
        </w:rPr>
        <w:t xml:space="preserve"> administration</w:t>
      </w: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At the national level, the Ministry of Agriculture and Rural Development (MARD) is responsible for forest management.  Within MARD, two departments are in charge of forestry.  The Department of Forestry (</w:t>
      </w:r>
      <w:r w:rsidR="000D7D36">
        <w:rPr>
          <w:rFonts w:ascii="Book Antiqua" w:hAnsi="Book Antiqua" w:cs="Arial"/>
          <w:sz w:val="22"/>
          <w:szCs w:val="22"/>
        </w:rPr>
        <w:t>DoF</w:t>
      </w:r>
      <w:r w:rsidRPr="005B3882">
        <w:rPr>
          <w:rFonts w:ascii="Book Antiqua" w:hAnsi="Book Antiqua" w:cs="Arial"/>
          <w:sz w:val="22"/>
          <w:szCs w:val="22"/>
        </w:rPr>
        <w:t xml:space="preserve">) is responsible for forest management, utilization, and development.  The Forest Protection Department (FPD) is in charge of forest protection and forest law enforcement.  Technical divisions within FPD include divisions of forest protection, nature conservation, and legal inspection, and a special task force.  </w:t>
      </w:r>
    </w:p>
    <w:p w:rsidR="00351F2C" w:rsidRPr="005B3882" w:rsidRDefault="00351F2C" w:rsidP="00A256CB">
      <w:pPr>
        <w:pStyle w:val="Default"/>
        <w:jc w:val="both"/>
        <w:rPr>
          <w:rFonts w:ascii="Book Antiqua" w:hAnsi="Book Antiqua" w:cs="Arial"/>
          <w:sz w:val="22"/>
          <w:szCs w:val="22"/>
          <w:highlight w:val="yellow"/>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At the provincial level, MARD is represented by Departments of Agriculture and Rural Development (DARD).  In each province, the sub-</w:t>
      </w:r>
      <w:r w:rsidR="000D7D36">
        <w:rPr>
          <w:rFonts w:ascii="Book Antiqua" w:hAnsi="Book Antiqua" w:cs="Arial"/>
          <w:sz w:val="22"/>
          <w:szCs w:val="22"/>
        </w:rPr>
        <w:t>DoF</w:t>
      </w:r>
      <w:r w:rsidRPr="005B3882">
        <w:rPr>
          <w:rFonts w:ascii="Book Antiqua" w:hAnsi="Book Antiqua" w:cs="Arial"/>
          <w:sz w:val="22"/>
          <w:szCs w:val="22"/>
        </w:rPr>
        <w:t xml:space="preserve"> and sub-FPD, the line agencies of </w:t>
      </w:r>
      <w:r w:rsidR="000D7D36">
        <w:rPr>
          <w:rFonts w:ascii="Book Antiqua" w:hAnsi="Book Antiqua" w:cs="Arial"/>
          <w:sz w:val="22"/>
          <w:szCs w:val="22"/>
        </w:rPr>
        <w:t>DoF</w:t>
      </w:r>
      <w:r w:rsidRPr="005B3882">
        <w:rPr>
          <w:rFonts w:ascii="Book Antiqua" w:hAnsi="Book Antiqua" w:cs="Arial"/>
          <w:sz w:val="22"/>
          <w:szCs w:val="22"/>
        </w:rPr>
        <w:t xml:space="preserve"> and FPD, are under DARD.  At the district level, the economic division (or the agricultural division in some cases) is responsible for forest management.  The district Forest Protection Unit (FPU) is independent of the economic division and reports directly to sub-FPD at the provincial level.  At the commune level, there is one agriculture and forestry official based in the CPC.  This official is supported by a field level forest protection agent from the district FPU.</w:t>
      </w:r>
      <w:r w:rsidR="0056739A">
        <w:rPr>
          <w:rFonts w:ascii="Book Antiqua" w:hAnsi="Book Antiqua" w:cs="Arial"/>
          <w:sz w:val="22"/>
          <w:szCs w:val="22"/>
        </w:rPr>
        <w:t xml:space="preserve">  Administration of PAMBs and PFMBs is complicated, as some fall under MARD; others under DARDs, PPCs, or other agencies.</w:t>
      </w:r>
    </w:p>
    <w:p w:rsidR="0003235B" w:rsidRDefault="0003235B" w:rsidP="0003235B">
      <w:pPr>
        <w:pStyle w:val="Default"/>
        <w:rPr>
          <w:rFonts w:ascii="Arial" w:hAnsi="Arial" w:cs="Arial"/>
          <w:i/>
          <w:color w:val="1F497D"/>
          <w:sz w:val="22"/>
          <w:szCs w:val="22"/>
        </w:rPr>
      </w:pPr>
    </w:p>
    <w:p w:rsidR="0003235B" w:rsidRDefault="0003235B" w:rsidP="0003235B">
      <w:pPr>
        <w:pStyle w:val="Default"/>
        <w:rPr>
          <w:rFonts w:ascii="Arial" w:hAnsi="Arial" w:cs="Arial"/>
          <w:i/>
          <w:color w:val="1F497D"/>
          <w:sz w:val="22"/>
          <w:szCs w:val="22"/>
        </w:rPr>
      </w:pPr>
    </w:p>
    <w:p w:rsidR="00351F2C" w:rsidRPr="002D0F33" w:rsidRDefault="00351F2C" w:rsidP="0003235B">
      <w:pPr>
        <w:pStyle w:val="Default"/>
        <w:rPr>
          <w:rFonts w:ascii="Arial" w:hAnsi="Arial" w:cs="Arial"/>
          <w:color w:val="1F497D"/>
        </w:rPr>
      </w:pPr>
      <w:r w:rsidRPr="002D0F33">
        <w:rPr>
          <w:rFonts w:ascii="Arial" w:hAnsi="Arial" w:cs="Arial"/>
          <w:color w:val="1F497D"/>
        </w:rPr>
        <w:t>THE STUDY</w:t>
      </w: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Viet Nam is well-placed to develop a REDD-compliant BDS as a result of many years of experience with similar systems such as the 661 or </w:t>
      </w:r>
      <w:r w:rsidR="003A6A8D">
        <w:rPr>
          <w:rFonts w:ascii="Book Antiqua" w:hAnsi="Book Antiqua" w:cs="Arial"/>
          <w:sz w:val="22"/>
          <w:szCs w:val="22"/>
        </w:rPr>
        <w:t>5</w:t>
      </w:r>
      <w:r w:rsidRPr="005B3882">
        <w:rPr>
          <w:rFonts w:ascii="Book Antiqua" w:hAnsi="Book Antiqua" w:cs="Arial"/>
          <w:sz w:val="22"/>
          <w:szCs w:val="22"/>
        </w:rPr>
        <w:t xml:space="preserve"> Million Hectare Reforestation Programme, which was launched in 1998, and internationally supported payments for forest environmental services (PFES) pilot projects.  The focus on BDS also capitalizes on </w:t>
      </w:r>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xml:space="preserve">’s functioning administration, social stability, and relatively high degree of </w:t>
      </w:r>
      <w:r w:rsidRPr="005B3882">
        <w:rPr>
          <w:rFonts w:ascii="Book Antiqua" w:hAnsi="Book Antiqua" w:cs="Arial"/>
          <w:sz w:val="22"/>
          <w:szCs w:val="22"/>
        </w:rPr>
        <w:lastRenderedPageBreak/>
        <w:t xml:space="preserve">tenure security.  These are assets that </w:t>
      </w:r>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xml:space="preserve"> can use to gain a competitive edge in a future international </w:t>
      </w:r>
      <w:r w:rsidR="00480D3D">
        <w:rPr>
          <w:rFonts w:ascii="Book Antiqua" w:hAnsi="Book Antiqua" w:cs="Arial"/>
          <w:sz w:val="22"/>
          <w:szCs w:val="22"/>
        </w:rPr>
        <w:t>REDD+</w:t>
      </w:r>
      <w:r w:rsidRPr="005B3882">
        <w:rPr>
          <w:rFonts w:ascii="Book Antiqua" w:hAnsi="Book Antiqua" w:cs="Arial"/>
          <w:sz w:val="22"/>
          <w:szCs w:val="22"/>
        </w:rPr>
        <w:t xml:space="preserve"> regime.</w:t>
      </w:r>
    </w:p>
    <w:p w:rsidR="00351F2C" w:rsidRPr="005B3882" w:rsidRDefault="00351F2C" w:rsidP="00A256CB">
      <w:pPr>
        <w:pStyle w:val="Default"/>
        <w:jc w:val="both"/>
        <w:rPr>
          <w:rFonts w:ascii="Book Antiqua" w:hAnsi="Book Antiqua" w:cs="Arial"/>
          <w:sz w:val="22"/>
          <w:szCs w:val="22"/>
        </w:rPr>
      </w:pPr>
    </w:p>
    <w:p w:rsidR="00351F2C" w:rsidRPr="005B3882" w:rsidRDefault="0056739A" w:rsidP="00A256CB">
      <w:pPr>
        <w:pStyle w:val="Default"/>
        <w:jc w:val="both"/>
        <w:rPr>
          <w:rFonts w:ascii="Book Antiqua" w:hAnsi="Book Antiqua" w:cs="Arial"/>
          <w:sz w:val="22"/>
          <w:szCs w:val="22"/>
        </w:rPr>
      </w:pPr>
      <w:r>
        <w:rPr>
          <w:rFonts w:ascii="Book Antiqua" w:hAnsi="Book Antiqua" w:cs="Arial"/>
          <w:sz w:val="22"/>
          <w:szCs w:val="22"/>
        </w:rPr>
        <w:t xml:space="preserve">A REDD-compliant BDS is one which addresses the principles, and meets the expectations of the international community in terms of equity, transparency, additionality, and performance-relatedness, while managing REDD+ revenues in an effective and efficient manner.  </w:t>
      </w:r>
      <w:r w:rsidR="00351F2C" w:rsidRPr="005B3882">
        <w:rPr>
          <w:rFonts w:ascii="Book Antiqua" w:hAnsi="Book Antiqua" w:cs="Arial"/>
          <w:sz w:val="22"/>
          <w:szCs w:val="22"/>
        </w:rPr>
        <w:t xml:space="preserve">To assist GoV to design </w:t>
      </w:r>
      <w:r>
        <w:rPr>
          <w:rFonts w:ascii="Book Antiqua" w:hAnsi="Book Antiqua" w:cs="Arial"/>
          <w:sz w:val="22"/>
          <w:szCs w:val="22"/>
        </w:rPr>
        <w:t xml:space="preserve">such </w:t>
      </w:r>
      <w:r w:rsidR="00351F2C" w:rsidRPr="005B3882">
        <w:rPr>
          <w:rFonts w:ascii="Book Antiqua" w:hAnsi="Book Antiqua" w:cs="Arial"/>
          <w:sz w:val="22"/>
          <w:szCs w:val="22"/>
        </w:rPr>
        <w:t xml:space="preserve">a REDD-compliant BDS, a team of national and international consultants was convened under the leadership of </w:t>
      </w:r>
      <w:r w:rsidR="000D7D36">
        <w:rPr>
          <w:rFonts w:ascii="Book Antiqua" w:hAnsi="Book Antiqua" w:cs="Arial"/>
          <w:sz w:val="22"/>
          <w:szCs w:val="22"/>
        </w:rPr>
        <w:t>DoF</w:t>
      </w:r>
      <w:r w:rsidR="00351F2C" w:rsidRPr="005B3882">
        <w:rPr>
          <w:rFonts w:ascii="Book Antiqua" w:hAnsi="Book Antiqua" w:cs="Arial"/>
          <w:sz w:val="22"/>
          <w:szCs w:val="22"/>
        </w:rPr>
        <w:t xml:space="preserve"> to prepare a study of BDS issues and options.  Field work, literature review, and stakeholder consultations were carried out from September to November 2009.  The study identified constraints that need to be addressed in order to create a REDD-compliant BDS, and ways to address them.  It reached three overall conclusions.  These were:</w:t>
      </w:r>
    </w:p>
    <w:p w:rsidR="00351F2C" w:rsidRPr="005B3882" w:rsidRDefault="00351F2C" w:rsidP="00A256CB">
      <w:pPr>
        <w:pStyle w:val="Default"/>
        <w:jc w:val="both"/>
        <w:rPr>
          <w:rFonts w:ascii="Book Antiqua" w:hAnsi="Book Antiqua" w:cs="Arial"/>
          <w:sz w:val="22"/>
          <w:szCs w:val="22"/>
        </w:rPr>
      </w:pPr>
    </w:p>
    <w:p w:rsidR="00351F2C" w:rsidRPr="005B3882" w:rsidRDefault="00942BB8" w:rsidP="008227FD">
      <w:pPr>
        <w:pStyle w:val="Default"/>
        <w:numPr>
          <w:ilvl w:val="0"/>
          <w:numId w:val="95"/>
        </w:numPr>
        <w:tabs>
          <w:tab w:val="clear" w:pos="720"/>
          <w:tab w:val="num" w:pos="360"/>
        </w:tabs>
        <w:ind w:left="360"/>
        <w:jc w:val="both"/>
        <w:rPr>
          <w:rFonts w:ascii="Book Antiqua" w:hAnsi="Book Antiqua" w:cs="Arial"/>
          <w:sz w:val="22"/>
          <w:szCs w:val="22"/>
        </w:rPr>
      </w:pPr>
      <w:r w:rsidRPr="00942BB8">
        <w:rPr>
          <w:rFonts w:ascii="Book Antiqua" w:hAnsi="Book Antiqua" w:cs="Arial"/>
          <w:color w:val="auto"/>
          <w:sz w:val="22"/>
          <w:szCs w:val="22"/>
        </w:rPr>
        <w:t>With the assistance of SNV’s analysis of low-resolution remote sensing data, the study team estimated that REDD+ could generate about $80-100 million/year in Viet Nam</w:t>
      </w:r>
      <w:r w:rsidR="00351F2C" w:rsidRPr="00942BB8">
        <w:rPr>
          <w:rFonts w:ascii="Book Antiqua" w:hAnsi="Book Antiqua" w:cs="Arial"/>
          <w:color w:val="auto"/>
          <w:sz w:val="22"/>
          <w:szCs w:val="22"/>
        </w:rPr>
        <w:t>.  However</w:t>
      </w:r>
      <w:r w:rsidR="00351F2C" w:rsidRPr="005B3882">
        <w:rPr>
          <w:rFonts w:ascii="Book Antiqua" w:hAnsi="Book Antiqua" w:cs="Arial"/>
          <w:sz w:val="22"/>
          <w:szCs w:val="22"/>
        </w:rPr>
        <w:t xml:space="preserve">, </w:t>
      </w:r>
      <w:r w:rsidR="00351F2C" w:rsidRPr="005B3882">
        <w:rPr>
          <w:rFonts w:ascii="Book Antiqua" w:hAnsi="Book Antiqua" w:cs="Arial"/>
          <w:color w:val="auto"/>
          <w:sz w:val="22"/>
          <w:szCs w:val="22"/>
        </w:rPr>
        <w:t xml:space="preserve">this </w:t>
      </w:r>
      <w:r w:rsidR="00351F2C" w:rsidRPr="005B3882">
        <w:rPr>
          <w:rFonts w:ascii="Book Antiqua" w:hAnsi="Book Antiqua" w:cs="Arial"/>
          <w:bCs/>
          <w:color w:val="auto"/>
          <w:sz w:val="22"/>
          <w:szCs w:val="22"/>
        </w:rPr>
        <w:t xml:space="preserve">potential can only be realized </w:t>
      </w:r>
      <w:r w:rsidR="00351F2C" w:rsidRPr="005B3882">
        <w:rPr>
          <w:rFonts w:ascii="Book Antiqua" w:hAnsi="Book Antiqua" w:cs="Arial"/>
          <w:color w:val="auto"/>
          <w:sz w:val="22"/>
          <w:szCs w:val="22"/>
        </w:rPr>
        <w:t xml:space="preserve">if GoV takes steps to ensure that </w:t>
      </w:r>
      <w:r w:rsidR="00480D3D">
        <w:rPr>
          <w:rFonts w:ascii="Book Antiqua" w:hAnsi="Book Antiqua" w:cs="Arial"/>
          <w:color w:val="auto"/>
          <w:sz w:val="22"/>
          <w:szCs w:val="22"/>
        </w:rPr>
        <w:t>REDD+</w:t>
      </w:r>
      <w:r w:rsidR="00351F2C" w:rsidRPr="005B3882">
        <w:rPr>
          <w:rFonts w:ascii="Book Antiqua" w:hAnsi="Book Antiqua" w:cs="Arial"/>
          <w:color w:val="auto"/>
          <w:sz w:val="22"/>
          <w:szCs w:val="22"/>
        </w:rPr>
        <w:t xml:space="preserve"> is implemented effectively</w:t>
      </w:r>
      <w:r w:rsidR="00351F2C" w:rsidRPr="005B3882">
        <w:rPr>
          <w:rFonts w:ascii="Book Antiqua" w:hAnsi="Book Antiqua" w:cs="Arial"/>
          <w:sz w:val="22"/>
          <w:szCs w:val="22"/>
        </w:rPr>
        <w:t xml:space="preserve">.  This involves: developing a comprehensive </w:t>
      </w:r>
      <w:r w:rsidR="00480D3D">
        <w:rPr>
          <w:rFonts w:ascii="Book Antiqua" w:hAnsi="Book Antiqua" w:cs="Arial"/>
          <w:sz w:val="22"/>
          <w:szCs w:val="22"/>
        </w:rPr>
        <w:t>REDD+</w:t>
      </w:r>
      <w:r w:rsidR="00351F2C" w:rsidRPr="005B3882">
        <w:rPr>
          <w:rFonts w:ascii="Book Antiqua" w:hAnsi="Book Antiqua" w:cs="Arial"/>
          <w:sz w:val="22"/>
          <w:szCs w:val="22"/>
        </w:rPr>
        <w:t xml:space="preserve"> strategy to generate and sustain emissions reductions at the local level; developing the necessary capacity to measure and report on emissions reductions; and putting in place a BDS that meets the requirements of international investors and the needs of forest managers.</w:t>
      </w:r>
    </w:p>
    <w:p w:rsidR="00351F2C" w:rsidRPr="005B3882" w:rsidRDefault="00351F2C" w:rsidP="005B3882">
      <w:pPr>
        <w:pStyle w:val="Default"/>
        <w:tabs>
          <w:tab w:val="num" w:pos="360"/>
        </w:tabs>
        <w:ind w:left="360"/>
        <w:jc w:val="both"/>
        <w:rPr>
          <w:rFonts w:ascii="Book Antiqua" w:hAnsi="Book Antiqua" w:cs="Arial"/>
          <w:sz w:val="22"/>
          <w:szCs w:val="22"/>
        </w:rPr>
      </w:pPr>
    </w:p>
    <w:p w:rsidR="00351F2C" w:rsidRPr="005B3882" w:rsidRDefault="00480D3D" w:rsidP="008227FD">
      <w:pPr>
        <w:pStyle w:val="Default"/>
        <w:numPr>
          <w:ilvl w:val="0"/>
          <w:numId w:val="95"/>
        </w:numPr>
        <w:tabs>
          <w:tab w:val="clear" w:pos="720"/>
          <w:tab w:val="num" w:pos="360"/>
        </w:tabs>
        <w:ind w:left="360"/>
        <w:jc w:val="both"/>
        <w:rPr>
          <w:rFonts w:ascii="Book Antiqua" w:hAnsi="Book Antiqua" w:cs="Arial"/>
          <w:sz w:val="22"/>
          <w:szCs w:val="22"/>
        </w:rPr>
      </w:pPr>
      <w:r>
        <w:rPr>
          <w:rFonts w:ascii="Book Antiqua" w:hAnsi="Book Antiqua" w:cs="Arial"/>
          <w:sz w:val="22"/>
          <w:szCs w:val="22"/>
        </w:rPr>
        <w:t>REDD+</w:t>
      </w:r>
      <w:r w:rsidR="00351F2C" w:rsidRPr="005B3882">
        <w:rPr>
          <w:rFonts w:ascii="Book Antiqua" w:hAnsi="Book Antiqua" w:cs="Arial"/>
          <w:sz w:val="22"/>
          <w:szCs w:val="22"/>
        </w:rPr>
        <w:t xml:space="preserve"> is subject to negotiations under the auspices of the UNFCCC.  Although the principles are becoming clearer, </w:t>
      </w:r>
      <w:r w:rsidR="00351F2C" w:rsidRPr="005B3882">
        <w:rPr>
          <w:rFonts w:ascii="Book Antiqua" w:hAnsi="Book Antiqua" w:cs="Arial"/>
          <w:bCs/>
          <w:sz w:val="22"/>
          <w:szCs w:val="22"/>
        </w:rPr>
        <w:t>the details remain to be determined</w:t>
      </w:r>
      <w:r w:rsidR="00351F2C" w:rsidRPr="005B3882">
        <w:rPr>
          <w:rFonts w:ascii="Book Antiqua" w:hAnsi="Book Antiqua" w:cs="Arial"/>
          <w:sz w:val="22"/>
          <w:szCs w:val="22"/>
        </w:rPr>
        <w:t xml:space="preserve">.  It is therefore not possible at this point to be prescriptive in terms of how </w:t>
      </w:r>
      <w:r>
        <w:rPr>
          <w:rFonts w:ascii="Book Antiqua" w:hAnsi="Book Antiqua" w:cs="Arial"/>
          <w:sz w:val="22"/>
          <w:szCs w:val="22"/>
        </w:rPr>
        <w:t>REDD+</w:t>
      </w:r>
      <w:r w:rsidR="00351F2C" w:rsidRPr="005B3882">
        <w:rPr>
          <w:rFonts w:ascii="Book Antiqua" w:hAnsi="Book Antiqua" w:cs="Arial"/>
          <w:sz w:val="22"/>
          <w:szCs w:val="22"/>
        </w:rPr>
        <w:t xml:space="preserve"> should be implemented in </w:t>
      </w:r>
      <w:smartTag w:uri="urn:schemas-microsoft-com:office:smarttags" w:element="country-region">
        <w:smartTag w:uri="urn:schemas-microsoft-com:office:smarttags" w:element="place">
          <w:r w:rsidR="00351F2C" w:rsidRPr="005B3882">
            <w:rPr>
              <w:rFonts w:ascii="Book Antiqua" w:hAnsi="Book Antiqua" w:cs="Arial"/>
              <w:sz w:val="22"/>
              <w:szCs w:val="22"/>
            </w:rPr>
            <w:t>Viet Nam</w:t>
          </w:r>
        </w:smartTag>
      </w:smartTag>
      <w:r w:rsidR="00351F2C" w:rsidRPr="005B3882">
        <w:rPr>
          <w:rFonts w:ascii="Book Antiqua" w:hAnsi="Book Antiqua" w:cs="Arial"/>
          <w:sz w:val="22"/>
          <w:szCs w:val="22"/>
        </w:rPr>
        <w:t>.  Nevertheless, the study was able to identify several clear policy options for GoV consideration at this early stage.  In other instances, as the study recognizes, further work is required to identify the most appropriate approach.</w:t>
      </w:r>
    </w:p>
    <w:p w:rsidR="00351F2C" w:rsidRPr="005B3882" w:rsidRDefault="00351F2C" w:rsidP="005B3882">
      <w:pPr>
        <w:pStyle w:val="Default"/>
        <w:tabs>
          <w:tab w:val="num" w:pos="360"/>
        </w:tabs>
        <w:ind w:left="360"/>
        <w:jc w:val="both"/>
        <w:rPr>
          <w:rFonts w:ascii="Book Antiqua" w:hAnsi="Book Antiqua" w:cs="Arial"/>
          <w:sz w:val="22"/>
          <w:szCs w:val="22"/>
        </w:rPr>
      </w:pPr>
    </w:p>
    <w:p w:rsidR="00351F2C" w:rsidRPr="005B3882" w:rsidRDefault="00480D3D" w:rsidP="000D63B0">
      <w:pPr>
        <w:pStyle w:val="Default"/>
        <w:numPr>
          <w:ilvl w:val="0"/>
          <w:numId w:val="95"/>
        </w:numPr>
        <w:tabs>
          <w:tab w:val="clear" w:pos="720"/>
          <w:tab w:val="num" w:pos="360"/>
        </w:tabs>
        <w:ind w:left="360"/>
        <w:jc w:val="both"/>
        <w:rPr>
          <w:rFonts w:ascii="Book Antiqua" w:hAnsi="Book Antiqua" w:cs="Arial"/>
          <w:sz w:val="22"/>
          <w:szCs w:val="22"/>
        </w:rPr>
      </w:pPr>
      <w:r>
        <w:rPr>
          <w:rFonts w:ascii="Book Antiqua" w:hAnsi="Book Antiqua" w:cs="Arial"/>
          <w:sz w:val="22"/>
          <w:szCs w:val="22"/>
        </w:rPr>
        <w:t>REDD+</w:t>
      </w:r>
      <w:r w:rsidR="00351F2C" w:rsidRPr="005B3882">
        <w:rPr>
          <w:rFonts w:ascii="Book Antiqua" w:hAnsi="Book Antiqua" w:cs="Arial"/>
          <w:sz w:val="22"/>
          <w:szCs w:val="22"/>
        </w:rPr>
        <w:t xml:space="preserve"> has much to learn from PFES projects, but the two should not be confused.  Both concepts involve rewarding land users for the environmental services they provide, but </w:t>
      </w:r>
      <w:r w:rsidR="00351F2C" w:rsidRPr="005B3882">
        <w:rPr>
          <w:rFonts w:ascii="Book Antiqua" w:hAnsi="Book Antiqua" w:cs="Arial"/>
          <w:bCs/>
          <w:sz w:val="22"/>
          <w:szCs w:val="22"/>
        </w:rPr>
        <w:t>there are several important differences</w:t>
      </w:r>
      <w:r w:rsidR="00351F2C" w:rsidRPr="005B3882">
        <w:rPr>
          <w:rFonts w:ascii="Book Antiqua" w:hAnsi="Book Antiqua" w:cs="Arial"/>
          <w:sz w:val="22"/>
          <w:szCs w:val="22"/>
        </w:rPr>
        <w:t xml:space="preserve">, which mean that </w:t>
      </w:r>
      <w:r>
        <w:rPr>
          <w:rFonts w:ascii="Book Antiqua" w:hAnsi="Book Antiqua" w:cs="Arial"/>
          <w:sz w:val="22"/>
          <w:szCs w:val="22"/>
        </w:rPr>
        <w:t>REDD+</w:t>
      </w:r>
      <w:r w:rsidR="00351F2C" w:rsidRPr="005B3882">
        <w:rPr>
          <w:rFonts w:ascii="Book Antiqua" w:hAnsi="Book Antiqua" w:cs="Arial"/>
          <w:sz w:val="22"/>
          <w:szCs w:val="22"/>
        </w:rPr>
        <w:t xml:space="preserve"> may not be managed in the same way as existing PFES schemes.  Differences include the fact that under PFES as currently practiced in Viet Nam, purchasers of environmental services are local companies whereas the buyers of </w:t>
      </w:r>
      <w:r>
        <w:rPr>
          <w:rFonts w:ascii="Book Antiqua" w:hAnsi="Book Antiqua" w:cs="Arial"/>
          <w:sz w:val="22"/>
          <w:szCs w:val="22"/>
        </w:rPr>
        <w:t>REDD+</w:t>
      </w:r>
      <w:r w:rsidR="00351F2C" w:rsidRPr="005B3882">
        <w:rPr>
          <w:rFonts w:ascii="Book Antiqua" w:hAnsi="Book Antiqua" w:cs="Arial"/>
          <w:sz w:val="22"/>
          <w:szCs w:val="22"/>
        </w:rPr>
        <w:t xml:space="preserve"> credits would be predominantly foreign entities.</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This report summarizes the draft study’s conclusions and recommendations in </w:t>
      </w:r>
      <w:r w:rsidR="000A16F4">
        <w:rPr>
          <w:rFonts w:ascii="Book Antiqua" w:hAnsi="Book Antiqua" w:cs="Arial"/>
          <w:sz w:val="22"/>
          <w:szCs w:val="22"/>
        </w:rPr>
        <w:t xml:space="preserve">17 </w:t>
      </w:r>
      <w:r w:rsidRPr="005B3882">
        <w:rPr>
          <w:rFonts w:ascii="Book Antiqua" w:hAnsi="Book Antiqua" w:cs="Arial"/>
          <w:sz w:val="22"/>
          <w:szCs w:val="22"/>
        </w:rPr>
        <w:t>“</w:t>
      </w:r>
      <w:r w:rsidR="00F5648E">
        <w:rPr>
          <w:rFonts w:ascii="Book Antiqua" w:hAnsi="Book Antiqua" w:cs="Arial"/>
          <w:sz w:val="22"/>
          <w:szCs w:val="22"/>
        </w:rPr>
        <w:t>P</w:t>
      </w:r>
      <w:r w:rsidRPr="005B3882">
        <w:rPr>
          <w:rFonts w:ascii="Book Antiqua" w:hAnsi="Book Antiqua" w:cs="Arial"/>
          <w:sz w:val="22"/>
          <w:szCs w:val="22"/>
        </w:rPr>
        <w:t xml:space="preserve">olicy </w:t>
      </w:r>
      <w:r w:rsidR="00F5648E">
        <w:rPr>
          <w:rFonts w:ascii="Book Antiqua" w:hAnsi="Book Antiqua" w:cs="Arial"/>
          <w:sz w:val="22"/>
          <w:szCs w:val="22"/>
        </w:rPr>
        <w:t>Decision</w:t>
      </w:r>
      <w:r w:rsidR="000A16F4">
        <w:rPr>
          <w:rFonts w:ascii="Book Antiqua" w:hAnsi="Book Antiqua" w:cs="Arial"/>
          <w:sz w:val="22"/>
          <w:szCs w:val="22"/>
        </w:rPr>
        <w:t>s</w:t>
      </w:r>
      <w:r w:rsidRPr="005B3882">
        <w:rPr>
          <w:rFonts w:ascii="Book Antiqua" w:hAnsi="Book Antiqua" w:cs="Arial"/>
          <w:sz w:val="22"/>
          <w:szCs w:val="22"/>
        </w:rPr>
        <w:t>”</w:t>
      </w:r>
      <w:r w:rsidR="0056739A">
        <w:rPr>
          <w:rFonts w:ascii="Book Antiqua" w:hAnsi="Book Antiqua" w:cs="Arial"/>
          <w:sz w:val="22"/>
          <w:szCs w:val="22"/>
        </w:rPr>
        <w:t xml:space="preserve"> which need to be taken in order to establish a REDD-compliant BDS</w:t>
      </w:r>
      <w:r w:rsidR="000A16F4">
        <w:rPr>
          <w:rFonts w:ascii="Book Antiqua" w:hAnsi="Book Antiqua" w:cs="Arial"/>
          <w:sz w:val="22"/>
          <w:szCs w:val="22"/>
        </w:rPr>
        <w:t>.  The 10 most significant Policy Decisions are listed below,</w:t>
      </w:r>
      <w:r w:rsidRPr="005B3882">
        <w:rPr>
          <w:rFonts w:ascii="Book Antiqua" w:hAnsi="Book Antiqua" w:cs="Arial"/>
          <w:sz w:val="22"/>
          <w:szCs w:val="22"/>
        </w:rPr>
        <w:t xml:space="preserve"> clustered under three themes: legal, institutional, and governance.  To provide context, the design of a possible </w:t>
      </w:r>
      <w:r w:rsidR="00480D3D">
        <w:rPr>
          <w:rFonts w:ascii="Book Antiqua" w:hAnsi="Book Antiqua" w:cs="Arial"/>
          <w:sz w:val="22"/>
          <w:szCs w:val="22"/>
        </w:rPr>
        <w:t>REDD+</w:t>
      </w:r>
      <w:r w:rsidRPr="005B3882">
        <w:rPr>
          <w:rFonts w:ascii="Book Antiqua" w:hAnsi="Book Antiqua" w:cs="Arial"/>
          <w:sz w:val="22"/>
          <w:szCs w:val="22"/>
        </w:rPr>
        <w:t xml:space="preserve"> system in </w:t>
      </w:r>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xml:space="preserve"> is shown on </w:t>
      </w:r>
      <w:r w:rsidR="00480D3D">
        <w:rPr>
          <w:rFonts w:ascii="Book Antiqua" w:hAnsi="Book Antiqua" w:cs="Arial"/>
          <w:sz w:val="22"/>
          <w:szCs w:val="22"/>
        </w:rPr>
        <w:t xml:space="preserve">the following </w:t>
      </w:r>
      <w:r w:rsidRPr="005B3882">
        <w:rPr>
          <w:rFonts w:ascii="Book Antiqua" w:hAnsi="Book Antiqua" w:cs="Arial"/>
          <w:sz w:val="22"/>
          <w:szCs w:val="22"/>
        </w:rPr>
        <w:t xml:space="preserve">page.  The </w:t>
      </w:r>
      <w:r w:rsidR="00F5648E">
        <w:rPr>
          <w:rFonts w:ascii="Book Antiqua" w:hAnsi="Book Antiqua" w:cs="Arial"/>
          <w:sz w:val="22"/>
          <w:szCs w:val="22"/>
        </w:rPr>
        <w:t>P</w:t>
      </w:r>
      <w:r w:rsidRPr="005B3882">
        <w:rPr>
          <w:rFonts w:ascii="Book Antiqua" w:hAnsi="Book Antiqua" w:cs="Arial"/>
          <w:sz w:val="22"/>
          <w:szCs w:val="22"/>
        </w:rPr>
        <w:t xml:space="preserve">olicy </w:t>
      </w:r>
      <w:r w:rsidR="00F5648E">
        <w:rPr>
          <w:rFonts w:ascii="Book Antiqua" w:hAnsi="Book Antiqua" w:cs="Arial"/>
          <w:sz w:val="22"/>
          <w:szCs w:val="22"/>
        </w:rPr>
        <w:t xml:space="preserve">Decision </w:t>
      </w:r>
      <w:r w:rsidRPr="005B3882">
        <w:rPr>
          <w:rFonts w:ascii="Book Antiqua" w:hAnsi="Book Antiqua" w:cs="Arial"/>
          <w:sz w:val="22"/>
          <w:szCs w:val="22"/>
        </w:rPr>
        <w:t>boxes address issues that impinge the benefit distribution section (steps 9-17).</w:t>
      </w:r>
    </w:p>
    <w:p w:rsidR="00480D3D" w:rsidRDefault="00480D3D">
      <w:pPr>
        <w:spacing w:after="0" w:line="240" w:lineRule="auto"/>
        <w:rPr>
          <w:rFonts w:ascii="Arial" w:hAnsi="Arial" w:cs="Arial"/>
          <w:color w:val="000000"/>
          <w:sz w:val="24"/>
          <w:szCs w:val="24"/>
          <w:lang w:val="en-US"/>
        </w:rPr>
      </w:pPr>
      <w:r>
        <w:rPr>
          <w:rFonts w:ascii="Arial" w:hAnsi="Arial" w:cs="Arial"/>
        </w:rPr>
        <w:br w:type="page"/>
      </w:r>
    </w:p>
    <w:p w:rsidR="00480D3D" w:rsidRPr="00445F77" w:rsidRDefault="00C47C3B" w:rsidP="00480D3D">
      <w:pPr>
        <w:pStyle w:val="Default"/>
        <w:rPr>
          <w:rFonts w:ascii="Arial" w:hAnsi="Arial" w:cs="Arial"/>
        </w:rPr>
      </w:pPr>
      <w:r w:rsidRPr="00C47C3B">
        <w:rPr>
          <w:rFonts w:ascii="Arial" w:hAnsi="Arial" w:cs="Arial"/>
          <w:b/>
          <w:noProof/>
        </w:rPr>
        <w:lastRenderedPageBreak/>
        <w:pict>
          <v:rect id="_x0000_s1647" style="position:absolute;margin-left:-16.5pt;margin-top:8.95pt;width:500.5pt;height:694.55pt;z-index:251660800" filled="f"/>
        </w:pict>
      </w:r>
    </w:p>
    <w:p w:rsidR="00480D3D" w:rsidRPr="00445F77" w:rsidRDefault="00480D3D" w:rsidP="00480D3D">
      <w:pPr>
        <w:spacing w:after="0" w:line="240" w:lineRule="auto"/>
        <w:jc w:val="center"/>
        <w:rPr>
          <w:rFonts w:ascii="Arial" w:hAnsi="Arial" w:cs="Arial"/>
          <w:b/>
          <w:sz w:val="24"/>
          <w:szCs w:val="24"/>
        </w:rPr>
      </w:pPr>
      <w:r w:rsidRPr="00445F77">
        <w:rPr>
          <w:rFonts w:ascii="Arial" w:hAnsi="Arial" w:cs="Arial"/>
          <w:b/>
          <w:sz w:val="24"/>
          <w:szCs w:val="24"/>
        </w:rPr>
        <w:t xml:space="preserve">POSSIBLE </w:t>
      </w:r>
      <w:r>
        <w:rPr>
          <w:rFonts w:ascii="Arial" w:hAnsi="Arial" w:cs="Arial"/>
          <w:b/>
          <w:sz w:val="24"/>
          <w:szCs w:val="24"/>
        </w:rPr>
        <w:t>REDD+</w:t>
      </w:r>
      <w:r w:rsidRPr="00445F77">
        <w:rPr>
          <w:rFonts w:ascii="Arial" w:hAnsi="Arial" w:cs="Arial"/>
          <w:b/>
          <w:sz w:val="24"/>
          <w:szCs w:val="24"/>
        </w:rPr>
        <w:t xml:space="preserve"> SYSTEM DESIGN IN VIET </w:t>
      </w:r>
      <w:smartTag w:uri="urn:schemas-microsoft-com:office:smarttags" w:element="country-region">
        <w:smartTag w:uri="urn:schemas-microsoft-com:office:smarttags" w:element="place">
          <w:r w:rsidRPr="00445F77">
            <w:rPr>
              <w:rFonts w:ascii="Arial" w:hAnsi="Arial" w:cs="Arial"/>
              <w:b/>
              <w:sz w:val="24"/>
              <w:szCs w:val="24"/>
            </w:rPr>
            <w:t>NAM</w:t>
          </w:r>
        </w:smartTag>
      </w:smartTag>
    </w:p>
    <w:p w:rsidR="00480D3D" w:rsidRPr="00445F77" w:rsidRDefault="00480D3D" w:rsidP="00480D3D">
      <w:pPr>
        <w:spacing w:after="0" w:line="240" w:lineRule="auto"/>
        <w:rPr>
          <w:rFonts w:ascii="Arial" w:hAnsi="Arial" w:cs="Arial"/>
          <w:b/>
          <w:sz w:val="24"/>
          <w:szCs w:val="24"/>
        </w:rPr>
      </w:pPr>
    </w:p>
    <w:p w:rsidR="00480D3D" w:rsidRPr="00445F77" w:rsidRDefault="00480D3D" w:rsidP="00480D3D">
      <w:pPr>
        <w:spacing w:after="0" w:line="240" w:lineRule="auto"/>
        <w:jc w:val="center"/>
        <w:rPr>
          <w:rFonts w:ascii="Arial" w:hAnsi="Arial" w:cs="Arial"/>
          <w:b/>
          <w:sz w:val="24"/>
          <w:szCs w:val="24"/>
          <w:u w:val="single"/>
        </w:rPr>
      </w:pPr>
      <w:r w:rsidRPr="00445F77">
        <w:rPr>
          <w:rFonts w:ascii="Arial" w:hAnsi="Arial" w:cs="Arial"/>
          <w:b/>
          <w:sz w:val="24"/>
          <w:szCs w:val="24"/>
          <w:u w:val="single"/>
        </w:rPr>
        <w:t>A. PLANNING AND IMPLEMENTATION</w:t>
      </w:r>
    </w:p>
    <w:p w:rsidR="00480D3D" w:rsidRPr="00445F77" w:rsidRDefault="00C47C3B" w:rsidP="00480D3D">
      <w:pPr>
        <w:spacing w:after="0" w:line="240" w:lineRule="auto"/>
        <w:jc w:val="center"/>
        <w:rPr>
          <w:rFonts w:ascii="Arial" w:hAnsi="Arial" w:cs="Arial"/>
          <w:b/>
          <w:sz w:val="24"/>
          <w:szCs w:val="24"/>
          <w:u w:val="single"/>
        </w:rPr>
      </w:pPr>
      <w:r w:rsidRPr="00C47C3B">
        <w:rPr>
          <w:rFonts w:ascii="Arial" w:hAnsi="Arial" w:cs="Arial"/>
          <w:noProof/>
          <w:sz w:val="24"/>
          <w:szCs w:val="24"/>
        </w:rPr>
        <w:pict>
          <v:shape id="_x0000_s1627" type="#_x0000_t202" style="position:absolute;left:0;text-align:left;margin-left:0;margin-top:10.55pt;width:448.5pt;height:28.05pt;z-index:251640320">
            <v:textbox style="mso-next-textbox:#_x0000_s1627">
              <w:txbxContent>
                <w:p w:rsidR="00B4351F" w:rsidRPr="00103350" w:rsidRDefault="00B4351F" w:rsidP="008227FD">
                  <w:pPr>
                    <w:pStyle w:val="ListParagraph"/>
                    <w:numPr>
                      <w:ilvl w:val="0"/>
                      <w:numId w:val="77"/>
                    </w:numPr>
                    <w:spacing w:after="0" w:line="240" w:lineRule="auto"/>
                    <w:contextualSpacing w:val="0"/>
                    <w:jc w:val="both"/>
                    <w:rPr>
                      <w:sz w:val="16"/>
                      <w:szCs w:val="16"/>
                    </w:rPr>
                  </w:pPr>
                  <w:r w:rsidRPr="00103350">
                    <w:rPr>
                      <w:sz w:val="16"/>
                      <w:szCs w:val="16"/>
                    </w:rPr>
                    <w:t xml:space="preserve">National REDD </w:t>
                  </w:r>
                  <w:r>
                    <w:rPr>
                      <w:sz w:val="16"/>
                      <w:szCs w:val="16"/>
                    </w:rPr>
                    <w:t xml:space="preserve">Strategy </w:t>
                  </w:r>
                  <w:r w:rsidRPr="00103350">
                    <w:rPr>
                      <w:sz w:val="16"/>
                      <w:szCs w:val="16"/>
                    </w:rPr>
                    <w:t>sets overall goals and plans, establishes roles for provincial and district agencies, monitoring roles, etc., and guidelines to be used in determining local benefit distribution.</w:t>
                  </w:r>
                </w:p>
              </w:txbxContent>
            </v:textbox>
          </v:shape>
        </w:pict>
      </w:r>
    </w:p>
    <w:p w:rsidR="00480D3D" w:rsidRPr="00445F77" w:rsidRDefault="00C47C3B" w:rsidP="00480D3D">
      <w:pPr>
        <w:spacing w:after="0" w:line="240" w:lineRule="auto"/>
        <w:jc w:val="center"/>
        <w:rPr>
          <w:rFonts w:ascii="Arial" w:hAnsi="Arial" w:cs="Arial"/>
          <w:b/>
          <w:sz w:val="24"/>
          <w:szCs w:val="24"/>
          <w:u w:val="single"/>
        </w:rPr>
      </w:pPr>
      <w:r w:rsidRPr="00C47C3B">
        <w:rPr>
          <w:rFonts w:ascii="Arial" w:hAnsi="Arial" w:cs="Arial"/>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45" type="#_x0000_t67" style="position:absolute;left:0;text-align:left;margin-left:460pt;margin-top:7.7pt;width:14.4pt;height:237.8pt;z-index:251658752" fillcolor="black"/>
        </w:pict>
      </w:r>
    </w:p>
    <w:p w:rsidR="00480D3D" w:rsidRPr="00445F77" w:rsidRDefault="00480D3D" w:rsidP="00480D3D">
      <w:pPr>
        <w:spacing w:after="0" w:line="240" w:lineRule="auto"/>
        <w:rPr>
          <w:rFonts w:ascii="Arial" w:hAnsi="Arial" w:cs="Arial"/>
          <w:sz w:val="24"/>
          <w:szCs w:val="24"/>
        </w:rPr>
      </w:pPr>
    </w:p>
    <w:p w:rsidR="00480D3D" w:rsidRPr="00445F77" w:rsidRDefault="00C47C3B" w:rsidP="00480D3D">
      <w:pPr>
        <w:spacing w:after="0" w:line="240" w:lineRule="auto"/>
        <w:rPr>
          <w:rFonts w:ascii="Arial" w:hAnsi="Arial" w:cs="Arial"/>
          <w:sz w:val="24"/>
          <w:szCs w:val="24"/>
        </w:rPr>
      </w:pPr>
      <w:r w:rsidRPr="00C47C3B">
        <w:rPr>
          <w:rFonts w:ascii="Arial" w:hAnsi="Arial" w:cs="Arial"/>
          <w:noProof/>
          <w:sz w:val="24"/>
          <w:szCs w:val="24"/>
        </w:rPr>
        <w:pict>
          <v:shape id="_x0000_s1629" type="#_x0000_t202" style="position:absolute;margin-left:0;margin-top:11.3pt;width:448.5pt;height:18.7pt;z-index:251642368">
            <v:textbox style="mso-next-textbox:#_x0000_s1629">
              <w:txbxContent>
                <w:p w:rsidR="00B4351F" w:rsidRPr="00103350" w:rsidRDefault="00B4351F" w:rsidP="008227FD">
                  <w:pPr>
                    <w:numPr>
                      <w:ilvl w:val="0"/>
                      <w:numId w:val="81"/>
                    </w:numPr>
                    <w:spacing w:after="0" w:line="240" w:lineRule="auto"/>
                    <w:jc w:val="both"/>
                    <w:rPr>
                      <w:sz w:val="16"/>
                      <w:szCs w:val="16"/>
                    </w:rPr>
                  </w:pPr>
                  <w:r w:rsidRPr="00103350">
                    <w:rPr>
                      <w:sz w:val="16"/>
                      <w:szCs w:val="16"/>
                    </w:rPr>
                    <w:t xml:space="preserve">Agencies defined in National REDD </w:t>
                  </w:r>
                  <w:r>
                    <w:rPr>
                      <w:sz w:val="16"/>
                      <w:szCs w:val="16"/>
                    </w:rPr>
                    <w:t xml:space="preserve">Strategy </w:t>
                  </w:r>
                  <w:r w:rsidRPr="00103350">
                    <w:rPr>
                      <w:sz w:val="16"/>
                      <w:szCs w:val="16"/>
                    </w:rPr>
                    <w:t>monitor implementation of REDD actions</w:t>
                  </w:r>
                  <w:r>
                    <w:rPr>
                      <w:sz w:val="16"/>
                      <w:szCs w:val="16"/>
                    </w:rPr>
                    <w:t>.</w:t>
                  </w:r>
                  <w:r w:rsidRPr="00103350">
                    <w:rPr>
                      <w:sz w:val="16"/>
                      <w:szCs w:val="16"/>
                    </w:rPr>
                    <w:t xml:space="preserve"> </w:t>
                  </w:r>
                </w:p>
              </w:txbxContent>
            </v:textbox>
          </v:shape>
        </w:pict>
      </w: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rPr>
          <w:rFonts w:ascii="Arial" w:hAnsi="Arial" w:cs="Arial"/>
          <w:sz w:val="24"/>
          <w:szCs w:val="24"/>
        </w:rPr>
      </w:pPr>
    </w:p>
    <w:p w:rsidR="00480D3D" w:rsidRPr="00445F77" w:rsidRDefault="00C47C3B" w:rsidP="00480D3D">
      <w:pPr>
        <w:spacing w:after="0" w:line="240" w:lineRule="auto"/>
        <w:rPr>
          <w:rFonts w:ascii="Arial" w:hAnsi="Arial" w:cs="Arial"/>
          <w:sz w:val="24"/>
          <w:szCs w:val="24"/>
        </w:rPr>
      </w:pPr>
      <w:r w:rsidRPr="00C47C3B">
        <w:rPr>
          <w:rFonts w:ascii="Arial" w:hAnsi="Arial" w:cs="Arial"/>
          <w:noProof/>
          <w:sz w:val="24"/>
          <w:szCs w:val="24"/>
        </w:rPr>
        <w:pict>
          <v:shape id="_x0000_s1630" type="#_x0000_t202" style="position:absolute;margin-left:0;margin-top:.3pt;width:448.5pt;height:28.05pt;z-index:251643392">
            <v:textbox style="mso-next-textbox:#_x0000_s1630">
              <w:txbxContent>
                <w:p w:rsidR="00B4351F" w:rsidRPr="00103350" w:rsidRDefault="00B4351F" w:rsidP="008227FD">
                  <w:pPr>
                    <w:numPr>
                      <w:ilvl w:val="0"/>
                      <w:numId w:val="79"/>
                    </w:numPr>
                    <w:spacing w:after="0" w:line="240" w:lineRule="auto"/>
                    <w:jc w:val="both"/>
                    <w:rPr>
                      <w:sz w:val="16"/>
                      <w:szCs w:val="16"/>
                    </w:rPr>
                  </w:pPr>
                  <w:r w:rsidRPr="00103350">
                    <w:rPr>
                      <w:sz w:val="16"/>
                      <w:szCs w:val="16"/>
                    </w:rPr>
                    <w:t xml:space="preserve">Local PCs determine locally appropriate benefit distribution proposals, following guidance from the National REDD Programme and prepared in a participatory manner.  </w:t>
                  </w:r>
                </w:p>
              </w:txbxContent>
            </v:textbox>
          </v:shape>
        </w:pict>
      </w:r>
    </w:p>
    <w:p w:rsidR="00480D3D" w:rsidRPr="00445F77" w:rsidRDefault="00480D3D" w:rsidP="00480D3D">
      <w:pPr>
        <w:spacing w:after="0" w:line="240" w:lineRule="auto"/>
        <w:rPr>
          <w:rFonts w:ascii="Arial" w:hAnsi="Arial" w:cs="Arial"/>
          <w:sz w:val="24"/>
          <w:szCs w:val="24"/>
        </w:rPr>
      </w:pPr>
    </w:p>
    <w:p w:rsidR="00480D3D" w:rsidRPr="00445F77" w:rsidRDefault="00C47C3B" w:rsidP="00480D3D">
      <w:pPr>
        <w:spacing w:after="0" w:line="240" w:lineRule="auto"/>
        <w:rPr>
          <w:rFonts w:ascii="Arial" w:hAnsi="Arial" w:cs="Arial"/>
          <w:sz w:val="24"/>
          <w:szCs w:val="24"/>
        </w:rPr>
      </w:pPr>
      <w:r w:rsidRPr="00C47C3B">
        <w:rPr>
          <w:rFonts w:ascii="Arial" w:hAnsi="Arial" w:cs="Arial"/>
          <w:noProof/>
          <w:sz w:val="24"/>
          <w:szCs w:val="24"/>
        </w:rPr>
        <w:pict>
          <v:shape id="_x0000_s1631" type="#_x0000_t202" style="position:absolute;margin-left:0;margin-top:10.85pt;width:448.5pt;height:18.7pt;z-index:251644416">
            <v:textbox style="mso-next-textbox:#_x0000_s1631">
              <w:txbxContent>
                <w:p w:rsidR="00B4351F" w:rsidRPr="00103350" w:rsidRDefault="00B4351F" w:rsidP="008227FD">
                  <w:pPr>
                    <w:numPr>
                      <w:ilvl w:val="0"/>
                      <w:numId w:val="78"/>
                    </w:numPr>
                    <w:spacing w:after="0" w:line="240" w:lineRule="auto"/>
                    <w:jc w:val="both"/>
                    <w:rPr>
                      <w:sz w:val="16"/>
                      <w:szCs w:val="16"/>
                    </w:rPr>
                  </w:pPr>
                  <w:r w:rsidRPr="00103350">
                    <w:rPr>
                      <w:sz w:val="16"/>
                      <w:szCs w:val="16"/>
                    </w:rPr>
                    <w:t>Local agencies prepare socio-economic development plans that mainstream REDD considerations.</w:t>
                  </w:r>
                </w:p>
              </w:txbxContent>
            </v:textbox>
          </v:shape>
        </w:pict>
      </w:r>
    </w:p>
    <w:p w:rsidR="00480D3D" w:rsidRPr="00445F77" w:rsidRDefault="00480D3D" w:rsidP="00480D3D">
      <w:pPr>
        <w:spacing w:after="0" w:line="240" w:lineRule="auto"/>
        <w:rPr>
          <w:rFonts w:ascii="Arial" w:hAnsi="Arial" w:cs="Arial"/>
          <w:sz w:val="24"/>
          <w:szCs w:val="24"/>
        </w:rPr>
      </w:pPr>
    </w:p>
    <w:p w:rsidR="00480D3D" w:rsidRPr="00445F77" w:rsidRDefault="00C47C3B" w:rsidP="00480D3D">
      <w:pPr>
        <w:spacing w:after="0" w:line="240" w:lineRule="auto"/>
        <w:rPr>
          <w:rFonts w:ascii="Arial" w:hAnsi="Arial" w:cs="Arial"/>
          <w:sz w:val="24"/>
          <w:szCs w:val="24"/>
        </w:rPr>
      </w:pPr>
      <w:r w:rsidRPr="00C47C3B">
        <w:rPr>
          <w:rFonts w:ascii="Arial" w:hAnsi="Arial" w:cs="Arial"/>
          <w:noProof/>
          <w:sz w:val="24"/>
          <w:szCs w:val="24"/>
        </w:rPr>
        <w:pict>
          <v:shape id="_x0000_s1632" type="#_x0000_t202" style="position:absolute;margin-left:0;margin-top:12.05pt;width:448.5pt;height:18.7pt;z-index:251645440">
            <v:textbox style="mso-next-textbox:#_x0000_s1632">
              <w:txbxContent>
                <w:p w:rsidR="00B4351F" w:rsidRPr="00103350" w:rsidRDefault="00B4351F" w:rsidP="008227FD">
                  <w:pPr>
                    <w:numPr>
                      <w:ilvl w:val="0"/>
                      <w:numId w:val="80"/>
                    </w:numPr>
                    <w:spacing w:after="0" w:line="240" w:lineRule="auto"/>
                    <w:jc w:val="both"/>
                    <w:rPr>
                      <w:sz w:val="16"/>
                      <w:szCs w:val="16"/>
                    </w:rPr>
                  </w:pPr>
                  <w:r w:rsidRPr="00103350">
                    <w:rPr>
                      <w:sz w:val="16"/>
                      <w:szCs w:val="16"/>
                    </w:rPr>
                    <w:t>At periods defined by UNFCCC, agencies responsible for monitoring emissions undertake monitoring activities.</w:t>
                  </w:r>
                </w:p>
              </w:txbxContent>
            </v:textbox>
          </v:shape>
        </w:pict>
      </w: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rPr>
          <w:rFonts w:ascii="Arial" w:hAnsi="Arial" w:cs="Arial"/>
          <w:sz w:val="24"/>
          <w:szCs w:val="24"/>
        </w:rPr>
      </w:pPr>
    </w:p>
    <w:p w:rsidR="00480D3D" w:rsidRPr="00445F77" w:rsidRDefault="00C47C3B" w:rsidP="00480D3D">
      <w:pPr>
        <w:spacing w:after="0" w:line="240" w:lineRule="auto"/>
        <w:rPr>
          <w:rFonts w:ascii="Arial" w:hAnsi="Arial" w:cs="Arial"/>
          <w:sz w:val="24"/>
          <w:szCs w:val="24"/>
        </w:rPr>
      </w:pPr>
      <w:r w:rsidRPr="00C47C3B">
        <w:rPr>
          <w:rFonts w:ascii="Arial" w:hAnsi="Arial" w:cs="Arial"/>
          <w:noProof/>
          <w:sz w:val="24"/>
          <w:szCs w:val="24"/>
        </w:rPr>
        <w:pict>
          <v:shape id="_x0000_s1633" type="#_x0000_t202" style="position:absolute;margin-left:0;margin-top:-.2pt;width:448.5pt;height:28.05pt;z-index:251646464">
            <v:textbox style="mso-next-textbox:#_x0000_s1633">
              <w:txbxContent>
                <w:p w:rsidR="00B4351F" w:rsidRPr="00103350" w:rsidRDefault="00B4351F" w:rsidP="008227FD">
                  <w:pPr>
                    <w:numPr>
                      <w:ilvl w:val="0"/>
                      <w:numId w:val="82"/>
                    </w:numPr>
                    <w:spacing w:after="0"/>
                    <w:jc w:val="both"/>
                    <w:rPr>
                      <w:sz w:val="16"/>
                      <w:szCs w:val="16"/>
                    </w:rPr>
                  </w:pPr>
                  <w:smartTag w:uri="urn:schemas-microsoft-com:office:smarttags" w:element="country-region">
                    <w:smartTag w:uri="urn:schemas-microsoft-com:office:smarttags" w:element="place">
                      <w:r w:rsidRPr="00103350">
                        <w:rPr>
                          <w:sz w:val="16"/>
                          <w:szCs w:val="16"/>
                        </w:rPr>
                        <w:t>Viet Nam</w:t>
                      </w:r>
                    </w:smartTag>
                  </w:smartTag>
                  <w:r w:rsidRPr="00103350">
                    <w:rPr>
                      <w:sz w:val="16"/>
                      <w:szCs w:val="16"/>
                    </w:rPr>
                    <w:t>’s performance report compiled, comparing actual measure</w:t>
                  </w:r>
                  <w:r>
                    <w:rPr>
                      <w:sz w:val="16"/>
                      <w:szCs w:val="16"/>
                    </w:rPr>
                    <w:t>d</w:t>
                  </w:r>
                  <w:r w:rsidRPr="00103350">
                    <w:rPr>
                      <w:sz w:val="16"/>
                      <w:szCs w:val="16"/>
                    </w:rPr>
                    <w:t xml:space="preserve"> emissions with project</w:t>
                  </w:r>
                  <w:r>
                    <w:rPr>
                      <w:sz w:val="16"/>
                      <w:szCs w:val="16"/>
                    </w:rPr>
                    <w:t>ed</w:t>
                  </w:r>
                  <w:r w:rsidRPr="00103350">
                    <w:rPr>
                      <w:sz w:val="16"/>
                      <w:szCs w:val="16"/>
                    </w:rPr>
                    <w:t xml:space="preserve"> emissions under the national R</w:t>
                  </w:r>
                  <w:r>
                    <w:rPr>
                      <w:sz w:val="16"/>
                      <w:szCs w:val="16"/>
                    </w:rPr>
                    <w:t xml:space="preserve">eference </w:t>
                  </w:r>
                  <w:r w:rsidRPr="00103350">
                    <w:rPr>
                      <w:sz w:val="16"/>
                      <w:szCs w:val="16"/>
                    </w:rPr>
                    <w:t>E</w:t>
                  </w:r>
                  <w:r>
                    <w:rPr>
                      <w:sz w:val="16"/>
                      <w:szCs w:val="16"/>
                    </w:rPr>
                    <w:t>missions Level (RE</w:t>
                  </w:r>
                  <w:r w:rsidRPr="00103350">
                    <w:rPr>
                      <w:sz w:val="16"/>
                      <w:szCs w:val="16"/>
                    </w:rPr>
                    <w:t>L</w:t>
                  </w:r>
                  <w:r>
                    <w:rPr>
                      <w:sz w:val="16"/>
                      <w:szCs w:val="16"/>
                    </w:rPr>
                    <w:t>)</w:t>
                  </w:r>
                  <w:r w:rsidRPr="00103350">
                    <w:rPr>
                      <w:sz w:val="16"/>
                      <w:szCs w:val="16"/>
                    </w:rPr>
                    <w:t>, submitted to UNFCCC.</w:t>
                  </w:r>
                </w:p>
              </w:txbxContent>
            </v:textbox>
          </v:shape>
        </w:pict>
      </w:r>
    </w:p>
    <w:p w:rsidR="00480D3D" w:rsidRPr="00445F77" w:rsidRDefault="00480D3D" w:rsidP="00480D3D">
      <w:pPr>
        <w:spacing w:after="0" w:line="240" w:lineRule="auto"/>
        <w:rPr>
          <w:rFonts w:ascii="Arial" w:hAnsi="Arial" w:cs="Arial"/>
          <w:sz w:val="24"/>
          <w:szCs w:val="24"/>
        </w:rPr>
      </w:pPr>
    </w:p>
    <w:p w:rsidR="00480D3D" w:rsidRPr="00445F77" w:rsidRDefault="00C47C3B" w:rsidP="00480D3D">
      <w:pPr>
        <w:spacing w:after="0" w:line="240" w:lineRule="auto"/>
        <w:rPr>
          <w:rFonts w:ascii="Arial" w:hAnsi="Arial" w:cs="Arial"/>
          <w:sz w:val="24"/>
          <w:szCs w:val="24"/>
        </w:rPr>
      </w:pPr>
      <w:r w:rsidRPr="00C47C3B">
        <w:rPr>
          <w:rFonts w:ascii="Arial" w:hAnsi="Arial" w:cs="Arial"/>
          <w:noProof/>
          <w:sz w:val="24"/>
          <w:szCs w:val="24"/>
        </w:rPr>
        <w:pict>
          <v:shape id="_x0000_s1628" type="#_x0000_t202" style="position:absolute;margin-left:0;margin-top:10.35pt;width:448.5pt;height:18.7pt;z-index:251641344">
            <v:textbox style="mso-next-textbox:#_x0000_s1628">
              <w:txbxContent>
                <w:p w:rsidR="00B4351F" w:rsidRPr="00704811" w:rsidRDefault="00B4351F" w:rsidP="008227FD">
                  <w:pPr>
                    <w:numPr>
                      <w:ilvl w:val="0"/>
                      <w:numId w:val="83"/>
                    </w:numPr>
                    <w:spacing w:after="0" w:line="240" w:lineRule="auto"/>
                    <w:ind w:left="403"/>
                    <w:rPr>
                      <w:sz w:val="16"/>
                      <w:szCs w:val="16"/>
                    </w:rPr>
                  </w:pPr>
                  <w:r w:rsidRPr="00103350">
                    <w:rPr>
                      <w:sz w:val="16"/>
                      <w:szCs w:val="16"/>
                    </w:rPr>
                    <w:t>UNFCCC verifies and certifies the number of carbon credits achi</w:t>
                  </w:r>
                  <w:r w:rsidRPr="00704811">
                    <w:rPr>
                      <w:sz w:val="16"/>
                      <w:szCs w:val="16"/>
                    </w:rPr>
                    <w:t>eved.</w:t>
                  </w:r>
                </w:p>
              </w:txbxContent>
            </v:textbox>
          </v:shape>
        </w:pict>
      </w:r>
    </w:p>
    <w:p w:rsidR="00480D3D" w:rsidRPr="00445F77" w:rsidRDefault="00480D3D" w:rsidP="00480D3D">
      <w:pPr>
        <w:spacing w:after="0" w:line="240" w:lineRule="auto"/>
        <w:rPr>
          <w:rFonts w:ascii="Arial" w:hAnsi="Arial" w:cs="Arial"/>
          <w:sz w:val="24"/>
          <w:szCs w:val="24"/>
        </w:rPr>
      </w:pPr>
    </w:p>
    <w:p w:rsidR="00480D3D" w:rsidRPr="00445F77" w:rsidRDefault="00C47C3B" w:rsidP="00480D3D">
      <w:pPr>
        <w:spacing w:after="0" w:line="240" w:lineRule="auto"/>
        <w:rPr>
          <w:rFonts w:ascii="Arial" w:hAnsi="Arial" w:cs="Arial"/>
          <w:sz w:val="24"/>
          <w:szCs w:val="24"/>
        </w:rPr>
      </w:pPr>
      <w:r w:rsidRPr="00C47C3B">
        <w:rPr>
          <w:rFonts w:ascii="Arial" w:hAnsi="Arial" w:cs="Arial"/>
          <w:noProof/>
          <w:sz w:val="24"/>
          <w:szCs w:val="24"/>
        </w:rPr>
        <w:pict>
          <v:shape id="_x0000_s1634" type="#_x0000_t202" style="position:absolute;margin-left:0;margin-top:11.55pt;width:448.5pt;height:28.05pt;z-index:251647488">
            <v:textbox style="mso-next-textbox:#_x0000_s1634">
              <w:txbxContent>
                <w:p w:rsidR="00B4351F" w:rsidRPr="00C23B39" w:rsidRDefault="00B4351F" w:rsidP="008227FD">
                  <w:pPr>
                    <w:numPr>
                      <w:ilvl w:val="0"/>
                      <w:numId w:val="84"/>
                    </w:numPr>
                    <w:spacing w:after="0" w:line="240" w:lineRule="auto"/>
                    <w:ind w:left="403"/>
                    <w:jc w:val="both"/>
                    <w:rPr>
                      <w:sz w:val="20"/>
                      <w:szCs w:val="20"/>
                    </w:rPr>
                  </w:pPr>
                  <w:smartTag w:uri="urn:schemas-microsoft-com:office:smarttags" w:element="country-region">
                    <w:smartTag w:uri="urn:schemas-microsoft-com:office:smarttags" w:element="place">
                      <w:r w:rsidRPr="00103350">
                        <w:rPr>
                          <w:sz w:val="16"/>
                          <w:szCs w:val="16"/>
                        </w:rPr>
                        <w:t>Viet Nam</w:t>
                      </w:r>
                    </w:smartTag>
                  </w:smartTag>
                  <w:r w:rsidRPr="00103350">
                    <w:rPr>
                      <w:sz w:val="16"/>
                      <w:szCs w:val="16"/>
                    </w:rPr>
                    <w:t xml:space="preserve"> is eligible to receive revenues corresponding with verified carbon credits through an international market </w:t>
                  </w:r>
                  <w:r>
                    <w:rPr>
                      <w:sz w:val="16"/>
                      <w:szCs w:val="16"/>
                    </w:rPr>
                    <w:t>and/or funding mechanism</w:t>
                  </w:r>
                  <w:r w:rsidRPr="00103350">
                    <w:rPr>
                      <w:sz w:val="16"/>
                      <w:szCs w:val="16"/>
                    </w:rPr>
                    <w:t>.</w:t>
                  </w:r>
                </w:p>
              </w:txbxContent>
            </v:textbox>
          </v:shape>
        </w:pict>
      </w: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jc w:val="center"/>
        <w:rPr>
          <w:rFonts w:ascii="Arial" w:hAnsi="Arial" w:cs="Arial"/>
          <w:b/>
          <w:sz w:val="24"/>
          <w:szCs w:val="24"/>
          <w:u w:val="single"/>
        </w:rPr>
      </w:pPr>
      <w:r w:rsidRPr="00445F77">
        <w:rPr>
          <w:rFonts w:ascii="Arial" w:hAnsi="Arial" w:cs="Arial"/>
          <w:b/>
          <w:sz w:val="24"/>
          <w:szCs w:val="24"/>
          <w:u w:val="single"/>
        </w:rPr>
        <w:t>B. BENEFIT DISTRIBUTION</w:t>
      </w:r>
    </w:p>
    <w:p w:rsidR="00480D3D" w:rsidRPr="00445F77" w:rsidRDefault="00C47C3B" w:rsidP="00480D3D">
      <w:pPr>
        <w:spacing w:after="0" w:line="240" w:lineRule="auto"/>
        <w:rPr>
          <w:rFonts w:ascii="Arial" w:hAnsi="Arial" w:cs="Arial"/>
          <w:sz w:val="24"/>
          <w:szCs w:val="24"/>
        </w:rPr>
      </w:pPr>
      <w:r w:rsidRPr="00C47C3B">
        <w:rPr>
          <w:rFonts w:ascii="Arial" w:hAnsi="Arial" w:cs="Arial"/>
          <w:noProof/>
          <w:sz w:val="24"/>
          <w:szCs w:val="24"/>
        </w:rPr>
        <w:pict>
          <v:shape id="_x0000_s1638" type="#_x0000_t202" style="position:absolute;margin-left:0;margin-top:113.95pt;width:450.55pt;height:27.5pt;z-index:251651584">
            <v:textbox style="mso-next-textbox:#_x0000_s1638;mso-fit-shape-to-text:t">
              <w:txbxContent>
                <w:p w:rsidR="00B4351F" w:rsidRPr="00C23B39" w:rsidRDefault="00B4351F" w:rsidP="008227FD">
                  <w:pPr>
                    <w:numPr>
                      <w:ilvl w:val="0"/>
                      <w:numId w:val="88"/>
                    </w:numPr>
                    <w:spacing w:after="0" w:line="240" w:lineRule="auto"/>
                    <w:jc w:val="both"/>
                    <w:rPr>
                      <w:sz w:val="20"/>
                      <w:szCs w:val="20"/>
                    </w:rPr>
                  </w:pPr>
                  <w:r w:rsidRPr="00103350">
                    <w:rPr>
                      <w:sz w:val="16"/>
                      <w:szCs w:val="16"/>
                    </w:rPr>
                    <w:t>Net revenues are distributed to Provincial REDD Funds (mirrored on the National Fund, and also with partic</w:t>
                  </w:r>
                  <w:r>
                    <w:rPr>
                      <w:sz w:val="16"/>
                      <w:szCs w:val="16"/>
                    </w:rPr>
                    <w:t xml:space="preserve">ipatory governance structures) </w:t>
                  </w:r>
                  <w:r w:rsidRPr="00103350">
                    <w:rPr>
                      <w:sz w:val="16"/>
                      <w:szCs w:val="16"/>
                    </w:rPr>
                    <w:t>according to R coefficients.</w:t>
                  </w:r>
                </w:p>
              </w:txbxContent>
            </v:textbox>
          </v:shape>
        </w:pict>
      </w:r>
      <w:r w:rsidRPr="00C47C3B">
        <w:rPr>
          <w:rFonts w:ascii="Arial" w:hAnsi="Arial" w:cs="Arial"/>
          <w:noProof/>
          <w:sz w:val="24"/>
          <w:szCs w:val="24"/>
        </w:rPr>
        <w:pict>
          <v:shape id="_x0000_s1637" type="#_x0000_t202" style="position:absolute;margin-left:0;margin-top:76.55pt;width:449.35pt;height:27.5pt;z-index:251650560">
            <v:textbox style="mso-next-textbox:#_x0000_s1637;mso-fit-shape-to-text:t">
              <w:txbxContent>
                <w:p w:rsidR="00B4351F" w:rsidRPr="00103350" w:rsidRDefault="00B4351F" w:rsidP="008227FD">
                  <w:pPr>
                    <w:numPr>
                      <w:ilvl w:val="0"/>
                      <w:numId w:val="87"/>
                    </w:numPr>
                    <w:spacing w:after="0" w:line="240" w:lineRule="auto"/>
                    <w:jc w:val="both"/>
                    <w:rPr>
                      <w:sz w:val="16"/>
                      <w:szCs w:val="16"/>
                    </w:rPr>
                  </w:pPr>
                  <w:r w:rsidRPr="00103350">
                    <w:rPr>
                      <w:sz w:val="16"/>
                      <w:szCs w:val="16"/>
                    </w:rPr>
                    <w:t>Staff of National REDD Fund calculate implement</w:t>
                  </w:r>
                  <w:r>
                    <w:rPr>
                      <w:sz w:val="16"/>
                      <w:szCs w:val="16"/>
                    </w:rPr>
                    <w:t xml:space="preserve">ation and </w:t>
                  </w:r>
                  <w:r w:rsidRPr="00103350">
                    <w:rPr>
                      <w:sz w:val="16"/>
                      <w:szCs w:val="16"/>
                    </w:rPr>
                    <w:t>opportunity costs incurred by the central government and subtract these amounts from the gross revenues</w:t>
                  </w:r>
                  <w:r>
                    <w:rPr>
                      <w:sz w:val="16"/>
                      <w:szCs w:val="16"/>
                    </w:rPr>
                    <w:t>.</w:t>
                  </w:r>
                </w:p>
              </w:txbxContent>
            </v:textbox>
          </v:shape>
        </w:pict>
      </w:r>
      <w:r w:rsidRPr="00C47C3B">
        <w:rPr>
          <w:rFonts w:ascii="Arial" w:hAnsi="Arial" w:cs="Arial"/>
          <w:b/>
          <w:noProof/>
          <w:sz w:val="24"/>
          <w:szCs w:val="24"/>
        </w:rPr>
        <w:pict>
          <v:shape id="_x0000_s1635" type="#_x0000_t202" style="position:absolute;margin-left:0;margin-top:48.5pt;width:449.75pt;height:18.7pt;z-index:251648512">
            <v:textbox style="mso-next-textbox:#_x0000_s1635">
              <w:txbxContent>
                <w:p w:rsidR="00B4351F" w:rsidRPr="00103350" w:rsidRDefault="00B4351F" w:rsidP="008227FD">
                  <w:pPr>
                    <w:numPr>
                      <w:ilvl w:val="0"/>
                      <w:numId w:val="86"/>
                    </w:numPr>
                    <w:spacing w:after="0" w:line="240" w:lineRule="auto"/>
                    <w:jc w:val="both"/>
                    <w:rPr>
                      <w:sz w:val="16"/>
                      <w:szCs w:val="16"/>
                    </w:rPr>
                  </w:pPr>
                  <w:r w:rsidRPr="00103350">
                    <w:rPr>
                      <w:sz w:val="16"/>
                      <w:szCs w:val="16"/>
                    </w:rPr>
                    <w:t>Staff of National REDD Fund calculate provincial shares of the total revenues based on provincial performance</w:t>
                  </w:r>
                  <w:r>
                    <w:rPr>
                      <w:sz w:val="16"/>
                      <w:szCs w:val="16"/>
                    </w:rPr>
                    <w:t>.</w:t>
                  </w:r>
                </w:p>
              </w:txbxContent>
            </v:textbox>
          </v:shape>
        </w:pict>
      </w:r>
      <w:r w:rsidRPr="00C47C3B">
        <w:rPr>
          <w:rFonts w:ascii="Arial" w:hAnsi="Arial" w:cs="Arial"/>
          <w:noProof/>
          <w:sz w:val="24"/>
          <w:szCs w:val="24"/>
        </w:rPr>
        <w:pict>
          <v:shape id="_x0000_s1636" type="#_x0000_t202" style="position:absolute;margin-left:0;margin-top:11.1pt;width:448.5pt;height:28.05pt;z-index:251649536">
            <v:textbox style="mso-next-textbox:#_x0000_s1636">
              <w:txbxContent>
                <w:p w:rsidR="00B4351F" w:rsidRPr="00103350" w:rsidRDefault="00B4351F" w:rsidP="008227FD">
                  <w:pPr>
                    <w:numPr>
                      <w:ilvl w:val="0"/>
                      <w:numId w:val="85"/>
                    </w:numPr>
                    <w:spacing w:after="0" w:line="240" w:lineRule="auto"/>
                    <w:ind w:left="403"/>
                    <w:jc w:val="both"/>
                    <w:rPr>
                      <w:sz w:val="16"/>
                      <w:szCs w:val="16"/>
                    </w:rPr>
                  </w:pPr>
                  <w:smartTag w:uri="urn:schemas-microsoft-com:office:smarttags" w:element="country-region">
                    <w:smartTag w:uri="urn:schemas-microsoft-com:office:smarttags" w:element="place">
                      <w:r w:rsidRPr="00103350">
                        <w:rPr>
                          <w:sz w:val="16"/>
                          <w:szCs w:val="16"/>
                        </w:rPr>
                        <w:t>Viet Nam</w:t>
                      </w:r>
                    </w:smartTag>
                  </w:smartTag>
                  <w:r w:rsidRPr="00103350">
                    <w:rPr>
                      <w:sz w:val="16"/>
                      <w:szCs w:val="16"/>
                    </w:rPr>
                    <w:t xml:space="preserve"> receives revenues into a Natio</w:t>
                  </w:r>
                  <w:r>
                    <w:rPr>
                      <w:sz w:val="16"/>
                      <w:szCs w:val="16"/>
                    </w:rPr>
                    <w:t>nal REDD Fund (new stand alone fund</w:t>
                  </w:r>
                  <w:r w:rsidRPr="00103350">
                    <w:rPr>
                      <w:sz w:val="16"/>
                      <w:szCs w:val="16"/>
                    </w:rPr>
                    <w:t xml:space="preserve"> or sub-fund of an existing fund), overseen by a broad-based, multi-stakeholder governing body.</w:t>
                  </w:r>
                </w:p>
              </w:txbxContent>
            </v:textbox>
          </v:shape>
        </w:pict>
      </w:r>
    </w:p>
    <w:p w:rsidR="00480D3D" w:rsidRPr="00445F77" w:rsidRDefault="00C47C3B" w:rsidP="00480D3D">
      <w:pPr>
        <w:spacing w:after="0" w:line="240" w:lineRule="auto"/>
        <w:rPr>
          <w:rFonts w:ascii="Arial" w:hAnsi="Arial" w:cs="Arial"/>
          <w:sz w:val="24"/>
          <w:szCs w:val="24"/>
        </w:rPr>
      </w:pPr>
      <w:r w:rsidRPr="00C47C3B">
        <w:rPr>
          <w:rFonts w:ascii="Arial" w:hAnsi="Arial" w:cs="Arial"/>
          <w:noProof/>
          <w:sz w:val="24"/>
          <w:szCs w:val="24"/>
        </w:rPr>
        <w:pict>
          <v:shape id="_x0000_s1646" type="#_x0000_t67" style="position:absolute;margin-left:460pt;margin-top:2.25pt;width:14.4pt;height:321.95pt;z-index:251659776" fillcolor="black"/>
        </w:pict>
      </w: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rPr>
          <w:rFonts w:ascii="Arial" w:hAnsi="Arial" w:cs="Arial"/>
          <w:sz w:val="24"/>
          <w:szCs w:val="24"/>
        </w:rPr>
      </w:pPr>
    </w:p>
    <w:p w:rsidR="00480D3D" w:rsidRPr="00445F77" w:rsidRDefault="00480D3D" w:rsidP="00480D3D">
      <w:pPr>
        <w:spacing w:after="0" w:line="240" w:lineRule="auto"/>
        <w:rPr>
          <w:rFonts w:ascii="Arial" w:hAnsi="Arial" w:cs="Arial"/>
          <w:sz w:val="24"/>
          <w:szCs w:val="24"/>
        </w:rPr>
      </w:pPr>
    </w:p>
    <w:p w:rsidR="00480D3D" w:rsidRPr="00445F77" w:rsidRDefault="00C47C3B" w:rsidP="00480D3D">
      <w:pPr>
        <w:spacing w:after="0" w:line="240" w:lineRule="auto"/>
        <w:rPr>
          <w:rFonts w:ascii="Arial" w:hAnsi="Arial" w:cs="Arial"/>
          <w:sz w:val="24"/>
          <w:szCs w:val="24"/>
        </w:rPr>
      </w:pPr>
      <w:r w:rsidRPr="00C47C3B">
        <w:rPr>
          <w:rFonts w:ascii="Arial" w:hAnsi="Arial" w:cs="Arial"/>
          <w:noProof/>
          <w:sz w:val="24"/>
          <w:szCs w:val="24"/>
        </w:rPr>
        <w:pict>
          <v:shape id="_x0000_s1640" type="#_x0000_t202" style="position:absolute;margin-left:250pt;margin-top:3.95pt;width:172.5pt;height:37.25pt;z-index:251653632">
            <v:textbox style="mso-next-textbox:#_x0000_s1640">
              <w:txbxContent>
                <w:p w:rsidR="00B4351F" w:rsidRPr="00994B65" w:rsidRDefault="00B4351F" w:rsidP="008227FD">
                  <w:pPr>
                    <w:numPr>
                      <w:ilvl w:val="0"/>
                      <w:numId w:val="90"/>
                    </w:numPr>
                    <w:spacing w:after="0" w:line="240" w:lineRule="auto"/>
                    <w:jc w:val="both"/>
                    <w:rPr>
                      <w:sz w:val="16"/>
                      <w:szCs w:val="16"/>
                    </w:rPr>
                  </w:pPr>
                  <w:r>
                    <w:rPr>
                      <w:sz w:val="16"/>
                      <w:szCs w:val="16"/>
                    </w:rPr>
                    <w:t xml:space="preserve">Option B: </w:t>
                  </w:r>
                  <w:r w:rsidRPr="00994B65">
                    <w:rPr>
                      <w:sz w:val="16"/>
                      <w:szCs w:val="16"/>
                    </w:rPr>
                    <w:t>Provincial REDD Fund staff are responsible for disbursement to ultimate beneficiaries</w:t>
                  </w:r>
                  <w:r>
                    <w:rPr>
                      <w:sz w:val="16"/>
                      <w:szCs w:val="16"/>
                    </w:rPr>
                    <w:t>.</w:t>
                  </w:r>
                </w:p>
              </w:txbxContent>
            </v:textbox>
          </v:shape>
        </w:pict>
      </w:r>
      <w:r w:rsidRPr="00C47C3B">
        <w:rPr>
          <w:rFonts w:ascii="Arial" w:hAnsi="Arial" w:cs="Arial"/>
          <w:noProof/>
          <w:sz w:val="24"/>
          <w:szCs w:val="24"/>
        </w:rPr>
        <w:pict>
          <v:shape id="_x0000_s1639" type="#_x0000_t202" style="position:absolute;margin-left:18.75pt;margin-top:3.95pt;width:184.75pt;height:37.25pt;z-index:251652608">
            <v:textbox style="mso-next-textbox:#_x0000_s1639;mso-fit-shape-to-text:t">
              <w:txbxContent>
                <w:p w:rsidR="00B4351F" w:rsidRPr="00103350" w:rsidRDefault="00B4351F" w:rsidP="008227FD">
                  <w:pPr>
                    <w:numPr>
                      <w:ilvl w:val="0"/>
                      <w:numId w:val="89"/>
                    </w:numPr>
                    <w:spacing w:after="0" w:line="240" w:lineRule="auto"/>
                    <w:jc w:val="both"/>
                    <w:rPr>
                      <w:sz w:val="16"/>
                      <w:szCs w:val="16"/>
                    </w:rPr>
                  </w:pPr>
                  <w:r>
                    <w:rPr>
                      <w:sz w:val="16"/>
                      <w:szCs w:val="16"/>
                    </w:rPr>
                    <w:t>Option A:</w:t>
                  </w:r>
                  <w:r w:rsidRPr="00103350">
                    <w:rPr>
                      <w:sz w:val="16"/>
                      <w:szCs w:val="16"/>
                    </w:rPr>
                    <w:t xml:space="preserve"> Provincial REDD Fund staff repeat steps 10-12 to determine distribution of net </w:t>
                  </w:r>
                  <w:r>
                    <w:rPr>
                      <w:sz w:val="16"/>
                      <w:szCs w:val="16"/>
                    </w:rPr>
                    <w:t>REDD revenues to District Funds.</w:t>
                  </w:r>
                </w:p>
              </w:txbxContent>
            </v:textbox>
          </v:shape>
        </w:pict>
      </w:r>
    </w:p>
    <w:p w:rsidR="00480D3D" w:rsidRPr="00445F77" w:rsidRDefault="00480D3D" w:rsidP="00480D3D">
      <w:pPr>
        <w:spacing w:after="0" w:line="240" w:lineRule="auto"/>
        <w:jc w:val="center"/>
        <w:rPr>
          <w:rFonts w:ascii="Arial" w:hAnsi="Arial" w:cs="Arial"/>
          <w:sz w:val="24"/>
          <w:szCs w:val="24"/>
        </w:rPr>
      </w:pPr>
      <w:r w:rsidRPr="00445F77">
        <w:rPr>
          <w:rFonts w:ascii="Arial" w:hAnsi="Arial" w:cs="Arial"/>
          <w:sz w:val="24"/>
          <w:szCs w:val="24"/>
        </w:rPr>
        <w:t>or</w:t>
      </w:r>
    </w:p>
    <w:p w:rsidR="00480D3D" w:rsidRDefault="00C47C3B">
      <w:pPr>
        <w:spacing w:after="0" w:line="240" w:lineRule="auto"/>
        <w:rPr>
          <w:rFonts w:ascii="Arial" w:hAnsi="Arial" w:cs="Arial"/>
          <w:color w:val="000000"/>
          <w:sz w:val="24"/>
          <w:szCs w:val="24"/>
          <w:lang w:val="en-US"/>
        </w:rPr>
      </w:pPr>
      <w:r w:rsidRPr="00C47C3B">
        <w:rPr>
          <w:rFonts w:ascii="Arial" w:hAnsi="Arial" w:cs="Arial"/>
          <w:noProof/>
          <w:sz w:val="24"/>
          <w:szCs w:val="24"/>
        </w:rPr>
        <w:pict>
          <v:shape id="_x0000_s1642" type="#_x0000_t202" style="position:absolute;margin-left:0;margin-top:126.35pt;width:448.5pt;height:22.75pt;z-index:251655680">
            <v:textbox style="mso-next-textbox:#_x0000_s1642">
              <w:txbxContent>
                <w:p w:rsidR="00B4351F" w:rsidRPr="00994B65" w:rsidRDefault="00B4351F" w:rsidP="008227FD">
                  <w:pPr>
                    <w:numPr>
                      <w:ilvl w:val="0"/>
                      <w:numId w:val="94"/>
                    </w:numPr>
                    <w:spacing w:after="0" w:line="240" w:lineRule="auto"/>
                    <w:jc w:val="both"/>
                    <w:rPr>
                      <w:sz w:val="16"/>
                      <w:szCs w:val="16"/>
                    </w:rPr>
                  </w:pPr>
                  <w:r w:rsidRPr="00994B65">
                    <w:rPr>
                      <w:sz w:val="16"/>
                      <w:szCs w:val="16"/>
                    </w:rPr>
                    <w:t>Staff of National REDD Fund initiate independent external auditing of National, Provincial, and (if relevant) District REDD Funds</w:t>
                  </w:r>
                  <w:r>
                    <w:rPr>
                      <w:sz w:val="16"/>
                      <w:szCs w:val="16"/>
                    </w:rPr>
                    <w:t>.</w:t>
                  </w:r>
                </w:p>
              </w:txbxContent>
            </v:textbox>
          </v:shape>
        </w:pict>
      </w:r>
      <w:r w:rsidRPr="00C47C3B">
        <w:rPr>
          <w:rFonts w:ascii="Arial" w:hAnsi="Arial" w:cs="Arial"/>
          <w:noProof/>
          <w:sz w:val="24"/>
          <w:szCs w:val="24"/>
        </w:rPr>
        <w:pict>
          <v:shape id="_x0000_s1641" type="#_x0000_t202" style="position:absolute;margin-left:0;margin-top:88.1pt;width:448.5pt;height:28.05pt;z-index:251654656">
            <v:textbox style="mso-next-textbox:#_x0000_s1641">
              <w:txbxContent>
                <w:p w:rsidR="00B4351F" w:rsidRPr="004F1C05" w:rsidRDefault="00B4351F" w:rsidP="008227FD">
                  <w:pPr>
                    <w:numPr>
                      <w:ilvl w:val="0"/>
                      <w:numId w:val="93"/>
                    </w:numPr>
                    <w:spacing w:after="0" w:line="240" w:lineRule="auto"/>
                    <w:jc w:val="both"/>
                    <w:rPr>
                      <w:sz w:val="20"/>
                      <w:szCs w:val="20"/>
                    </w:rPr>
                  </w:pPr>
                  <w:r w:rsidRPr="00994B65">
                    <w:rPr>
                      <w:sz w:val="16"/>
                      <w:szCs w:val="16"/>
                    </w:rPr>
                    <w:t xml:space="preserve">Agencies responsible for providing recourse in the event of disputes </w:t>
                  </w:r>
                  <w:r>
                    <w:rPr>
                      <w:sz w:val="16"/>
                      <w:szCs w:val="16"/>
                    </w:rPr>
                    <w:t>take</w:t>
                  </w:r>
                  <w:r w:rsidRPr="00994B65">
                    <w:rPr>
                      <w:sz w:val="16"/>
                      <w:szCs w:val="16"/>
                    </w:rPr>
                    <w:t xml:space="preserve"> action to ensure that all beneficiaries are able to register a complaint</w:t>
                  </w:r>
                  <w:r>
                    <w:rPr>
                      <w:sz w:val="16"/>
                      <w:szCs w:val="16"/>
                    </w:rPr>
                    <w:t>.</w:t>
                  </w:r>
                </w:p>
              </w:txbxContent>
            </v:textbox>
          </v:shape>
        </w:pict>
      </w:r>
      <w:r w:rsidRPr="00C47C3B">
        <w:rPr>
          <w:rFonts w:ascii="Arial" w:hAnsi="Arial" w:cs="Arial"/>
          <w:noProof/>
          <w:sz w:val="24"/>
          <w:szCs w:val="24"/>
        </w:rPr>
        <w:pict>
          <v:shape id="_x0000_s1643" type="#_x0000_t202" style="position:absolute;margin-left:0;margin-top:61.85pt;width:448.5pt;height:18.7pt;z-index:251656704">
            <v:textbox style="mso-next-textbox:#_x0000_s1643">
              <w:txbxContent>
                <w:p w:rsidR="00B4351F" w:rsidRPr="004F1C05" w:rsidRDefault="00B4351F" w:rsidP="008227FD">
                  <w:pPr>
                    <w:numPr>
                      <w:ilvl w:val="0"/>
                      <w:numId w:val="92"/>
                    </w:numPr>
                    <w:spacing w:after="0" w:line="240" w:lineRule="auto"/>
                    <w:jc w:val="both"/>
                    <w:rPr>
                      <w:sz w:val="20"/>
                      <w:szCs w:val="20"/>
                    </w:rPr>
                  </w:pPr>
                  <w:r w:rsidRPr="00994B65">
                    <w:rPr>
                      <w:sz w:val="16"/>
                      <w:szCs w:val="16"/>
                    </w:rPr>
                    <w:t xml:space="preserve">Agencies </w:t>
                  </w:r>
                  <w:r>
                    <w:rPr>
                      <w:sz w:val="16"/>
                      <w:szCs w:val="16"/>
                    </w:rPr>
                    <w:t>monitor disbursement activities.</w:t>
                  </w:r>
                </w:p>
              </w:txbxContent>
            </v:textbox>
          </v:shape>
        </w:pict>
      </w:r>
      <w:r w:rsidRPr="00C47C3B">
        <w:rPr>
          <w:rFonts w:ascii="Arial" w:hAnsi="Arial" w:cs="Arial"/>
          <w:noProof/>
          <w:sz w:val="24"/>
          <w:szCs w:val="24"/>
        </w:rPr>
        <w:pict>
          <v:shape id="_x0000_s1644" type="#_x0000_t202" style="position:absolute;margin-left:0;margin-top:25.1pt;width:448.5pt;height:28.05pt;z-index:251657728">
            <v:textbox style="mso-next-textbox:#_x0000_s1644">
              <w:txbxContent>
                <w:p w:rsidR="00B4351F" w:rsidRPr="004F1C05" w:rsidRDefault="00B4351F" w:rsidP="008227FD">
                  <w:pPr>
                    <w:numPr>
                      <w:ilvl w:val="0"/>
                      <w:numId w:val="91"/>
                    </w:numPr>
                    <w:spacing w:after="0" w:line="240" w:lineRule="auto"/>
                    <w:jc w:val="both"/>
                    <w:rPr>
                      <w:sz w:val="20"/>
                      <w:szCs w:val="20"/>
                    </w:rPr>
                  </w:pPr>
                  <w:r>
                    <w:rPr>
                      <w:sz w:val="16"/>
                      <w:szCs w:val="16"/>
                    </w:rPr>
                    <w:t>Provincial/District Fund staff (depending on option A or B) determine net revenues to be distributed to ultimate beneficiaries and deliver payments and/or other benefits.</w:t>
                  </w:r>
                </w:p>
              </w:txbxContent>
            </v:textbox>
          </v:shape>
        </w:pict>
      </w:r>
      <w:r w:rsidR="00480D3D">
        <w:rPr>
          <w:rFonts w:ascii="Arial" w:hAnsi="Arial" w:cs="Arial"/>
        </w:rPr>
        <w:br w:type="page"/>
      </w:r>
    </w:p>
    <w:p w:rsidR="00351F2C" w:rsidRPr="00445F77" w:rsidRDefault="00351F2C" w:rsidP="00A256CB">
      <w:pPr>
        <w:pStyle w:val="Default"/>
        <w:rPr>
          <w:rFonts w:ascii="Arial" w:hAnsi="Arial" w:cs="Arial"/>
        </w:rPr>
      </w:pPr>
    </w:p>
    <w:p w:rsidR="00351F2C" w:rsidRPr="002D0F33" w:rsidRDefault="00351F2C" w:rsidP="0003235B">
      <w:pPr>
        <w:pStyle w:val="Default"/>
        <w:rPr>
          <w:rFonts w:ascii="Arial" w:hAnsi="Arial" w:cs="Arial"/>
          <w:color w:val="1F497D"/>
        </w:rPr>
      </w:pPr>
      <w:r w:rsidRPr="002D0F33">
        <w:rPr>
          <w:rFonts w:ascii="Arial" w:hAnsi="Arial" w:cs="Arial"/>
          <w:color w:val="1F497D"/>
        </w:rPr>
        <w:t>LEGAL ISSUES</w:t>
      </w:r>
    </w:p>
    <w:p w:rsidR="00351F2C" w:rsidRPr="005B3882" w:rsidRDefault="00351F2C" w:rsidP="00A256CB">
      <w:pPr>
        <w:pStyle w:val="Default"/>
        <w:rPr>
          <w:rFonts w:ascii="Book Antiqua" w:hAnsi="Book Antiqua" w:cs="Arial"/>
          <w:sz w:val="22"/>
          <w:szCs w:val="22"/>
        </w:rPr>
      </w:pPr>
    </w:p>
    <w:p w:rsidR="00351F2C" w:rsidRPr="005B3882" w:rsidRDefault="00351F2C" w:rsidP="00A256CB">
      <w:pPr>
        <w:pStyle w:val="Default"/>
        <w:jc w:val="center"/>
        <w:rPr>
          <w:rFonts w:ascii="Book Antiqua" w:hAnsi="Book Antiqua" w:cs="Arial"/>
          <w:b/>
          <w:sz w:val="22"/>
          <w:szCs w:val="22"/>
          <w:u w:val="single"/>
        </w:rPr>
      </w:pPr>
      <w:r w:rsidRPr="005B3882">
        <w:rPr>
          <w:rFonts w:ascii="Book Antiqua" w:hAnsi="Book Antiqua" w:cs="Arial"/>
          <w:b/>
          <w:sz w:val="22"/>
          <w:szCs w:val="22"/>
          <w:u w:val="single"/>
        </w:rPr>
        <w:t>POLICY ISSUE #1</w:t>
      </w:r>
    </w:p>
    <w:p w:rsidR="00351F2C" w:rsidRPr="005B3882" w:rsidRDefault="00351F2C" w:rsidP="00A256CB">
      <w:pPr>
        <w:pStyle w:val="Default"/>
        <w:rPr>
          <w:rFonts w:ascii="Book Antiqua" w:hAnsi="Book Antiqua" w:cs="Arial"/>
          <w:b/>
          <w:sz w:val="22"/>
          <w:szCs w:val="22"/>
        </w:rPr>
      </w:pPr>
      <w:r w:rsidRPr="005B3882">
        <w:rPr>
          <w:rFonts w:ascii="Book Antiqua" w:hAnsi="Book Antiqua" w:cs="Arial"/>
          <w:b/>
          <w:sz w:val="22"/>
          <w:szCs w:val="22"/>
        </w:rPr>
        <w:t>WHAT’S AT STAKE?</w:t>
      </w:r>
    </w:p>
    <w:p w:rsidR="00351F2C" w:rsidRPr="005B3882" w:rsidRDefault="00480D3D" w:rsidP="00A256CB">
      <w:pPr>
        <w:pStyle w:val="Default"/>
        <w:jc w:val="both"/>
        <w:rPr>
          <w:rFonts w:ascii="Book Antiqua" w:hAnsi="Book Antiqua" w:cs="Arial"/>
          <w:sz w:val="22"/>
          <w:szCs w:val="22"/>
        </w:rPr>
      </w:pPr>
      <w:r>
        <w:rPr>
          <w:rFonts w:ascii="Book Antiqua" w:hAnsi="Book Antiqua" w:cs="Arial"/>
          <w:sz w:val="22"/>
          <w:szCs w:val="22"/>
        </w:rPr>
        <w:t>REDD+</w:t>
      </w:r>
      <w:r w:rsidR="00351F2C" w:rsidRPr="005B3882">
        <w:rPr>
          <w:rFonts w:ascii="Book Antiqua" w:hAnsi="Book Antiqua" w:cs="Arial"/>
          <w:sz w:val="22"/>
          <w:szCs w:val="22"/>
        </w:rPr>
        <w:t xml:space="preserve"> is new to </w:t>
      </w:r>
      <w:smartTag w:uri="urn:schemas-microsoft-com:office:smarttags" w:element="country-region">
        <w:smartTag w:uri="urn:schemas-microsoft-com:office:smarttags" w:element="place">
          <w:r w:rsidR="00351F2C" w:rsidRPr="005B3882">
            <w:rPr>
              <w:rFonts w:ascii="Book Antiqua" w:hAnsi="Book Antiqua" w:cs="Arial"/>
              <w:sz w:val="22"/>
              <w:szCs w:val="22"/>
            </w:rPr>
            <w:t>Viet Nam</w:t>
          </w:r>
        </w:smartTag>
      </w:smartTag>
      <w:r w:rsidR="00351F2C" w:rsidRPr="005B3882">
        <w:rPr>
          <w:rFonts w:ascii="Book Antiqua" w:hAnsi="Book Antiqua" w:cs="Arial"/>
          <w:sz w:val="22"/>
          <w:szCs w:val="22"/>
        </w:rPr>
        <w:t xml:space="preserve"> and national laws and implementing regulations contain gaps and ambiguities that need to be addressed.  Since addressing these reforms will take time and the international </w:t>
      </w:r>
      <w:r>
        <w:rPr>
          <w:rFonts w:ascii="Book Antiqua" w:hAnsi="Book Antiqua" w:cs="Arial"/>
          <w:sz w:val="22"/>
          <w:szCs w:val="22"/>
        </w:rPr>
        <w:t>REDD+</w:t>
      </w:r>
      <w:r w:rsidR="00351F2C" w:rsidRPr="005B3882">
        <w:rPr>
          <w:rFonts w:ascii="Book Antiqua" w:hAnsi="Book Antiqua" w:cs="Arial"/>
          <w:sz w:val="22"/>
          <w:szCs w:val="22"/>
        </w:rPr>
        <w:t xml:space="preserve"> rules are under negotiation, a major recommendations is that GoV pilots mechanisms to implement </w:t>
      </w:r>
      <w:r>
        <w:rPr>
          <w:rFonts w:ascii="Book Antiqua" w:hAnsi="Book Antiqua" w:cs="Arial"/>
          <w:sz w:val="22"/>
          <w:szCs w:val="22"/>
        </w:rPr>
        <w:t>REDD+</w:t>
      </w:r>
      <w:r w:rsidR="00351F2C" w:rsidRPr="005B3882">
        <w:rPr>
          <w:rFonts w:ascii="Book Antiqua" w:hAnsi="Book Antiqua" w:cs="Arial"/>
          <w:sz w:val="22"/>
          <w:szCs w:val="22"/>
        </w:rPr>
        <w:t xml:space="preserve"> in several provinces over the next 2-3 years.  Based on the results and lessons learned, it should prepare a REDD-specific legal document that establishes an efficient and equitable BDS and defines the rights, roles, and responsibilities of all stakeholders.  A clear legal framework will also give international investors greater confidence in, and enhance the value of, emissions reductions generated in </w:t>
      </w:r>
      <w:smartTag w:uri="urn:schemas-microsoft-com:office:smarttags" w:element="country-region">
        <w:smartTag w:uri="urn:schemas-microsoft-com:office:smarttags" w:element="place">
          <w:r w:rsidR="00351F2C" w:rsidRPr="005B3882">
            <w:rPr>
              <w:rFonts w:ascii="Book Antiqua" w:hAnsi="Book Antiqua" w:cs="Arial"/>
              <w:sz w:val="22"/>
              <w:szCs w:val="22"/>
            </w:rPr>
            <w:t>Viet Nam</w:t>
          </w:r>
        </w:smartTag>
      </w:smartTag>
      <w:r w:rsidR="00351F2C" w:rsidRPr="005B3882">
        <w:rPr>
          <w:rFonts w:ascii="Book Antiqua" w:hAnsi="Book Antiqua" w:cs="Arial"/>
          <w:sz w:val="22"/>
          <w:szCs w:val="22"/>
        </w:rPr>
        <w:t xml:space="preserve">.  </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Of special concern is clarification of who can benefit from </w:t>
      </w:r>
      <w:r w:rsidR="00480D3D">
        <w:rPr>
          <w:rFonts w:ascii="Book Antiqua" w:hAnsi="Book Antiqua" w:cs="Arial"/>
          <w:sz w:val="22"/>
          <w:szCs w:val="22"/>
        </w:rPr>
        <w:t>REDD+</w:t>
      </w:r>
      <w:r w:rsidRPr="005B3882">
        <w:rPr>
          <w:rFonts w:ascii="Book Antiqua" w:hAnsi="Book Antiqua" w:cs="Arial"/>
          <w:sz w:val="22"/>
          <w:szCs w:val="22"/>
        </w:rPr>
        <w:t xml:space="preserve">.  Globally, unclear land rights and uncertainty over land title are considered major threats to effective </w:t>
      </w:r>
      <w:r w:rsidR="00480D3D">
        <w:rPr>
          <w:rFonts w:ascii="Book Antiqua" w:hAnsi="Book Antiqua" w:cs="Arial"/>
          <w:sz w:val="22"/>
          <w:szCs w:val="22"/>
        </w:rPr>
        <w:t>REDD+</w:t>
      </w:r>
      <w:r w:rsidRPr="005B3882">
        <w:rPr>
          <w:rFonts w:ascii="Book Antiqua" w:hAnsi="Book Antiqua" w:cs="Arial"/>
          <w:sz w:val="22"/>
          <w:szCs w:val="22"/>
        </w:rPr>
        <w:t xml:space="preserve"> implementation.  Disempowered communities could suffer from loss of access to forest resources, the unequal imposition of the costs of forest protection, and they could be ineligible for </w:t>
      </w:r>
      <w:r w:rsidR="00480D3D">
        <w:rPr>
          <w:rFonts w:ascii="Book Antiqua" w:hAnsi="Book Antiqua" w:cs="Arial"/>
          <w:sz w:val="22"/>
          <w:szCs w:val="22"/>
        </w:rPr>
        <w:t>REDD+</w:t>
      </w:r>
      <w:r w:rsidRPr="005B3882">
        <w:rPr>
          <w:rFonts w:ascii="Book Antiqua" w:hAnsi="Book Antiqua" w:cs="Arial"/>
          <w:sz w:val="22"/>
          <w:szCs w:val="22"/>
        </w:rPr>
        <w:t xml:space="preserve"> benefits if they do not enjoy formal title.  There is particular concern over the role of local communities.  Under the 2004 Forest Protection and Development Law, village communities are eligible to be allocated forest. </w:t>
      </w:r>
      <w:r w:rsidRPr="005B3882">
        <w:rPr>
          <w:rFonts w:ascii="Book Antiqua" w:hAnsi="Book Antiqua" w:cs="Arial"/>
          <w:color w:val="auto"/>
          <w:sz w:val="22"/>
          <w:szCs w:val="22"/>
        </w:rPr>
        <w:t xml:space="preserve"> But </w:t>
      </w:r>
      <w:smartTag w:uri="urn:schemas-microsoft-com:office:smarttags" w:element="country-region">
        <w:smartTag w:uri="urn:schemas-microsoft-com:office:smarttags" w:element="place">
          <w:r w:rsidRPr="005B3882">
            <w:rPr>
              <w:rFonts w:ascii="Book Antiqua" w:hAnsi="Book Antiqua" w:cs="Arial"/>
              <w:color w:val="auto"/>
              <w:sz w:val="22"/>
              <w:szCs w:val="22"/>
            </w:rPr>
            <w:t>Viet Nam</w:t>
          </w:r>
        </w:smartTag>
      </w:smartTag>
      <w:r w:rsidRPr="005B3882">
        <w:rPr>
          <w:rFonts w:ascii="Book Antiqua" w:hAnsi="Book Antiqua" w:cs="Arial"/>
          <w:color w:val="auto"/>
          <w:sz w:val="22"/>
          <w:szCs w:val="22"/>
        </w:rPr>
        <w:t xml:space="preserve">’s Civil Code does not recognize communities as legal bodies.  This means that according to the Civil Code, they cannot enter into contractual arrangements (unlike households), which may limit their ability to participate in </w:t>
      </w:r>
      <w:r w:rsidR="00480D3D">
        <w:rPr>
          <w:rFonts w:ascii="Book Antiqua" w:hAnsi="Book Antiqua" w:cs="Arial"/>
          <w:color w:val="auto"/>
          <w:sz w:val="22"/>
          <w:szCs w:val="22"/>
        </w:rPr>
        <w:t>REDD+</w:t>
      </w:r>
      <w:r w:rsidRPr="005B3882">
        <w:rPr>
          <w:rFonts w:ascii="Book Antiqua" w:hAnsi="Book Antiqua" w:cs="Arial"/>
          <w:sz w:val="22"/>
          <w:szCs w:val="22"/>
        </w:rPr>
        <w:t>.</w:t>
      </w:r>
    </w:p>
    <w:p w:rsidR="00351F2C" w:rsidRPr="00445F77" w:rsidRDefault="00351F2C" w:rsidP="00A256CB">
      <w:pPr>
        <w:pStyle w:val="Default"/>
        <w:rPr>
          <w:rFonts w:ascii="Arial" w:hAnsi="Arial" w:cs="Arial"/>
        </w:rPr>
      </w:pPr>
    </w:p>
    <w:tbl>
      <w:tblPr>
        <w:tblW w:w="5000" w:type="pct"/>
        <w:jc w:val="right"/>
        <w:tblBorders>
          <w:top w:val="single" w:sz="24" w:space="0" w:color="FFFFFF"/>
          <w:insideH w:val="single" w:sz="8" w:space="0" w:color="FFFFFF"/>
          <w:insideV w:val="single" w:sz="24" w:space="0" w:color="FFFFFF"/>
        </w:tblBorders>
        <w:tblLook w:val="00A0"/>
      </w:tblPr>
      <w:tblGrid>
        <w:gridCol w:w="1684"/>
        <w:gridCol w:w="7320"/>
      </w:tblGrid>
      <w:tr w:rsidR="00351F2C" w:rsidRPr="00445F77">
        <w:trPr>
          <w:tblHeader/>
          <w:jc w:val="right"/>
        </w:trPr>
        <w:tc>
          <w:tcPr>
            <w:tcW w:w="5000" w:type="pct"/>
            <w:gridSpan w:val="2"/>
            <w:tcBorders>
              <w:top w:val="single" w:sz="24" w:space="0" w:color="FFFFFF"/>
            </w:tcBorders>
            <w:shd w:val="clear" w:color="auto" w:fill="76923C"/>
            <w:vAlign w:val="center"/>
          </w:tcPr>
          <w:p w:rsidR="00351F2C" w:rsidRPr="000A16F4" w:rsidRDefault="00351F2C" w:rsidP="005B3882">
            <w:pPr>
              <w:pStyle w:val="Default"/>
              <w:jc w:val="center"/>
              <w:rPr>
                <w:rFonts w:ascii="Book Antiqua" w:hAnsi="Book Antiqua" w:cs="Arial"/>
                <w:b/>
                <w:color w:val="FFFFFF"/>
              </w:rPr>
            </w:pPr>
            <w:r w:rsidRPr="000A16F4">
              <w:rPr>
                <w:rFonts w:ascii="Book Antiqua" w:hAnsi="Book Antiqua" w:cs="Arial"/>
                <w:b/>
                <w:color w:val="FFFFFF"/>
              </w:rPr>
              <w:t>POLICY DECISION 1</w:t>
            </w:r>
            <w:r w:rsidR="000A16F4">
              <w:rPr>
                <w:rFonts w:ascii="Book Antiqua" w:hAnsi="Book Antiqua" w:cs="Arial"/>
                <w:b/>
                <w:color w:val="FFFFFF"/>
              </w:rPr>
              <w:t xml:space="preserve"> (3.3)</w:t>
            </w:r>
            <w:r w:rsidRPr="000A16F4">
              <w:rPr>
                <w:rFonts w:ascii="Book Antiqua" w:hAnsi="Book Antiqua" w:cs="Arial"/>
                <w:b/>
                <w:color w:val="FFFFFF"/>
              </w:rPr>
              <w:t>:</w:t>
            </w:r>
          </w:p>
          <w:p w:rsidR="00351F2C" w:rsidRPr="00445F77" w:rsidRDefault="00351F2C" w:rsidP="005B3882">
            <w:pPr>
              <w:pStyle w:val="Default"/>
              <w:jc w:val="center"/>
              <w:rPr>
                <w:rFonts w:ascii="Arial" w:hAnsi="Arial" w:cs="Arial"/>
                <w:b/>
              </w:rPr>
            </w:pPr>
            <w:r w:rsidRPr="000A16F4">
              <w:rPr>
                <w:rFonts w:ascii="Book Antiqua" w:hAnsi="Book Antiqua" w:cs="Arial"/>
                <w:b/>
                <w:color w:val="FFFFFF"/>
              </w:rPr>
              <w:t xml:space="preserve">LEGAL FRAMEWORK FOR </w:t>
            </w:r>
            <w:r w:rsidR="00480D3D" w:rsidRPr="000A16F4">
              <w:rPr>
                <w:rFonts w:ascii="Book Antiqua" w:hAnsi="Book Antiqua" w:cs="Arial"/>
                <w:b/>
                <w:color w:val="FFFFFF"/>
              </w:rPr>
              <w:t>REDD+</w:t>
            </w:r>
            <w:r w:rsidRPr="000A16F4">
              <w:rPr>
                <w:rFonts w:ascii="Book Antiqua" w:hAnsi="Book Antiqua" w:cs="Arial"/>
                <w:b/>
                <w:color w:val="FFFFFF"/>
              </w:rPr>
              <w:t xml:space="preserve"> IN VIET </w:t>
            </w:r>
            <w:smartTag w:uri="urn:schemas-microsoft-com:office:smarttags" w:element="country-region">
              <w:smartTag w:uri="urn:schemas-microsoft-com:office:smarttags" w:element="place">
                <w:r w:rsidRPr="000A16F4">
                  <w:rPr>
                    <w:rFonts w:ascii="Book Antiqua" w:hAnsi="Book Antiqua" w:cs="Arial"/>
                    <w:b/>
                    <w:color w:val="FFFFFF"/>
                  </w:rPr>
                  <w:t>NAM</w:t>
                </w:r>
              </w:smartTag>
            </w:smartTag>
          </w:p>
        </w:tc>
      </w:tr>
      <w:tr w:rsidR="000A16F4" w:rsidRPr="005B3882">
        <w:trPr>
          <w:jc w:val="right"/>
        </w:trPr>
        <w:tc>
          <w:tcPr>
            <w:tcW w:w="935" w:type="pct"/>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Issue to be addressed</w:t>
            </w:r>
          </w:p>
        </w:tc>
        <w:tc>
          <w:tcPr>
            <w:tcW w:w="4065" w:type="pct"/>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 xml:space="preserve">REDD+ is new to Viet Nam, and international requirements concerning management of REDD+ revenues are likely to require approaches to governance and a degree of legal certainty that have not been encountered in similar schemes such as PFES, or the 661 programme.  Furthermore, REDD+ brings with it legal concepts that are novel to </w:t>
            </w:r>
            <w:smartTag w:uri="urn:schemas-microsoft-com:office:smarttags" w:element="country-region">
              <w:smartTag w:uri="urn:schemas-microsoft-com:office:smarttags" w:element="place">
                <w:r w:rsidRPr="003C0FC0">
                  <w:rPr>
                    <w:rFonts w:ascii="Book Antiqua" w:hAnsi="Book Antiqua" w:cs="Arial"/>
                  </w:rPr>
                  <w:t>Viet Nam</w:t>
                </w:r>
              </w:smartTag>
            </w:smartTag>
            <w:r w:rsidRPr="003C0FC0">
              <w:rPr>
                <w:rFonts w:ascii="Book Antiqua" w:hAnsi="Book Antiqua" w:cs="Arial"/>
              </w:rPr>
              <w:t>, such as ownership or rights to forest carbon.</w:t>
            </w:r>
          </w:p>
          <w:p w:rsidR="000A16F4" w:rsidRPr="003C0FC0" w:rsidRDefault="000A16F4" w:rsidP="003561C4">
            <w:pPr>
              <w:spacing w:after="0" w:line="240" w:lineRule="auto"/>
              <w:jc w:val="both"/>
              <w:rPr>
                <w:rFonts w:ascii="Book Antiqua" w:hAnsi="Book Antiqua" w:cs="Arial"/>
              </w:rPr>
            </w:pPr>
          </w:p>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Therefore in order to facilitate REDD+ implementation, the legal framework in which REDD+ operates should be equitable, effective and efficient in order to meet international expectations. It should clearly define rights, particularly those of communities living in and around forest areas, a financial mechanism that allows REDD+ funds to reach the local beneficiaries, the fund’s governance structure, how funds are monitored, roles, rights, and responsibilities of major stakeholders, etc.</w:t>
            </w:r>
          </w:p>
          <w:p w:rsidR="000A16F4" w:rsidRPr="003C0FC0" w:rsidRDefault="000A16F4" w:rsidP="003561C4">
            <w:pPr>
              <w:spacing w:after="0" w:line="240" w:lineRule="auto"/>
              <w:jc w:val="both"/>
              <w:rPr>
                <w:rFonts w:ascii="Book Antiqua" w:hAnsi="Book Antiqua" w:cs="Arial"/>
              </w:rPr>
            </w:pPr>
          </w:p>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 xml:space="preserve">Three specific legal issues to need to be addressed as a priority in Viet Nam: (1) The rights to carbon, land and forests, particularly forest allocation and associated land use rights; (2) The coordination of the action of the government authorities involved with REDD+, in particular MARD and MONRE; and (3) Ensuring that all legitimate beneficiaries are recognized, in particular addressing the legal status of local communities. </w:t>
            </w:r>
          </w:p>
        </w:tc>
      </w:tr>
      <w:tr w:rsidR="000A16F4" w:rsidRPr="005B3882">
        <w:trPr>
          <w:jc w:val="right"/>
        </w:trPr>
        <w:tc>
          <w:tcPr>
            <w:tcW w:w="935" w:type="pct"/>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lastRenderedPageBreak/>
              <w:t>Options</w:t>
            </w:r>
          </w:p>
        </w:tc>
        <w:tc>
          <w:tcPr>
            <w:tcW w:w="4065" w:type="pct"/>
            <w:shd w:val="clear" w:color="auto" w:fill="D6E3BC"/>
            <w:vAlign w:val="center"/>
          </w:tcPr>
          <w:p w:rsidR="000A16F4" w:rsidRPr="003C0FC0" w:rsidRDefault="000A16F4" w:rsidP="008227FD">
            <w:pPr>
              <w:pStyle w:val="ListParagraph"/>
              <w:numPr>
                <w:ilvl w:val="0"/>
                <w:numId w:val="104"/>
              </w:numPr>
              <w:spacing w:after="0" w:line="240" w:lineRule="auto"/>
              <w:ind w:left="219" w:hanging="270"/>
              <w:contextualSpacing w:val="0"/>
              <w:jc w:val="both"/>
              <w:rPr>
                <w:rFonts w:ascii="Book Antiqua" w:hAnsi="Book Antiqua" w:cs="Arial"/>
                <w:lang w:val="en-GB"/>
              </w:rPr>
            </w:pPr>
            <w:r w:rsidRPr="003C0FC0">
              <w:rPr>
                <w:rFonts w:ascii="Book Antiqua" w:hAnsi="Book Antiqua" w:cs="Arial"/>
                <w:lang w:val="en-GB"/>
              </w:rPr>
              <w:t>Implement REDD+ by interpreting only existing legal instruments, without legal reform</w:t>
            </w:r>
          </w:p>
          <w:p w:rsidR="000A16F4" w:rsidRPr="003C0FC0" w:rsidRDefault="000A16F4" w:rsidP="008227FD">
            <w:pPr>
              <w:pStyle w:val="ListParagraph"/>
              <w:numPr>
                <w:ilvl w:val="0"/>
                <w:numId w:val="104"/>
              </w:numPr>
              <w:spacing w:after="0" w:line="240" w:lineRule="auto"/>
              <w:ind w:left="219" w:hanging="270"/>
              <w:contextualSpacing w:val="0"/>
              <w:jc w:val="both"/>
              <w:rPr>
                <w:rFonts w:ascii="Book Antiqua" w:hAnsi="Book Antiqua" w:cs="Arial"/>
                <w:lang w:val="en-GB"/>
              </w:rPr>
            </w:pPr>
            <w:r w:rsidRPr="003C0FC0">
              <w:rPr>
                <w:rFonts w:ascii="Book Antiqua" w:hAnsi="Book Antiqua" w:cs="Arial"/>
                <w:lang w:val="en-GB"/>
              </w:rPr>
              <w:t>Enact specific legal instruments to ensure clarity concerning REDD+ and administration of REDD+ revenues, without undertaking  broader legal reform</w:t>
            </w:r>
          </w:p>
          <w:p w:rsidR="000A16F4" w:rsidRPr="003C0FC0" w:rsidRDefault="000A16F4" w:rsidP="008227FD">
            <w:pPr>
              <w:pStyle w:val="ListParagraph"/>
              <w:numPr>
                <w:ilvl w:val="0"/>
                <w:numId w:val="104"/>
              </w:numPr>
              <w:spacing w:after="0" w:line="240" w:lineRule="auto"/>
              <w:ind w:left="219" w:hanging="270"/>
              <w:contextualSpacing w:val="0"/>
              <w:jc w:val="both"/>
              <w:rPr>
                <w:rFonts w:ascii="Book Antiqua" w:hAnsi="Book Antiqua" w:cs="Arial"/>
                <w:lang w:val="en-GB"/>
              </w:rPr>
            </w:pPr>
            <w:r w:rsidRPr="003C0FC0">
              <w:rPr>
                <w:rFonts w:ascii="Book Antiqua" w:hAnsi="Book Antiqua" w:cs="Arial"/>
                <w:lang w:val="en-GB"/>
              </w:rPr>
              <w:t>Undertake a broad legal reform which addresses all aspects of REDD+ governance and administration of REDD+ revenues.</w:t>
            </w:r>
          </w:p>
        </w:tc>
      </w:tr>
      <w:tr w:rsidR="000A16F4" w:rsidRPr="005B3882">
        <w:trPr>
          <w:jc w:val="right"/>
        </w:trPr>
        <w:tc>
          <w:tcPr>
            <w:tcW w:w="935" w:type="pct"/>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Recommended principle or policy to be adopted</w:t>
            </w:r>
          </w:p>
        </w:tc>
        <w:tc>
          <w:tcPr>
            <w:tcW w:w="4065" w:type="pct"/>
            <w:shd w:val="clear" w:color="auto" w:fill="D6E3BC"/>
            <w:vAlign w:val="center"/>
          </w:tcPr>
          <w:p w:rsidR="000A16F4" w:rsidRPr="003C0FC0" w:rsidRDefault="000A16F4" w:rsidP="003561C4">
            <w:pPr>
              <w:pStyle w:val="ListParagraph"/>
              <w:spacing w:after="0" w:line="240" w:lineRule="auto"/>
              <w:ind w:left="0"/>
              <w:jc w:val="both"/>
              <w:rPr>
                <w:rFonts w:ascii="Book Antiqua" w:hAnsi="Book Antiqua" w:cs="Arial"/>
                <w:lang w:val="en-GB"/>
              </w:rPr>
            </w:pPr>
            <w:r w:rsidRPr="003C0FC0">
              <w:rPr>
                <w:rFonts w:ascii="Book Antiqua" w:hAnsi="Book Antiqua" w:cs="Arial"/>
                <w:lang w:val="en-GB"/>
              </w:rPr>
              <w:t>A phased approach to legal reform is recommended. Consistent with its commitment to international leadership on REDD+, the GoV should in a first stage, and pending the clarification of the international REDD+ legal framework, plan to issue a REDD+ specific decree that addresses governance issues associated with international funding of REDD+, so as to ensure that implementation of REDD+ is consistent with Vietnamese law.  This decree should be issued after a pilot phase (over at least 2 years) during which REDD+ modalities would be tested.  This approach is similar to how PFES has been implemented with a decree being prepared following a 2-year pilot phase.  The GoV should also accelerate the other legal reforms required to ensure effective implementation of REDD+</w:t>
            </w:r>
          </w:p>
        </w:tc>
      </w:tr>
      <w:tr w:rsidR="000A16F4" w:rsidRPr="005B3882">
        <w:trPr>
          <w:jc w:val="right"/>
        </w:trPr>
        <w:tc>
          <w:tcPr>
            <w:tcW w:w="935" w:type="pct"/>
            <w:shd w:val="clear" w:color="auto" w:fill="C2D69B"/>
            <w:vAlign w:val="center"/>
          </w:tcPr>
          <w:p w:rsidR="000A16F4" w:rsidRPr="005B3882" w:rsidRDefault="000A16F4" w:rsidP="00A256CB">
            <w:pPr>
              <w:pStyle w:val="Default"/>
              <w:rPr>
                <w:rFonts w:ascii="Book Antiqua" w:hAnsi="Book Antiqua" w:cs="Arial"/>
                <w:sz w:val="22"/>
                <w:szCs w:val="22"/>
              </w:rPr>
            </w:pPr>
            <w:r>
              <w:rPr>
                <w:rFonts w:ascii="Book Antiqua" w:hAnsi="Book Antiqua" w:cs="Arial"/>
                <w:sz w:val="22"/>
                <w:szCs w:val="22"/>
              </w:rPr>
              <w:t>Actions required to confirm policy option</w:t>
            </w:r>
          </w:p>
        </w:tc>
        <w:tc>
          <w:tcPr>
            <w:tcW w:w="4065" w:type="pct"/>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 xml:space="preserve">As soon as possible, the GoV should develop plans for piloting REDD+ in a small number of provinces and districts, and establish a system to ensure that lessons are captured and analyzed in preparation for the issuance of a decree on REDD+ at some time in the future (target 2012 or 2013). </w:t>
            </w:r>
          </w:p>
          <w:p w:rsidR="000A16F4" w:rsidRPr="003C0FC0" w:rsidRDefault="000A16F4" w:rsidP="003561C4">
            <w:pPr>
              <w:spacing w:after="0" w:line="240" w:lineRule="auto"/>
              <w:jc w:val="both"/>
              <w:rPr>
                <w:rFonts w:ascii="Book Antiqua" w:hAnsi="Book Antiqua" w:cs="Arial"/>
              </w:rPr>
            </w:pPr>
          </w:p>
          <w:p w:rsidR="000A16F4" w:rsidRPr="003C0FC0" w:rsidRDefault="000A16F4" w:rsidP="003A6A8D">
            <w:pPr>
              <w:spacing w:after="0" w:line="240" w:lineRule="auto"/>
              <w:jc w:val="both"/>
              <w:rPr>
                <w:rFonts w:ascii="Book Antiqua" w:hAnsi="Book Antiqua" w:cs="Arial"/>
              </w:rPr>
            </w:pPr>
            <w:r w:rsidRPr="003C0FC0">
              <w:rPr>
                <w:rFonts w:ascii="Book Antiqua" w:hAnsi="Book Antiqua" w:cs="Arial"/>
              </w:rPr>
              <w:t xml:space="preserve">A detailed workplan for addressing the other required legal reforms should be developed in the first 3 months of 2010.  Consideration should also be given to the use of instruments such as “R-Coefficients” (see Policy Decision </w:t>
            </w:r>
            <w:r>
              <w:rPr>
                <w:rFonts w:ascii="Book Antiqua" w:hAnsi="Book Antiqua" w:cs="Arial"/>
              </w:rPr>
              <w:t>5.2</w:t>
            </w:r>
            <w:r w:rsidRPr="003C0FC0">
              <w:rPr>
                <w:rFonts w:ascii="Book Antiqua" w:hAnsi="Book Antiqua" w:cs="Arial"/>
              </w:rPr>
              <w:t xml:space="preserve">, below) to provide incentives for </w:t>
            </w:r>
            <w:r w:rsidR="003A6A8D">
              <w:rPr>
                <w:rFonts w:ascii="Book Antiqua" w:hAnsi="Book Antiqua" w:cs="Arial"/>
              </w:rPr>
              <w:t>SOC</w:t>
            </w:r>
            <w:r w:rsidRPr="003C0FC0">
              <w:rPr>
                <w:rFonts w:ascii="Book Antiqua" w:hAnsi="Book Antiqua" w:cs="Arial"/>
              </w:rPr>
              <w:t xml:space="preserve"> reform</w:t>
            </w:r>
          </w:p>
        </w:tc>
      </w:tr>
    </w:tbl>
    <w:p w:rsidR="00351F2C" w:rsidRPr="005B3882" w:rsidRDefault="00351F2C" w:rsidP="00A256CB">
      <w:pPr>
        <w:pStyle w:val="Default"/>
        <w:rPr>
          <w:rFonts w:ascii="Book Antiqua" w:hAnsi="Book Antiqua" w:cs="Arial"/>
          <w:sz w:val="22"/>
          <w:szCs w:val="22"/>
        </w:rPr>
      </w:pPr>
    </w:p>
    <w:p w:rsidR="00351F2C" w:rsidRPr="005B3882" w:rsidRDefault="00351F2C" w:rsidP="00A256CB">
      <w:pPr>
        <w:pStyle w:val="Default"/>
        <w:jc w:val="center"/>
        <w:rPr>
          <w:rFonts w:ascii="Book Antiqua" w:hAnsi="Book Antiqua" w:cs="Arial"/>
          <w:b/>
          <w:sz w:val="22"/>
          <w:szCs w:val="22"/>
          <w:u w:val="single"/>
        </w:rPr>
      </w:pPr>
      <w:r w:rsidRPr="005B3882">
        <w:rPr>
          <w:rFonts w:ascii="Book Antiqua" w:hAnsi="Book Antiqua" w:cs="Arial"/>
          <w:b/>
          <w:sz w:val="22"/>
          <w:szCs w:val="22"/>
          <w:u w:val="single"/>
        </w:rPr>
        <w:t>POLICY ISSUE #2</w:t>
      </w:r>
    </w:p>
    <w:p w:rsidR="00351F2C" w:rsidRPr="005B3882" w:rsidRDefault="00351F2C" w:rsidP="00A256CB">
      <w:pPr>
        <w:pStyle w:val="Default"/>
        <w:rPr>
          <w:rFonts w:ascii="Book Antiqua" w:hAnsi="Book Antiqua" w:cs="Arial"/>
          <w:b/>
          <w:sz w:val="22"/>
          <w:szCs w:val="22"/>
        </w:rPr>
      </w:pPr>
      <w:r w:rsidRPr="005B3882">
        <w:rPr>
          <w:rFonts w:ascii="Book Antiqua" w:hAnsi="Book Antiqua" w:cs="Arial"/>
          <w:b/>
          <w:sz w:val="22"/>
          <w:szCs w:val="22"/>
        </w:rPr>
        <w:t>WHAT’S AT STAKE?</w:t>
      </w: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Since </w:t>
      </w:r>
      <w:r w:rsidR="00480D3D">
        <w:rPr>
          <w:rFonts w:ascii="Book Antiqua" w:hAnsi="Book Antiqua" w:cs="Arial"/>
          <w:sz w:val="22"/>
          <w:szCs w:val="22"/>
        </w:rPr>
        <w:t>REDD+</w:t>
      </w:r>
      <w:r w:rsidRPr="005B3882">
        <w:rPr>
          <w:rFonts w:ascii="Book Antiqua" w:hAnsi="Book Antiqua" w:cs="Arial"/>
          <w:sz w:val="22"/>
          <w:szCs w:val="22"/>
        </w:rPr>
        <w:t xml:space="preserve"> is a performance-based funding mechanism there has to be a link between the revenues received and payments to forest managers, the ultimate beneficiaries.  This implies that the </w:t>
      </w:r>
      <w:r w:rsidR="00480D3D">
        <w:rPr>
          <w:rFonts w:ascii="Book Antiqua" w:hAnsi="Book Antiqua" w:cs="Arial"/>
          <w:sz w:val="22"/>
          <w:szCs w:val="22"/>
        </w:rPr>
        <w:t>REDD+</w:t>
      </w:r>
      <w:r w:rsidRPr="005B3882">
        <w:rPr>
          <w:rFonts w:ascii="Book Antiqua" w:hAnsi="Book Antiqua" w:cs="Arial"/>
          <w:sz w:val="22"/>
          <w:szCs w:val="22"/>
        </w:rPr>
        <w:t xml:space="preserve"> funds should be held off-budget.  If they enter the state budget they could not be earmarked to reward performance and would also be subject to complex state budgeting rules.  The financial mechanism that links the central level to the ultimate beneficiaries needs to be transparent and have a governance structure that includes all relevant stakeholders.  </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No such financial mechanism currently exists in </w:t>
      </w:r>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xml:space="preserve">.  The Forest Protection and Development Fund (FPDF) was established in 2008 </w:t>
      </w:r>
      <w:bookmarkStart w:id="16" w:name="_Toc243929943"/>
      <w:bookmarkStart w:id="17" w:name="_Toc243984126"/>
      <w:bookmarkStart w:id="18" w:name="_Toc244327652"/>
      <w:bookmarkStart w:id="19" w:name="_Toc244327901"/>
      <w:r w:rsidRPr="005B3882">
        <w:rPr>
          <w:rFonts w:ascii="Book Antiqua" w:hAnsi="Book Antiqua" w:cs="Arial"/>
          <w:sz w:val="22"/>
          <w:szCs w:val="22"/>
        </w:rPr>
        <w:t xml:space="preserve">in order to mobilize public and private funding for forestry activities.  To date, provincial FPDFs have been established in two provinces, Son La and Lam Dong, where they have received funding from PFES projects.  There are also provisions to extend the FPDF to districts and/or work through the </w:t>
      </w:r>
      <w:r w:rsidR="00480D3D">
        <w:rPr>
          <w:rFonts w:ascii="Book Antiqua" w:hAnsi="Book Antiqua" w:cs="Arial"/>
          <w:sz w:val="22"/>
          <w:szCs w:val="22"/>
        </w:rPr>
        <w:t>Viet Nam</w:t>
      </w:r>
      <w:r w:rsidRPr="005B3882">
        <w:rPr>
          <w:rFonts w:ascii="Book Antiqua" w:hAnsi="Book Antiqua" w:cs="Arial"/>
          <w:sz w:val="22"/>
          <w:szCs w:val="22"/>
        </w:rPr>
        <w:t xml:space="preserve"> Bank for Social Policies, which has a branch in every district.  Because </w:t>
      </w:r>
      <w:r w:rsidRPr="005B3882">
        <w:rPr>
          <w:rFonts w:ascii="Book Antiqua" w:hAnsi="Book Antiqua" w:cs="Arial"/>
          <w:color w:val="auto"/>
          <w:sz w:val="22"/>
          <w:szCs w:val="22"/>
        </w:rPr>
        <w:t>the FPDF is state-owned, however, there is no scope for civil society participation in the fund management, wh</w:t>
      </w:r>
      <w:r w:rsidRPr="005B3882">
        <w:rPr>
          <w:rFonts w:ascii="Book Antiqua" w:hAnsi="Book Antiqua" w:cs="Arial"/>
          <w:sz w:val="22"/>
          <w:szCs w:val="22"/>
        </w:rPr>
        <w:t xml:space="preserve">ich is a likely </w:t>
      </w:r>
      <w:r w:rsidR="00480D3D">
        <w:rPr>
          <w:rFonts w:ascii="Book Antiqua" w:hAnsi="Book Antiqua" w:cs="Arial"/>
          <w:sz w:val="22"/>
          <w:szCs w:val="22"/>
        </w:rPr>
        <w:t>REDD+</w:t>
      </w:r>
      <w:r w:rsidRPr="005B3882">
        <w:rPr>
          <w:rFonts w:ascii="Book Antiqua" w:hAnsi="Book Antiqua" w:cs="Arial"/>
          <w:sz w:val="22"/>
          <w:szCs w:val="22"/>
        </w:rPr>
        <w:t xml:space="preserve"> prerequisite.  </w:t>
      </w:r>
    </w:p>
    <w:p w:rsidR="00351F2C" w:rsidRPr="005B3882" w:rsidRDefault="00351F2C" w:rsidP="00A256CB">
      <w:pPr>
        <w:pStyle w:val="Default"/>
        <w:jc w:val="both"/>
        <w:rPr>
          <w:rFonts w:ascii="Book Antiqua" w:hAnsi="Book Antiqua" w:cs="Arial"/>
          <w:sz w:val="22"/>
          <w:szCs w:val="22"/>
        </w:rPr>
      </w:pPr>
    </w:p>
    <w:bookmarkEnd w:id="16"/>
    <w:bookmarkEnd w:id="17"/>
    <w:bookmarkEnd w:id="18"/>
    <w:bookmarkEnd w:id="19"/>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An alternative model is the Trust Fund for Forests (TFF), which was established in 2004 with funding from </w:t>
      </w:r>
      <w:smartTag w:uri="urn:schemas-microsoft-com:office:smarttags" w:element="country-region">
        <w:r w:rsidRPr="005B3882">
          <w:rPr>
            <w:rFonts w:ascii="Book Antiqua" w:hAnsi="Book Antiqua" w:cs="Arial"/>
            <w:sz w:val="22"/>
            <w:szCs w:val="22"/>
          </w:rPr>
          <w:t>Sweden</w:t>
        </w:r>
      </w:smartTag>
      <w:r w:rsidRPr="005B3882">
        <w:rPr>
          <w:rFonts w:ascii="Book Antiqua" w:hAnsi="Book Antiqua" w:cs="Arial"/>
          <w:sz w:val="22"/>
          <w:szCs w:val="22"/>
        </w:rPr>
        <w:t xml:space="preserve">, </w:t>
      </w:r>
      <w:smartTag w:uri="urn:schemas-microsoft-com:office:smarttags" w:element="country-region">
        <w:r w:rsidRPr="005B3882">
          <w:rPr>
            <w:rFonts w:ascii="Book Antiqua" w:hAnsi="Book Antiqua" w:cs="Arial"/>
            <w:sz w:val="22"/>
            <w:szCs w:val="22"/>
          </w:rPr>
          <w:t>Finland</w:t>
        </w:r>
      </w:smartTag>
      <w:r w:rsidRPr="005B3882">
        <w:rPr>
          <w:rFonts w:ascii="Book Antiqua" w:hAnsi="Book Antiqua" w:cs="Arial"/>
          <w:sz w:val="22"/>
          <w:szCs w:val="22"/>
        </w:rPr>
        <w:t xml:space="preserve">, </w:t>
      </w:r>
      <w:smartTag w:uri="urn:schemas-microsoft-com:office:smarttags" w:element="country-region">
        <w:smartTag w:uri="urn:schemas-microsoft-com:office:smarttags" w:element="place">
          <w:r w:rsidRPr="005B3882">
            <w:rPr>
              <w:rFonts w:ascii="Book Antiqua" w:hAnsi="Book Antiqua" w:cs="Arial"/>
              <w:sz w:val="22"/>
              <w:szCs w:val="22"/>
            </w:rPr>
            <w:t>Switzerland</w:t>
          </w:r>
        </w:smartTag>
      </w:smartTag>
      <w:r w:rsidRPr="005B3882">
        <w:rPr>
          <w:rFonts w:ascii="Book Antiqua" w:hAnsi="Book Antiqua" w:cs="Arial"/>
          <w:sz w:val="22"/>
          <w:szCs w:val="22"/>
        </w:rPr>
        <w:t>, and The Netherlands.  The TFF is managed by the Forest Sector Support Partnership (FSSP), which was set up in 2001 to improve donor coordination in the forestry sector, reduce transaction costs, and ensure that donor support is aligned with GoV administration and planning systems.  Most donor support to the forestry sector is now channeled through the FSSP.</w:t>
      </w:r>
    </w:p>
    <w:p w:rsidR="00351F2C" w:rsidRPr="00445F77" w:rsidRDefault="00351F2C" w:rsidP="00A256CB">
      <w:pPr>
        <w:pStyle w:val="Default"/>
        <w:rPr>
          <w:rFonts w:ascii="Arial" w:hAnsi="Arial" w:cs="Arial"/>
        </w:rPr>
      </w:pPr>
    </w:p>
    <w:tbl>
      <w:tblPr>
        <w:tblW w:w="5000" w:type="pct"/>
        <w:tblBorders>
          <w:insideH w:val="single" w:sz="24" w:space="0" w:color="FFFFFF"/>
          <w:insideV w:val="single" w:sz="24" w:space="0" w:color="FFFFFF"/>
        </w:tblBorders>
        <w:tblLook w:val="00A0"/>
      </w:tblPr>
      <w:tblGrid>
        <w:gridCol w:w="1684"/>
        <w:gridCol w:w="7320"/>
      </w:tblGrid>
      <w:tr w:rsidR="00351F2C" w:rsidRPr="00445F77">
        <w:trPr>
          <w:tblHeader/>
        </w:trPr>
        <w:tc>
          <w:tcPr>
            <w:tcW w:w="5000" w:type="pct"/>
            <w:gridSpan w:val="2"/>
            <w:tcBorders>
              <w:top w:val="single" w:sz="24" w:space="0" w:color="FFFFFF"/>
              <w:bottom w:val="single" w:sz="24" w:space="0" w:color="FFFFFF"/>
            </w:tcBorders>
            <w:shd w:val="clear" w:color="auto" w:fill="76923C"/>
            <w:vAlign w:val="center"/>
          </w:tcPr>
          <w:p w:rsidR="00351F2C" w:rsidRPr="000A16F4" w:rsidRDefault="00351F2C" w:rsidP="005B3882">
            <w:pPr>
              <w:pStyle w:val="Default"/>
              <w:jc w:val="center"/>
              <w:rPr>
                <w:rFonts w:ascii="Book Antiqua" w:hAnsi="Book Antiqua" w:cs="Arial"/>
                <w:b/>
                <w:color w:val="FFFFFF"/>
              </w:rPr>
            </w:pPr>
            <w:r w:rsidRPr="000A16F4">
              <w:rPr>
                <w:rFonts w:ascii="Book Antiqua" w:hAnsi="Book Antiqua" w:cs="Arial"/>
                <w:b/>
                <w:color w:val="FFFFFF"/>
              </w:rPr>
              <w:t>POLICY DECISION 2</w:t>
            </w:r>
            <w:r w:rsidR="000A16F4">
              <w:rPr>
                <w:rFonts w:ascii="Book Antiqua" w:hAnsi="Book Antiqua" w:cs="Arial"/>
                <w:b/>
                <w:color w:val="FFFFFF"/>
              </w:rPr>
              <w:t xml:space="preserve"> (3.1):</w:t>
            </w:r>
          </w:p>
          <w:p w:rsidR="00351F2C" w:rsidRPr="00445F77" w:rsidRDefault="00351F2C" w:rsidP="005B3882">
            <w:pPr>
              <w:pStyle w:val="Default"/>
              <w:jc w:val="center"/>
              <w:rPr>
                <w:rFonts w:ascii="Arial" w:hAnsi="Arial" w:cs="Arial"/>
                <w:b/>
              </w:rPr>
            </w:pPr>
            <w:r w:rsidRPr="000A16F4">
              <w:rPr>
                <w:rFonts w:ascii="Book Antiqua" w:hAnsi="Book Antiqua" w:cs="Arial"/>
                <w:b/>
                <w:color w:val="FFFFFF"/>
              </w:rPr>
              <w:t xml:space="preserve">CLASSIFICATION OF </w:t>
            </w:r>
            <w:r w:rsidR="00480D3D" w:rsidRPr="000A16F4">
              <w:rPr>
                <w:rFonts w:ascii="Book Antiqua" w:hAnsi="Book Antiqua" w:cs="Arial"/>
                <w:b/>
                <w:color w:val="FFFFFF"/>
              </w:rPr>
              <w:t>REDD+</w:t>
            </w:r>
            <w:r w:rsidRPr="000A16F4">
              <w:rPr>
                <w:rFonts w:ascii="Book Antiqua" w:hAnsi="Book Antiqua" w:cs="Arial"/>
                <w:b/>
                <w:color w:val="FFFFFF"/>
              </w:rPr>
              <w:t xml:space="preserve"> REVENUES AND CREATION OF A DEDICATED </w:t>
            </w:r>
            <w:r w:rsidR="00480D3D" w:rsidRPr="000A16F4">
              <w:rPr>
                <w:rFonts w:ascii="Book Antiqua" w:hAnsi="Book Antiqua" w:cs="Arial"/>
                <w:b/>
                <w:color w:val="FFFFFF"/>
              </w:rPr>
              <w:t>REDD+</w:t>
            </w:r>
            <w:r w:rsidRPr="000A16F4">
              <w:rPr>
                <w:rFonts w:ascii="Book Antiqua" w:hAnsi="Book Antiqua" w:cs="Arial"/>
                <w:b/>
                <w:color w:val="FFFFFF"/>
              </w:rPr>
              <w:t xml:space="preserve"> FUND</w:t>
            </w:r>
          </w:p>
        </w:tc>
      </w:tr>
      <w:tr w:rsidR="000A16F4" w:rsidRPr="005B3882">
        <w:tc>
          <w:tcPr>
            <w:tcW w:w="935" w:type="pct"/>
            <w:tcBorders>
              <w:top w:val="single" w:sz="24"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Issue to be addressed</w:t>
            </w:r>
          </w:p>
        </w:tc>
        <w:tc>
          <w:tcPr>
            <w:tcW w:w="4065" w:type="pct"/>
            <w:tcBorders>
              <w:top w:val="single" w:sz="24" w:space="0" w:color="FFFFFF"/>
              <w:left w:val="single" w:sz="24" w:space="0" w:color="FFFFFF"/>
              <w:bottom w:val="single" w:sz="8" w:space="0" w:color="FFFFFF"/>
            </w:tcBorders>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An appropriate off-budget mechanism needs to be identified which meets international expectations regarding transparency, equity and performance linkage.  This implies the need to “fire-wall” REDD+ revenues to prevent co-mingling with other sources of funding.  The mechanism also needs to be able to accommodate the disbursement of REDD+ revenues to sub-national and local levels, as well as to follow strict monitoring and performance requirements.</w:t>
            </w:r>
          </w:p>
          <w:p w:rsidR="000A16F4" w:rsidRDefault="000A16F4" w:rsidP="003561C4">
            <w:pPr>
              <w:spacing w:after="0" w:line="240" w:lineRule="auto"/>
              <w:jc w:val="both"/>
              <w:rPr>
                <w:rFonts w:ascii="Book Antiqua" w:hAnsi="Book Antiqua" w:cs="Arial"/>
              </w:rPr>
            </w:pPr>
          </w:p>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Several possible mechanisms exist. One example is the FPDF, created in part to manage PFES revenues, and incorporating a national FPDF mirrored by provincial funds and, potentially, District funds.  The TFF is another example of an off-budget financial mechanism already existing in the forest sector.  The principle of transparent governance of REDD+ revenues implies the need for broad participation in the governance of the revenues which may be difficult to meet under current arrangements.</w:t>
            </w:r>
          </w:p>
        </w:tc>
      </w:tr>
      <w:tr w:rsidR="000A16F4" w:rsidRPr="005B3882">
        <w:tc>
          <w:tcPr>
            <w:tcW w:w="935"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Options</w:t>
            </w:r>
          </w:p>
        </w:tc>
        <w:tc>
          <w:tcPr>
            <w:tcW w:w="4065"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8227FD">
            <w:pPr>
              <w:pStyle w:val="ListParagraph"/>
              <w:numPr>
                <w:ilvl w:val="0"/>
                <w:numId w:val="55"/>
              </w:numPr>
              <w:spacing w:after="0" w:line="240" w:lineRule="auto"/>
              <w:ind w:left="251" w:hanging="270"/>
              <w:contextualSpacing w:val="0"/>
              <w:jc w:val="both"/>
              <w:rPr>
                <w:rFonts w:ascii="Book Antiqua" w:hAnsi="Book Antiqua" w:cs="Arial"/>
              </w:rPr>
            </w:pPr>
            <w:r w:rsidRPr="003C0FC0">
              <w:rPr>
                <w:rFonts w:ascii="Book Antiqua" w:hAnsi="Book Antiqua" w:cs="Arial"/>
              </w:rPr>
              <w:t>REDD+ revenues are managed through a sub-fund of the FPDF</w:t>
            </w:r>
          </w:p>
          <w:p w:rsidR="000A16F4" w:rsidRPr="003C0FC0" w:rsidRDefault="000A16F4" w:rsidP="008227FD">
            <w:pPr>
              <w:pStyle w:val="ListParagraph"/>
              <w:numPr>
                <w:ilvl w:val="0"/>
                <w:numId w:val="55"/>
              </w:numPr>
              <w:spacing w:after="0" w:line="240" w:lineRule="auto"/>
              <w:ind w:left="251" w:hanging="274"/>
              <w:contextualSpacing w:val="0"/>
              <w:jc w:val="both"/>
              <w:rPr>
                <w:rFonts w:ascii="Book Antiqua" w:hAnsi="Book Antiqua" w:cs="Arial"/>
              </w:rPr>
            </w:pPr>
            <w:r w:rsidRPr="003C0FC0">
              <w:rPr>
                <w:rFonts w:ascii="Book Antiqua" w:hAnsi="Book Antiqua" w:cs="Arial"/>
              </w:rPr>
              <w:t>REDD+ revenues are managed through a newly-created REDD+ Fund</w:t>
            </w:r>
          </w:p>
        </w:tc>
      </w:tr>
      <w:tr w:rsidR="000A16F4" w:rsidRPr="005B3882">
        <w:tc>
          <w:tcPr>
            <w:tcW w:w="935"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Recommended principle or policy to be adopted</w:t>
            </w:r>
          </w:p>
        </w:tc>
        <w:tc>
          <w:tcPr>
            <w:tcW w:w="4065"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Given limitations in participatory governance of the FPDF, the GoV should commit to the establishment of a new, REDD+ Fund.  This could be modeled on the TFF, so as to allow participatory governance, and with equivalent provincial and district funds.</w:t>
            </w:r>
          </w:p>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 xml:space="preserve">The GoV should also commit to ensuring that the REDD+ Fund is to be governed by a broad-based multi-stakeholder board, and subject to independent external audit.  </w:t>
            </w:r>
          </w:p>
        </w:tc>
      </w:tr>
      <w:tr w:rsidR="000A16F4" w:rsidRPr="005B3882">
        <w:tc>
          <w:tcPr>
            <w:tcW w:w="935"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Pr>
                <w:rFonts w:ascii="Book Antiqua" w:hAnsi="Book Antiqua" w:cs="Arial"/>
                <w:sz w:val="22"/>
                <w:szCs w:val="22"/>
              </w:rPr>
              <w:t>Actions required to confirm policy option</w:t>
            </w:r>
          </w:p>
        </w:tc>
        <w:tc>
          <w:tcPr>
            <w:tcW w:w="4065"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International examples of REDD+, or Climate Change Funds (e.g. in Indonesia) should be studied, together with existing financial instruments in Viet Nam, such as the TFF, so as to identify the characteristics and necessary actions required for the creation of a Viet Nam REDD+ Fund.</w:t>
            </w:r>
          </w:p>
        </w:tc>
      </w:tr>
    </w:tbl>
    <w:p w:rsidR="00351F2C" w:rsidRPr="005B3882" w:rsidRDefault="00351F2C" w:rsidP="00A256CB">
      <w:pPr>
        <w:pStyle w:val="Default"/>
        <w:rPr>
          <w:rFonts w:ascii="Book Antiqua" w:hAnsi="Book Antiqua" w:cs="Arial"/>
          <w:sz w:val="22"/>
          <w:szCs w:val="22"/>
        </w:rPr>
      </w:pPr>
    </w:p>
    <w:p w:rsidR="00351F2C" w:rsidRPr="002D0F33" w:rsidRDefault="00351F2C" w:rsidP="0003235B">
      <w:pPr>
        <w:pStyle w:val="Default"/>
        <w:rPr>
          <w:rFonts w:ascii="Arial" w:hAnsi="Arial" w:cs="Arial"/>
          <w:color w:val="1F497D"/>
        </w:rPr>
      </w:pPr>
      <w:r w:rsidRPr="002D0F33">
        <w:rPr>
          <w:rFonts w:ascii="Arial" w:hAnsi="Arial" w:cs="Arial"/>
          <w:color w:val="1F497D"/>
        </w:rPr>
        <w:t>INSTITUTIONAL ISSUES</w:t>
      </w:r>
    </w:p>
    <w:p w:rsidR="00351F2C" w:rsidRPr="005B3882" w:rsidRDefault="00351F2C" w:rsidP="00A256CB">
      <w:pPr>
        <w:pStyle w:val="Default"/>
        <w:rPr>
          <w:rFonts w:ascii="Book Antiqua" w:hAnsi="Book Antiqua" w:cs="Arial"/>
          <w:sz w:val="22"/>
          <w:szCs w:val="22"/>
        </w:rPr>
      </w:pPr>
    </w:p>
    <w:p w:rsidR="00351F2C" w:rsidRPr="005B3882" w:rsidRDefault="00351F2C" w:rsidP="00A256CB">
      <w:pPr>
        <w:pStyle w:val="Default"/>
        <w:jc w:val="center"/>
        <w:rPr>
          <w:rFonts w:ascii="Book Antiqua" w:hAnsi="Book Antiqua" w:cs="Arial"/>
          <w:b/>
          <w:sz w:val="22"/>
          <w:szCs w:val="22"/>
          <w:u w:val="single"/>
        </w:rPr>
      </w:pPr>
      <w:r w:rsidRPr="005B3882">
        <w:rPr>
          <w:rFonts w:ascii="Book Antiqua" w:hAnsi="Book Antiqua" w:cs="Arial"/>
          <w:b/>
          <w:sz w:val="22"/>
          <w:szCs w:val="22"/>
          <w:u w:val="single"/>
        </w:rPr>
        <w:t>POLICY ISSUE #3</w:t>
      </w:r>
    </w:p>
    <w:p w:rsidR="00351F2C" w:rsidRPr="005B3882" w:rsidRDefault="00351F2C" w:rsidP="00A256CB">
      <w:pPr>
        <w:pStyle w:val="Default"/>
        <w:rPr>
          <w:rFonts w:ascii="Book Antiqua" w:hAnsi="Book Antiqua" w:cs="Arial"/>
          <w:b/>
          <w:sz w:val="22"/>
          <w:szCs w:val="22"/>
        </w:rPr>
      </w:pPr>
      <w:r w:rsidRPr="005B3882">
        <w:rPr>
          <w:rFonts w:ascii="Book Antiqua" w:hAnsi="Book Antiqua" w:cs="Arial"/>
          <w:b/>
          <w:sz w:val="22"/>
          <w:szCs w:val="22"/>
        </w:rPr>
        <w:t>WHAT’S AT STAKE?</w:t>
      </w: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Forest management in </w:t>
      </w:r>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xml:space="preserve"> is highly decentralized with both provinces and districts playing important roles.  In terms of national coverage, the proposed </w:t>
      </w:r>
      <w:r w:rsidR="00480D3D">
        <w:rPr>
          <w:rFonts w:ascii="Book Antiqua" w:hAnsi="Book Antiqua" w:cs="Arial"/>
          <w:sz w:val="22"/>
          <w:szCs w:val="22"/>
        </w:rPr>
        <w:t>REDD+</w:t>
      </w:r>
      <w:r w:rsidRPr="005B3882">
        <w:rPr>
          <w:rFonts w:ascii="Book Antiqua" w:hAnsi="Book Antiqua" w:cs="Arial"/>
          <w:sz w:val="22"/>
          <w:szCs w:val="22"/>
        </w:rPr>
        <w:t xml:space="preserve"> pilot phase is an opportunity to stratify provinces and districts to identify those where </w:t>
      </w:r>
      <w:r w:rsidR="00480D3D">
        <w:rPr>
          <w:rFonts w:ascii="Book Antiqua" w:hAnsi="Book Antiqua" w:cs="Arial"/>
          <w:sz w:val="22"/>
          <w:szCs w:val="22"/>
        </w:rPr>
        <w:t>REDD+</w:t>
      </w:r>
      <w:r w:rsidRPr="005B3882">
        <w:rPr>
          <w:rFonts w:ascii="Book Antiqua" w:hAnsi="Book Antiqua" w:cs="Arial"/>
          <w:sz w:val="22"/>
          <w:szCs w:val="22"/>
        </w:rPr>
        <w:t xml:space="preserve"> </w:t>
      </w:r>
      <w:r w:rsidRPr="005B3882">
        <w:rPr>
          <w:rFonts w:ascii="Book Antiqua" w:hAnsi="Book Antiqua" w:cs="Arial"/>
          <w:sz w:val="22"/>
          <w:szCs w:val="22"/>
        </w:rPr>
        <w:lastRenderedPageBreak/>
        <w:t xml:space="preserve">activities should be targeted, e.g., where opportunity costs of </w:t>
      </w:r>
      <w:r w:rsidR="00480D3D">
        <w:rPr>
          <w:rFonts w:ascii="Book Antiqua" w:hAnsi="Book Antiqua" w:cs="Arial"/>
          <w:sz w:val="22"/>
          <w:szCs w:val="22"/>
        </w:rPr>
        <w:t>REDD+</w:t>
      </w:r>
      <w:r w:rsidRPr="005B3882">
        <w:rPr>
          <w:rFonts w:ascii="Book Antiqua" w:hAnsi="Book Antiqua" w:cs="Arial"/>
          <w:sz w:val="22"/>
          <w:szCs w:val="22"/>
        </w:rPr>
        <w:t xml:space="preserve"> are relatively low and/or degraded land </w:t>
      </w:r>
      <w:r w:rsidR="006F5809">
        <w:rPr>
          <w:rFonts w:ascii="Book Antiqua" w:hAnsi="Book Antiqua" w:cs="Arial"/>
          <w:sz w:val="22"/>
          <w:szCs w:val="22"/>
        </w:rPr>
        <w:t xml:space="preserve">can </w:t>
      </w:r>
      <w:r w:rsidRPr="005B3882">
        <w:rPr>
          <w:rFonts w:ascii="Book Antiqua" w:hAnsi="Book Antiqua" w:cs="Arial"/>
          <w:sz w:val="22"/>
          <w:szCs w:val="22"/>
        </w:rPr>
        <w:t xml:space="preserve">sequester carbon rapidly.  </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In terms of </w:t>
      </w:r>
      <w:r w:rsidR="001E108A">
        <w:rPr>
          <w:rFonts w:ascii="Book Antiqua" w:hAnsi="Book Antiqua" w:cs="Arial"/>
          <w:sz w:val="22"/>
          <w:szCs w:val="22"/>
        </w:rPr>
        <w:t xml:space="preserve">at </w:t>
      </w:r>
      <w:r w:rsidRPr="005B3882">
        <w:rPr>
          <w:rFonts w:ascii="Book Antiqua" w:hAnsi="Book Antiqua" w:cs="Arial"/>
          <w:sz w:val="22"/>
          <w:szCs w:val="22"/>
        </w:rPr>
        <w:t xml:space="preserve">which sub-national level </w:t>
      </w:r>
      <w:r w:rsidR="00480D3D">
        <w:rPr>
          <w:rFonts w:ascii="Book Antiqua" w:hAnsi="Book Antiqua" w:cs="Arial"/>
          <w:sz w:val="22"/>
          <w:szCs w:val="22"/>
        </w:rPr>
        <w:t>REDD+</w:t>
      </w:r>
      <w:r w:rsidRPr="005B3882">
        <w:rPr>
          <w:rFonts w:ascii="Book Antiqua" w:hAnsi="Book Antiqua" w:cs="Arial"/>
          <w:sz w:val="22"/>
          <w:szCs w:val="22"/>
        </w:rPr>
        <w:t xml:space="preserve"> revenues </w:t>
      </w:r>
      <w:r w:rsidR="006F5809">
        <w:rPr>
          <w:rFonts w:ascii="Book Antiqua" w:hAnsi="Book Antiqua" w:cs="Arial"/>
          <w:sz w:val="22"/>
          <w:szCs w:val="22"/>
        </w:rPr>
        <w:t xml:space="preserve">should be </w:t>
      </w:r>
      <w:r w:rsidRPr="005B3882">
        <w:rPr>
          <w:rFonts w:ascii="Book Antiqua" w:hAnsi="Book Antiqua" w:cs="Arial"/>
          <w:sz w:val="22"/>
          <w:szCs w:val="22"/>
        </w:rPr>
        <w:t xml:space="preserve">managed and disbursed, there will remain an inevitable trade-off between efficiency and equity.  Efficiency in terms of minimizing transaction costs would be maximized by minimizing the number of levels.  But equity considerations call for careful targeting and monitoring, implying the involvement of district and even commune governments.  A </w:t>
      </w:r>
      <w:r w:rsidR="006F5809">
        <w:rPr>
          <w:rFonts w:ascii="Book Antiqua" w:hAnsi="Book Antiqua" w:cs="Arial"/>
          <w:sz w:val="22"/>
          <w:szCs w:val="22"/>
        </w:rPr>
        <w:t>two</w:t>
      </w:r>
      <w:r w:rsidRPr="005B3882">
        <w:rPr>
          <w:rFonts w:ascii="Book Antiqua" w:hAnsi="Book Antiqua" w:cs="Arial"/>
          <w:sz w:val="22"/>
          <w:szCs w:val="22"/>
        </w:rPr>
        <w:t xml:space="preserve">-step process is recommended, working first down to the provincial and then, as experience is gained, to the district level.  Below these levels, funds would be transferred to the ultimate beneficiaries (households, communities, etc.).  </w:t>
      </w:r>
    </w:p>
    <w:p w:rsidR="00351F2C" w:rsidRPr="00445F77" w:rsidRDefault="00351F2C" w:rsidP="00A256CB">
      <w:pPr>
        <w:pStyle w:val="Default"/>
        <w:rPr>
          <w:rFonts w:ascii="Arial" w:hAnsi="Arial" w:cs="Arial"/>
        </w:rPr>
      </w:pPr>
    </w:p>
    <w:tbl>
      <w:tblPr>
        <w:tblW w:w="5000" w:type="pct"/>
        <w:jc w:val="right"/>
        <w:tblBorders>
          <w:insideH w:val="single" w:sz="24" w:space="0" w:color="FFFFFF"/>
          <w:insideV w:val="single" w:sz="24" w:space="0" w:color="FFFFFF"/>
        </w:tblBorders>
        <w:tblLook w:val="00A0"/>
      </w:tblPr>
      <w:tblGrid>
        <w:gridCol w:w="1684"/>
        <w:gridCol w:w="7320"/>
      </w:tblGrid>
      <w:tr w:rsidR="00351F2C" w:rsidRPr="00445F77">
        <w:trPr>
          <w:tblHeader/>
          <w:jc w:val="right"/>
        </w:trPr>
        <w:tc>
          <w:tcPr>
            <w:tcW w:w="5000" w:type="pct"/>
            <w:gridSpan w:val="2"/>
            <w:tcBorders>
              <w:top w:val="single" w:sz="24" w:space="0" w:color="FFFFFF"/>
              <w:bottom w:val="single" w:sz="24" w:space="0" w:color="FFFFFF"/>
            </w:tcBorders>
            <w:shd w:val="clear" w:color="auto" w:fill="76923C"/>
            <w:vAlign w:val="center"/>
          </w:tcPr>
          <w:p w:rsidR="00351F2C" w:rsidRPr="000A16F4" w:rsidRDefault="00351F2C" w:rsidP="005B3882">
            <w:pPr>
              <w:pStyle w:val="Default"/>
              <w:jc w:val="center"/>
              <w:rPr>
                <w:rFonts w:ascii="Book Antiqua" w:hAnsi="Book Antiqua" w:cs="Arial"/>
                <w:b/>
                <w:color w:val="FFFFFF"/>
              </w:rPr>
            </w:pPr>
            <w:r w:rsidRPr="000A16F4">
              <w:rPr>
                <w:rFonts w:ascii="Book Antiqua" w:hAnsi="Book Antiqua" w:cs="Arial"/>
                <w:b/>
                <w:color w:val="FFFFFF"/>
              </w:rPr>
              <w:t>POLICY DECISION 3</w:t>
            </w:r>
            <w:r w:rsidR="000A16F4">
              <w:rPr>
                <w:rFonts w:ascii="Book Antiqua" w:hAnsi="Book Antiqua" w:cs="Arial"/>
                <w:b/>
                <w:color w:val="FFFFFF"/>
              </w:rPr>
              <w:t xml:space="preserve"> (4.2):</w:t>
            </w:r>
          </w:p>
          <w:p w:rsidR="00351F2C" w:rsidRPr="00445F77" w:rsidRDefault="00351F2C" w:rsidP="005B3882">
            <w:pPr>
              <w:pStyle w:val="Default"/>
              <w:jc w:val="center"/>
              <w:rPr>
                <w:rFonts w:ascii="Arial" w:hAnsi="Arial" w:cs="Arial"/>
                <w:b/>
                <w:color w:val="FFFFFF"/>
              </w:rPr>
            </w:pPr>
            <w:r w:rsidRPr="000A16F4">
              <w:rPr>
                <w:rFonts w:ascii="Book Antiqua" w:hAnsi="Book Antiqua" w:cs="Arial"/>
                <w:b/>
                <w:color w:val="FFFFFF"/>
              </w:rPr>
              <w:t xml:space="preserve">SUB-NATIONAL LEVELS AT WHICH </w:t>
            </w:r>
            <w:r w:rsidR="00480D3D" w:rsidRPr="000A16F4">
              <w:rPr>
                <w:rFonts w:ascii="Book Antiqua" w:hAnsi="Book Antiqua" w:cs="Arial"/>
                <w:b/>
                <w:color w:val="FFFFFF"/>
              </w:rPr>
              <w:t>REDD+</w:t>
            </w:r>
            <w:r w:rsidRPr="000A16F4">
              <w:rPr>
                <w:rFonts w:ascii="Book Antiqua" w:hAnsi="Book Antiqua" w:cs="Arial"/>
                <w:b/>
                <w:color w:val="FFFFFF"/>
              </w:rPr>
              <w:t xml:space="preserve"> REVENUES SHOULD BE MANAGED</w:t>
            </w:r>
          </w:p>
        </w:tc>
      </w:tr>
      <w:tr w:rsidR="000A16F4" w:rsidRPr="005B3882">
        <w:trPr>
          <w:jc w:val="right"/>
        </w:trPr>
        <w:tc>
          <w:tcPr>
            <w:tcW w:w="935" w:type="pct"/>
            <w:tcBorders>
              <w:top w:val="single" w:sz="24"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Issue to be addressed</w:t>
            </w:r>
          </w:p>
        </w:tc>
        <w:tc>
          <w:tcPr>
            <w:tcW w:w="4065" w:type="pct"/>
            <w:tcBorders>
              <w:top w:val="single" w:sz="24" w:space="0" w:color="FFFFFF"/>
              <w:left w:val="single" w:sz="24" w:space="0" w:color="FFFFFF"/>
              <w:bottom w:val="single" w:sz="8" w:space="0" w:color="FFFFFF"/>
            </w:tcBorders>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 xml:space="preserve">The national government will receive REDD+ funding from the international community (see Policy </w:t>
            </w:r>
            <w:r>
              <w:rPr>
                <w:rFonts w:ascii="Book Antiqua" w:hAnsi="Book Antiqua" w:cs="Arial"/>
              </w:rPr>
              <w:t>Decision</w:t>
            </w:r>
            <w:r w:rsidRPr="003C0FC0">
              <w:rPr>
                <w:rFonts w:ascii="Book Antiqua" w:hAnsi="Book Antiqua" w:cs="Arial"/>
              </w:rPr>
              <w:t xml:space="preserve"> 2).  These revenues will then need to be disbursed to those who have incurred costs in reducing emissions, with distribution to the ultimate beneficiaries, particularly people living in and around forest areas who have changed their behavior in response to REDD+ incentives.</w:t>
            </w:r>
          </w:p>
          <w:p w:rsidR="000A16F4" w:rsidRPr="003C0FC0" w:rsidRDefault="000A16F4" w:rsidP="003561C4">
            <w:pPr>
              <w:spacing w:after="0" w:line="240" w:lineRule="auto"/>
              <w:jc w:val="both"/>
              <w:rPr>
                <w:rFonts w:ascii="Book Antiqua" w:hAnsi="Book Antiqua" w:cs="Arial"/>
              </w:rPr>
            </w:pPr>
          </w:p>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There are trade-offs to be considered in this regard.  The greater the number of hierarchical levels at which revenues are managed, the less cost-effective the mechanism is likely to be. There will tend to be higher implementation costs, and a higher the risk of rent-seeking and corruption.  On the other hand, fewer hierarchical levels make it harder to ensure efficiency and equity in the disbursement, because of the “distance” between the source and target of the funds.</w:t>
            </w:r>
          </w:p>
        </w:tc>
      </w:tr>
      <w:tr w:rsidR="000A16F4" w:rsidRPr="005B3882">
        <w:trPr>
          <w:jc w:val="right"/>
        </w:trPr>
        <w:tc>
          <w:tcPr>
            <w:tcW w:w="935"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Options</w:t>
            </w:r>
          </w:p>
        </w:tc>
        <w:tc>
          <w:tcPr>
            <w:tcW w:w="4065"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8227FD">
            <w:pPr>
              <w:pStyle w:val="ListParagraph"/>
              <w:numPr>
                <w:ilvl w:val="0"/>
                <w:numId w:val="107"/>
              </w:numPr>
              <w:spacing w:after="0" w:line="240" w:lineRule="auto"/>
              <w:ind w:left="219" w:hanging="231"/>
              <w:contextualSpacing w:val="0"/>
              <w:jc w:val="both"/>
              <w:rPr>
                <w:rFonts w:ascii="Book Antiqua" w:hAnsi="Book Antiqua" w:cs="Arial"/>
              </w:rPr>
            </w:pPr>
            <w:r w:rsidRPr="003C0FC0">
              <w:rPr>
                <w:rFonts w:ascii="Book Antiqua" w:hAnsi="Book Antiqua" w:cs="Arial"/>
              </w:rPr>
              <w:t xml:space="preserve">REDD+ revenues managed at national and provincial levels </w:t>
            </w:r>
          </w:p>
          <w:p w:rsidR="000A16F4" w:rsidRPr="003C0FC0" w:rsidRDefault="000A16F4" w:rsidP="008227FD">
            <w:pPr>
              <w:pStyle w:val="ListParagraph"/>
              <w:numPr>
                <w:ilvl w:val="0"/>
                <w:numId w:val="107"/>
              </w:numPr>
              <w:spacing w:after="0" w:line="240" w:lineRule="auto"/>
              <w:ind w:left="219" w:hanging="231"/>
              <w:contextualSpacing w:val="0"/>
              <w:jc w:val="both"/>
              <w:rPr>
                <w:rFonts w:ascii="Book Antiqua" w:hAnsi="Book Antiqua" w:cs="Arial"/>
              </w:rPr>
            </w:pPr>
            <w:r w:rsidRPr="003C0FC0">
              <w:rPr>
                <w:rFonts w:ascii="Book Antiqua" w:hAnsi="Book Antiqua" w:cs="Arial"/>
              </w:rPr>
              <w:t>REDD+ revenues managed at national, provincial and district levels</w:t>
            </w:r>
          </w:p>
          <w:p w:rsidR="000A16F4" w:rsidRPr="003C0FC0" w:rsidRDefault="000A16F4" w:rsidP="008227FD">
            <w:pPr>
              <w:pStyle w:val="ListParagraph"/>
              <w:numPr>
                <w:ilvl w:val="0"/>
                <w:numId w:val="107"/>
              </w:numPr>
              <w:spacing w:after="0" w:line="240" w:lineRule="auto"/>
              <w:ind w:left="219" w:hanging="231"/>
              <w:contextualSpacing w:val="0"/>
              <w:jc w:val="both"/>
              <w:rPr>
                <w:rFonts w:ascii="Book Antiqua" w:hAnsi="Book Antiqua" w:cs="Arial"/>
              </w:rPr>
            </w:pPr>
            <w:r w:rsidRPr="003C0FC0">
              <w:rPr>
                <w:rFonts w:ascii="Book Antiqua" w:hAnsi="Book Antiqua" w:cs="Arial"/>
              </w:rPr>
              <w:t>REDD+ revenues managed at national and district levels</w:t>
            </w:r>
          </w:p>
        </w:tc>
      </w:tr>
      <w:tr w:rsidR="000A16F4" w:rsidRPr="005B3882">
        <w:trPr>
          <w:jc w:val="right"/>
        </w:trPr>
        <w:tc>
          <w:tcPr>
            <w:tcW w:w="935"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Recommended principle or policy to be adopted</w:t>
            </w:r>
          </w:p>
        </w:tc>
        <w:tc>
          <w:tcPr>
            <w:tcW w:w="4065"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Option C (REDD+ revenues managed at national and district levels) is not recommended, as it bypasses the province, which is an important administrative level for forest management and planning.  For initial piloting of REDD+, Option A may be initially adopted.  However, once experience has been developed, provided the additional transaction costs are not prohibitive, and especially when appropriate capacity has been built at province and district level, including the establishment of district level funds, Option B should be adopted.</w:t>
            </w:r>
          </w:p>
        </w:tc>
      </w:tr>
      <w:tr w:rsidR="000A16F4" w:rsidRPr="005B3882">
        <w:trPr>
          <w:jc w:val="right"/>
        </w:trPr>
        <w:tc>
          <w:tcPr>
            <w:tcW w:w="935"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Pr>
                <w:rFonts w:ascii="Book Antiqua" w:hAnsi="Book Antiqua" w:cs="Arial"/>
                <w:sz w:val="22"/>
                <w:szCs w:val="22"/>
              </w:rPr>
              <w:t>Actions required to confirm policy option</w:t>
            </w:r>
          </w:p>
        </w:tc>
        <w:tc>
          <w:tcPr>
            <w:tcW w:w="4065"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Piloting of REDD+ revenue management structures in a small number of provinces and for capacity building at province and district level should be undertaken over a period of at least 2 years to gain lessons concerning the costs, efficiency and effectiveness of management of REDD+ revenues at multiple levels.  Note that PFES pilots have not yet had to address this issue of disbursement from national down to local level.</w:t>
            </w:r>
          </w:p>
        </w:tc>
      </w:tr>
    </w:tbl>
    <w:p w:rsidR="00351F2C" w:rsidRPr="005B3882" w:rsidRDefault="00351F2C" w:rsidP="00A256CB">
      <w:pPr>
        <w:pStyle w:val="Default"/>
        <w:rPr>
          <w:rFonts w:ascii="Book Antiqua" w:hAnsi="Book Antiqua" w:cs="Arial"/>
          <w:sz w:val="22"/>
          <w:szCs w:val="22"/>
        </w:rPr>
      </w:pPr>
    </w:p>
    <w:p w:rsidR="00A256CB" w:rsidRPr="005B3882" w:rsidRDefault="00A256CB" w:rsidP="00A256CB">
      <w:pPr>
        <w:pStyle w:val="Default"/>
        <w:rPr>
          <w:rFonts w:ascii="Book Antiqua" w:hAnsi="Book Antiqua" w:cs="Arial"/>
          <w:sz w:val="22"/>
          <w:szCs w:val="22"/>
        </w:rPr>
      </w:pPr>
    </w:p>
    <w:p w:rsidR="002D0F33" w:rsidRDefault="002D0F33" w:rsidP="00A256CB">
      <w:pPr>
        <w:pStyle w:val="Default"/>
        <w:jc w:val="center"/>
        <w:rPr>
          <w:rFonts w:ascii="Book Antiqua" w:hAnsi="Book Antiqua" w:cs="Arial"/>
          <w:b/>
          <w:sz w:val="22"/>
          <w:szCs w:val="22"/>
          <w:u w:val="single"/>
        </w:rPr>
      </w:pPr>
    </w:p>
    <w:p w:rsidR="002D0F33" w:rsidRDefault="002D0F33" w:rsidP="00A256CB">
      <w:pPr>
        <w:pStyle w:val="Default"/>
        <w:jc w:val="center"/>
        <w:rPr>
          <w:rFonts w:ascii="Book Antiqua" w:hAnsi="Book Antiqua" w:cs="Arial"/>
          <w:b/>
          <w:sz w:val="22"/>
          <w:szCs w:val="22"/>
          <w:u w:val="single"/>
        </w:rPr>
      </w:pPr>
    </w:p>
    <w:p w:rsidR="00351F2C" w:rsidRPr="005B3882" w:rsidRDefault="00351F2C" w:rsidP="00A256CB">
      <w:pPr>
        <w:pStyle w:val="Default"/>
        <w:jc w:val="center"/>
        <w:rPr>
          <w:rFonts w:ascii="Book Antiqua" w:hAnsi="Book Antiqua" w:cs="Arial"/>
          <w:b/>
          <w:sz w:val="22"/>
          <w:szCs w:val="22"/>
          <w:u w:val="single"/>
        </w:rPr>
      </w:pPr>
      <w:r w:rsidRPr="005B3882">
        <w:rPr>
          <w:rFonts w:ascii="Book Antiqua" w:hAnsi="Book Antiqua" w:cs="Arial"/>
          <w:b/>
          <w:sz w:val="22"/>
          <w:szCs w:val="22"/>
          <w:u w:val="single"/>
        </w:rPr>
        <w:lastRenderedPageBreak/>
        <w:t>POLICY ISSUE #4</w:t>
      </w:r>
    </w:p>
    <w:p w:rsidR="00351F2C" w:rsidRPr="005B3882" w:rsidRDefault="00351F2C" w:rsidP="00A256CB">
      <w:pPr>
        <w:pStyle w:val="Default"/>
        <w:rPr>
          <w:rFonts w:ascii="Book Antiqua" w:hAnsi="Book Antiqua" w:cs="Arial"/>
          <w:b/>
          <w:sz w:val="22"/>
          <w:szCs w:val="22"/>
        </w:rPr>
      </w:pPr>
      <w:r w:rsidRPr="005B3882">
        <w:rPr>
          <w:rFonts w:ascii="Book Antiqua" w:hAnsi="Book Antiqua" w:cs="Arial"/>
          <w:b/>
          <w:sz w:val="22"/>
          <w:szCs w:val="22"/>
        </w:rPr>
        <w:t>WHAT’S AT STAKE?</w:t>
      </w: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Experience in benefit sharing and participatory monitoring shows that meeting the requirements of equity, effectiveness, efficiency, and transparency will depend on what is measured, the data source, and who carries out the monitoring.  The role of institutions responsible for monitoring will need to be clear and their work well executed to ensure the credibility of </w:t>
      </w:r>
      <w:r w:rsidR="00480D3D">
        <w:rPr>
          <w:rFonts w:ascii="Book Antiqua" w:hAnsi="Book Antiqua" w:cs="Arial"/>
          <w:sz w:val="22"/>
          <w:szCs w:val="22"/>
        </w:rPr>
        <w:t>REDD+</w:t>
      </w:r>
      <w:r w:rsidRPr="005B3882">
        <w:rPr>
          <w:rFonts w:ascii="Book Antiqua" w:hAnsi="Book Antiqua" w:cs="Arial"/>
          <w:sz w:val="22"/>
          <w:szCs w:val="22"/>
        </w:rPr>
        <w:t xml:space="preserve"> in </w:t>
      </w:r>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xml:space="preserve">. </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A wide range of data and information will need to be collected, analyzed, and reported.  An important consideration is therefore to determine the degree of participation required for each monitoring function, and the organizations that need to be engaged in the process.  Given this, the main policy decisions concern the degree of participation involved in different monitoring functions, and the institutional arrangements for each.  In other words, where do the appropriate expertise and experience reside that can be applied to monitoring and, if they do not exist, how can they be developed. </w:t>
      </w:r>
    </w:p>
    <w:p w:rsidR="00351F2C" w:rsidRPr="00445F77" w:rsidRDefault="00351F2C" w:rsidP="00A256CB">
      <w:pPr>
        <w:pStyle w:val="Default"/>
        <w:rPr>
          <w:rFonts w:ascii="Arial" w:hAnsi="Arial" w:cs="Arial"/>
          <w:color w:val="auto"/>
        </w:rPr>
      </w:pPr>
    </w:p>
    <w:tbl>
      <w:tblPr>
        <w:tblpPr w:leftFromText="180" w:rightFromText="180" w:vertAnchor="text"/>
        <w:tblW w:w="5000" w:type="pct"/>
        <w:tblCellMar>
          <w:left w:w="0" w:type="dxa"/>
          <w:right w:w="0" w:type="dxa"/>
        </w:tblCellMar>
        <w:tblLook w:val="00A0"/>
      </w:tblPr>
      <w:tblGrid>
        <w:gridCol w:w="1684"/>
        <w:gridCol w:w="7320"/>
      </w:tblGrid>
      <w:tr w:rsidR="00351F2C" w:rsidRPr="00445F77">
        <w:trPr>
          <w:tblHeader/>
        </w:trPr>
        <w:tc>
          <w:tcPr>
            <w:tcW w:w="5000" w:type="pct"/>
            <w:gridSpan w:val="2"/>
            <w:tcBorders>
              <w:top w:val="single" w:sz="24" w:space="0" w:color="FFFFFF"/>
              <w:left w:val="nil"/>
              <w:bottom w:val="single" w:sz="24" w:space="0" w:color="FFFFFF"/>
              <w:right w:val="nil"/>
            </w:tcBorders>
            <w:shd w:val="clear" w:color="auto" w:fill="76923C"/>
            <w:tcMar>
              <w:top w:w="0" w:type="dxa"/>
              <w:left w:w="108" w:type="dxa"/>
              <w:bottom w:w="0" w:type="dxa"/>
              <w:right w:w="108" w:type="dxa"/>
            </w:tcMar>
            <w:vAlign w:val="center"/>
          </w:tcPr>
          <w:p w:rsidR="00351F2C" w:rsidRPr="000A16F4" w:rsidRDefault="00351F2C" w:rsidP="005B3882">
            <w:pPr>
              <w:pStyle w:val="Default"/>
              <w:jc w:val="center"/>
              <w:rPr>
                <w:rFonts w:ascii="Book Antiqua" w:hAnsi="Book Antiqua" w:cs="Arial"/>
                <w:b/>
                <w:color w:val="FFFFFF"/>
              </w:rPr>
            </w:pPr>
            <w:r w:rsidRPr="000A16F4">
              <w:rPr>
                <w:rFonts w:ascii="Book Antiqua" w:hAnsi="Book Antiqua" w:cs="Arial"/>
                <w:b/>
                <w:color w:val="FFFFFF"/>
              </w:rPr>
              <w:t>POLICY DECISION 4</w:t>
            </w:r>
            <w:r w:rsidR="000A16F4">
              <w:rPr>
                <w:rFonts w:ascii="Book Antiqua" w:hAnsi="Book Antiqua" w:cs="Arial"/>
                <w:b/>
                <w:color w:val="FFFFFF"/>
              </w:rPr>
              <w:t xml:space="preserve"> (7.2): </w:t>
            </w:r>
          </w:p>
          <w:p w:rsidR="00351F2C" w:rsidRPr="00445F77" w:rsidRDefault="00351F2C" w:rsidP="005B3882">
            <w:pPr>
              <w:pStyle w:val="Default"/>
              <w:jc w:val="center"/>
              <w:rPr>
                <w:rFonts w:ascii="Arial" w:hAnsi="Arial" w:cs="Arial"/>
                <w:color w:val="auto"/>
              </w:rPr>
            </w:pPr>
            <w:r w:rsidRPr="000A16F4">
              <w:rPr>
                <w:rFonts w:ascii="Book Antiqua" w:hAnsi="Book Antiqua" w:cs="Arial"/>
                <w:b/>
                <w:color w:val="FFFFFF"/>
              </w:rPr>
              <w:t xml:space="preserve">INSTITUTIONS TO BE INVOLVED IN MONITORING </w:t>
            </w:r>
            <w:r w:rsidR="00480D3D" w:rsidRPr="000A16F4">
              <w:rPr>
                <w:rFonts w:ascii="Book Antiqua" w:hAnsi="Book Antiqua" w:cs="Arial"/>
                <w:b/>
                <w:color w:val="FFFFFF"/>
              </w:rPr>
              <w:t>REDD+</w:t>
            </w:r>
            <w:r w:rsidRPr="000A16F4">
              <w:rPr>
                <w:rFonts w:ascii="Book Antiqua" w:hAnsi="Book Antiqua" w:cs="Arial"/>
                <w:b/>
                <w:color w:val="FFFFFF"/>
              </w:rPr>
              <w:t xml:space="preserve"> INTERVENTIONS AND ACTIONS</w:t>
            </w:r>
          </w:p>
        </w:tc>
      </w:tr>
      <w:tr w:rsidR="000A16F4" w:rsidRPr="005B3882">
        <w:tc>
          <w:tcPr>
            <w:tcW w:w="935"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0A16F4" w:rsidRPr="005B3882" w:rsidRDefault="000A16F4" w:rsidP="000A16F4">
            <w:pPr>
              <w:pStyle w:val="Default"/>
              <w:rPr>
                <w:rFonts w:ascii="Book Antiqua" w:hAnsi="Book Antiqua" w:cs="Arial"/>
                <w:sz w:val="22"/>
                <w:szCs w:val="22"/>
              </w:rPr>
            </w:pPr>
            <w:r w:rsidRPr="005B3882">
              <w:rPr>
                <w:rFonts w:ascii="Book Antiqua" w:hAnsi="Book Antiqua" w:cs="Arial"/>
                <w:sz w:val="22"/>
                <w:szCs w:val="22"/>
              </w:rPr>
              <w:t>Issue to be addressed</w:t>
            </w:r>
          </w:p>
        </w:tc>
        <w:tc>
          <w:tcPr>
            <w:tcW w:w="4065"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0A16F4" w:rsidRDefault="000A16F4" w:rsidP="000A16F4">
            <w:pPr>
              <w:pStyle w:val="Default"/>
              <w:jc w:val="both"/>
              <w:rPr>
                <w:rFonts w:ascii="Book Antiqua" w:hAnsi="Book Antiqua" w:cs="Arial"/>
                <w:sz w:val="22"/>
                <w:szCs w:val="22"/>
              </w:rPr>
            </w:pPr>
            <w:r>
              <w:rPr>
                <w:rFonts w:ascii="Book Antiqua" w:hAnsi="Book Antiqua" w:cs="Arial"/>
                <w:sz w:val="22"/>
                <w:szCs w:val="22"/>
              </w:rPr>
              <w:t>T</w:t>
            </w:r>
            <w:r w:rsidRPr="005B3882">
              <w:rPr>
                <w:rFonts w:ascii="Book Antiqua" w:hAnsi="Book Antiqua" w:cs="Arial"/>
                <w:sz w:val="22"/>
                <w:szCs w:val="22"/>
              </w:rPr>
              <w:t xml:space="preserve">here are four different types of monitoring required for </w:t>
            </w:r>
            <w:r>
              <w:rPr>
                <w:rFonts w:ascii="Book Antiqua" w:hAnsi="Book Antiqua" w:cs="Arial"/>
                <w:sz w:val="22"/>
                <w:szCs w:val="22"/>
              </w:rPr>
              <w:t>REDD+:</w:t>
            </w:r>
          </w:p>
          <w:p w:rsidR="000A16F4" w:rsidRDefault="000A16F4" w:rsidP="008227FD">
            <w:pPr>
              <w:pStyle w:val="Default"/>
              <w:numPr>
                <w:ilvl w:val="0"/>
                <w:numId w:val="119"/>
              </w:numPr>
              <w:ind w:left="258" w:hanging="270"/>
              <w:jc w:val="both"/>
              <w:rPr>
                <w:rFonts w:ascii="Book Antiqua" w:hAnsi="Book Antiqua" w:cs="Arial"/>
                <w:sz w:val="22"/>
                <w:szCs w:val="22"/>
              </w:rPr>
            </w:pPr>
            <w:r>
              <w:rPr>
                <w:rFonts w:ascii="Book Antiqua" w:hAnsi="Book Antiqua" w:cs="Arial"/>
                <w:sz w:val="22"/>
                <w:szCs w:val="22"/>
              </w:rPr>
              <w:t>Monitoring of emissions (C-stocks)</w:t>
            </w:r>
          </w:p>
          <w:p w:rsidR="000A16F4" w:rsidRDefault="000A16F4" w:rsidP="008227FD">
            <w:pPr>
              <w:pStyle w:val="Default"/>
              <w:numPr>
                <w:ilvl w:val="0"/>
                <w:numId w:val="119"/>
              </w:numPr>
              <w:ind w:left="258" w:hanging="270"/>
              <w:jc w:val="both"/>
              <w:rPr>
                <w:rFonts w:ascii="Book Antiqua" w:hAnsi="Book Antiqua" w:cs="Arial"/>
                <w:sz w:val="22"/>
                <w:szCs w:val="22"/>
              </w:rPr>
            </w:pPr>
            <w:r>
              <w:rPr>
                <w:rFonts w:ascii="Book Antiqua" w:hAnsi="Book Antiqua" w:cs="Arial"/>
                <w:sz w:val="22"/>
                <w:szCs w:val="22"/>
              </w:rPr>
              <w:t>Monitoring of REDD+ interventions and actions</w:t>
            </w:r>
          </w:p>
          <w:p w:rsidR="000A16F4" w:rsidRDefault="000A16F4" w:rsidP="008227FD">
            <w:pPr>
              <w:pStyle w:val="Default"/>
              <w:numPr>
                <w:ilvl w:val="0"/>
                <w:numId w:val="119"/>
              </w:numPr>
              <w:ind w:left="258" w:hanging="270"/>
              <w:jc w:val="both"/>
              <w:rPr>
                <w:rFonts w:ascii="Book Antiqua" w:hAnsi="Book Antiqua" w:cs="Arial"/>
                <w:sz w:val="22"/>
                <w:szCs w:val="22"/>
              </w:rPr>
            </w:pPr>
            <w:r>
              <w:rPr>
                <w:rFonts w:ascii="Book Antiqua" w:hAnsi="Book Antiqua" w:cs="Arial"/>
                <w:sz w:val="22"/>
                <w:szCs w:val="22"/>
              </w:rPr>
              <w:t>Monitoring of revenue disbursement</w:t>
            </w:r>
          </w:p>
          <w:p w:rsidR="000A16F4" w:rsidRDefault="000A16F4" w:rsidP="008227FD">
            <w:pPr>
              <w:pStyle w:val="Default"/>
              <w:numPr>
                <w:ilvl w:val="0"/>
                <w:numId w:val="119"/>
              </w:numPr>
              <w:ind w:left="258" w:hanging="270"/>
              <w:jc w:val="both"/>
              <w:rPr>
                <w:rFonts w:ascii="Book Antiqua" w:hAnsi="Book Antiqua" w:cs="Arial"/>
                <w:sz w:val="22"/>
                <w:szCs w:val="22"/>
              </w:rPr>
            </w:pPr>
            <w:r>
              <w:rPr>
                <w:rFonts w:ascii="Book Antiqua" w:hAnsi="Book Antiqua" w:cs="Arial"/>
                <w:sz w:val="22"/>
                <w:szCs w:val="22"/>
              </w:rPr>
              <w:t>Monitoring of financial transactions (auditing)</w:t>
            </w:r>
          </w:p>
          <w:p w:rsidR="000A16F4" w:rsidRDefault="000A16F4" w:rsidP="000A16F4">
            <w:pPr>
              <w:pStyle w:val="Default"/>
              <w:jc w:val="both"/>
              <w:rPr>
                <w:rFonts w:ascii="Book Antiqua" w:hAnsi="Book Antiqua" w:cs="Arial"/>
                <w:sz w:val="22"/>
                <w:szCs w:val="22"/>
              </w:rPr>
            </w:pPr>
          </w:p>
          <w:p w:rsidR="000A16F4" w:rsidRPr="005B3882" w:rsidRDefault="000A16F4" w:rsidP="000A16F4">
            <w:pPr>
              <w:pStyle w:val="Default"/>
              <w:jc w:val="both"/>
              <w:rPr>
                <w:rFonts w:ascii="Book Antiqua" w:hAnsi="Book Antiqua" w:cs="Arial"/>
                <w:sz w:val="22"/>
                <w:szCs w:val="22"/>
              </w:rPr>
            </w:pPr>
            <w:r w:rsidRPr="005B3882">
              <w:rPr>
                <w:rFonts w:ascii="Book Antiqua" w:hAnsi="Book Antiqua" w:cs="Arial"/>
                <w:sz w:val="22"/>
                <w:szCs w:val="22"/>
              </w:rPr>
              <w:t>The range of expertise required is therefore broad.  For monitoring of emissions, technical agencies such as FPD and the Forest Inventory and Planning Institute (FIPI) must be involved given their experience in forest resource monitoring at national and local levels.</w:t>
            </w:r>
          </w:p>
          <w:p w:rsidR="000A16F4" w:rsidRPr="005B3882" w:rsidRDefault="000A16F4" w:rsidP="000A16F4">
            <w:pPr>
              <w:pStyle w:val="Default"/>
              <w:jc w:val="both"/>
              <w:rPr>
                <w:rFonts w:ascii="Book Antiqua" w:hAnsi="Book Antiqua" w:cs="Arial"/>
                <w:sz w:val="22"/>
                <w:szCs w:val="22"/>
              </w:rPr>
            </w:pPr>
          </w:p>
          <w:p w:rsidR="000A16F4" w:rsidRPr="005B3882" w:rsidRDefault="000A16F4" w:rsidP="000A16F4">
            <w:pPr>
              <w:pStyle w:val="Default"/>
              <w:jc w:val="both"/>
              <w:rPr>
                <w:rFonts w:ascii="Book Antiqua" w:hAnsi="Book Antiqua" w:cs="Arial"/>
                <w:sz w:val="22"/>
                <w:szCs w:val="22"/>
              </w:rPr>
            </w:pPr>
            <w:r w:rsidRPr="005B3882">
              <w:rPr>
                <w:rFonts w:ascii="Book Antiqua" w:hAnsi="Book Antiqua" w:cs="Arial"/>
                <w:sz w:val="22"/>
                <w:szCs w:val="22"/>
              </w:rPr>
              <w:t xml:space="preserve">For monitoring of actions and disbursements at sub-national levels, the provincial (and possibly district) PCs need to be involved.  Mass organizations such as the Farmers' Association, Women's </w:t>
            </w:r>
            <w:smartTag w:uri="urn:schemas-microsoft-com:office:smarttags" w:element="place">
              <w:r w:rsidRPr="005B3882">
                <w:rPr>
                  <w:rFonts w:ascii="Book Antiqua" w:hAnsi="Book Antiqua" w:cs="Arial"/>
                  <w:sz w:val="22"/>
                  <w:szCs w:val="22"/>
                </w:rPr>
                <w:t>Union</w:t>
              </w:r>
            </w:smartTag>
            <w:r w:rsidRPr="005B3882">
              <w:rPr>
                <w:rFonts w:ascii="Book Antiqua" w:hAnsi="Book Antiqua" w:cs="Arial"/>
                <w:sz w:val="22"/>
                <w:szCs w:val="22"/>
              </w:rPr>
              <w:t xml:space="preserve">, and Youth Union may also be involved in </w:t>
            </w:r>
            <w:r>
              <w:rPr>
                <w:rFonts w:ascii="Book Antiqua" w:hAnsi="Book Antiqua" w:cs="Arial"/>
                <w:sz w:val="22"/>
                <w:szCs w:val="22"/>
              </w:rPr>
              <w:t>REDD+</w:t>
            </w:r>
            <w:r w:rsidRPr="005B3882">
              <w:rPr>
                <w:rFonts w:ascii="Book Antiqua" w:hAnsi="Book Antiqua" w:cs="Arial"/>
                <w:sz w:val="22"/>
                <w:szCs w:val="22"/>
              </w:rPr>
              <w:t xml:space="preserve"> monitoring since they have branches down to commune/village level.</w:t>
            </w:r>
          </w:p>
          <w:p w:rsidR="000A16F4" w:rsidRPr="005B3882" w:rsidRDefault="000A16F4" w:rsidP="000A16F4">
            <w:pPr>
              <w:pStyle w:val="Default"/>
              <w:jc w:val="both"/>
              <w:rPr>
                <w:rFonts w:ascii="Book Antiqua" w:hAnsi="Book Antiqua" w:cs="Arial"/>
                <w:sz w:val="22"/>
                <w:szCs w:val="22"/>
              </w:rPr>
            </w:pPr>
          </w:p>
          <w:p w:rsidR="000A16F4" w:rsidRPr="005B3882" w:rsidRDefault="000A16F4" w:rsidP="000A16F4">
            <w:pPr>
              <w:pStyle w:val="Default"/>
              <w:jc w:val="both"/>
              <w:rPr>
                <w:rFonts w:ascii="Book Antiqua" w:hAnsi="Book Antiqua" w:cs="Arial"/>
                <w:sz w:val="22"/>
                <w:szCs w:val="22"/>
              </w:rPr>
            </w:pPr>
            <w:r w:rsidRPr="005B3882">
              <w:rPr>
                <w:rFonts w:ascii="Book Antiqua" w:hAnsi="Book Antiqua" w:cs="Arial"/>
                <w:sz w:val="22"/>
                <w:szCs w:val="22"/>
              </w:rPr>
              <w:t xml:space="preserve">The need for comprehensive monitoring needs to be balanced with the transaction costs.  Care also needs to be taken to avoid any conflict of interest between the monitoring agency and recipients of </w:t>
            </w:r>
            <w:r>
              <w:rPr>
                <w:rFonts w:ascii="Book Antiqua" w:hAnsi="Book Antiqua" w:cs="Arial"/>
                <w:sz w:val="22"/>
                <w:szCs w:val="22"/>
              </w:rPr>
              <w:t>REDD+</w:t>
            </w:r>
            <w:r w:rsidRPr="005B3882">
              <w:rPr>
                <w:rFonts w:ascii="Book Antiqua" w:hAnsi="Book Antiqua" w:cs="Arial"/>
                <w:sz w:val="22"/>
                <w:szCs w:val="22"/>
              </w:rPr>
              <w:t xml:space="preserve"> funding.</w:t>
            </w:r>
          </w:p>
        </w:tc>
      </w:tr>
      <w:tr w:rsidR="000A16F4" w:rsidRPr="005B3882">
        <w:tc>
          <w:tcPr>
            <w:tcW w:w="935"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0A16F4" w:rsidRPr="005B3882" w:rsidRDefault="000A16F4" w:rsidP="000A16F4">
            <w:pPr>
              <w:pStyle w:val="Default"/>
              <w:rPr>
                <w:rFonts w:ascii="Book Antiqua" w:hAnsi="Book Antiqua" w:cs="Arial"/>
                <w:sz w:val="22"/>
                <w:szCs w:val="22"/>
              </w:rPr>
            </w:pPr>
            <w:r w:rsidRPr="005B3882">
              <w:rPr>
                <w:rFonts w:ascii="Book Antiqua" w:hAnsi="Book Antiqua" w:cs="Arial"/>
                <w:sz w:val="22"/>
                <w:szCs w:val="22"/>
              </w:rPr>
              <w:t>Options</w:t>
            </w:r>
          </w:p>
        </w:tc>
        <w:tc>
          <w:tcPr>
            <w:tcW w:w="4065"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0A16F4" w:rsidRPr="005B3882" w:rsidRDefault="000A16F4" w:rsidP="008227FD">
            <w:pPr>
              <w:pStyle w:val="Default"/>
              <w:numPr>
                <w:ilvl w:val="0"/>
                <w:numId w:val="120"/>
              </w:numPr>
              <w:tabs>
                <w:tab w:val="clear" w:pos="360"/>
                <w:tab w:val="num" w:pos="251"/>
              </w:tabs>
              <w:ind w:left="251" w:hanging="270"/>
              <w:jc w:val="both"/>
              <w:rPr>
                <w:rFonts w:ascii="Book Antiqua" w:hAnsi="Book Antiqua" w:cs="Arial"/>
                <w:sz w:val="22"/>
                <w:szCs w:val="22"/>
              </w:rPr>
            </w:pPr>
            <w:r w:rsidRPr="005B3882">
              <w:rPr>
                <w:rFonts w:ascii="Book Antiqua" w:hAnsi="Book Antiqua" w:cs="Arial"/>
                <w:sz w:val="22"/>
                <w:szCs w:val="22"/>
              </w:rPr>
              <w:t xml:space="preserve">Assign monitoring of different aspects of </w:t>
            </w:r>
            <w:r>
              <w:rPr>
                <w:rFonts w:ascii="Book Antiqua" w:hAnsi="Book Antiqua" w:cs="Arial"/>
                <w:sz w:val="22"/>
                <w:szCs w:val="22"/>
              </w:rPr>
              <w:t>REDD+</w:t>
            </w:r>
            <w:r w:rsidRPr="005B3882">
              <w:rPr>
                <w:rFonts w:ascii="Book Antiqua" w:hAnsi="Book Antiqua" w:cs="Arial"/>
                <w:sz w:val="22"/>
                <w:szCs w:val="22"/>
              </w:rPr>
              <w:t xml:space="preserve"> to different technical agencies in line with their mandates and competencies.</w:t>
            </w:r>
          </w:p>
          <w:p w:rsidR="000A16F4" w:rsidRPr="005B3882" w:rsidRDefault="000A16F4" w:rsidP="008227FD">
            <w:pPr>
              <w:pStyle w:val="Default"/>
              <w:numPr>
                <w:ilvl w:val="0"/>
                <w:numId w:val="120"/>
              </w:numPr>
              <w:tabs>
                <w:tab w:val="clear" w:pos="360"/>
                <w:tab w:val="num" w:pos="251"/>
              </w:tabs>
              <w:ind w:left="251" w:hanging="270"/>
              <w:jc w:val="both"/>
              <w:rPr>
                <w:rFonts w:ascii="Book Antiqua" w:hAnsi="Book Antiqua" w:cs="Arial"/>
                <w:sz w:val="22"/>
                <w:szCs w:val="22"/>
              </w:rPr>
            </w:pPr>
            <w:r w:rsidRPr="005B3882">
              <w:rPr>
                <w:rFonts w:ascii="Book Antiqua" w:hAnsi="Book Antiqua" w:cs="Arial"/>
                <w:sz w:val="22"/>
                <w:szCs w:val="22"/>
              </w:rPr>
              <w:t>Establish a comprehensive monitoring process to ensure effectiveness and efficiency across all types of monitoring and at all levels from national to local.</w:t>
            </w:r>
          </w:p>
        </w:tc>
      </w:tr>
      <w:tr w:rsidR="000A16F4" w:rsidRPr="005B3882">
        <w:tc>
          <w:tcPr>
            <w:tcW w:w="935"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0A16F4" w:rsidRPr="005B3882" w:rsidRDefault="000A16F4" w:rsidP="000A16F4">
            <w:pPr>
              <w:pStyle w:val="Default"/>
              <w:rPr>
                <w:rFonts w:ascii="Book Antiqua" w:hAnsi="Book Antiqua" w:cs="Arial"/>
                <w:sz w:val="22"/>
                <w:szCs w:val="22"/>
              </w:rPr>
            </w:pPr>
            <w:r w:rsidRPr="005B3882">
              <w:rPr>
                <w:rFonts w:ascii="Book Antiqua" w:hAnsi="Book Antiqua" w:cs="Arial"/>
                <w:sz w:val="22"/>
                <w:szCs w:val="22"/>
              </w:rPr>
              <w:t>Recommended principle or policy to be adopted</w:t>
            </w:r>
          </w:p>
        </w:tc>
        <w:tc>
          <w:tcPr>
            <w:tcW w:w="4065"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0A16F4" w:rsidRPr="005B3882" w:rsidRDefault="000A16F4" w:rsidP="000A16F4">
            <w:pPr>
              <w:pStyle w:val="Default"/>
              <w:jc w:val="both"/>
              <w:rPr>
                <w:rFonts w:ascii="Book Antiqua" w:hAnsi="Book Antiqua" w:cs="Arial"/>
                <w:sz w:val="22"/>
                <w:szCs w:val="22"/>
              </w:rPr>
            </w:pPr>
            <w:r>
              <w:rPr>
                <w:rFonts w:ascii="Book Antiqua" w:hAnsi="Book Antiqua" w:cs="Arial"/>
                <w:sz w:val="22"/>
                <w:szCs w:val="22"/>
              </w:rPr>
              <w:t xml:space="preserve">Option </w:t>
            </w:r>
            <w:r w:rsidR="008E7F87">
              <w:rPr>
                <w:rFonts w:ascii="Book Antiqua" w:hAnsi="Book Antiqua" w:cs="Arial"/>
                <w:sz w:val="22"/>
                <w:szCs w:val="22"/>
              </w:rPr>
              <w:t>B</w:t>
            </w:r>
            <w:r w:rsidRPr="005B3882">
              <w:rPr>
                <w:rFonts w:ascii="Book Antiqua" w:hAnsi="Book Antiqua" w:cs="Arial"/>
                <w:sz w:val="22"/>
                <w:szCs w:val="22"/>
              </w:rPr>
              <w:t xml:space="preserve"> is recommended.  GoV should establish a </w:t>
            </w:r>
            <w:r>
              <w:rPr>
                <w:rFonts w:ascii="Book Antiqua" w:hAnsi="Book Antiqua" w:cs="Arial"/>
                <w:sz w:val="22"/>
                <w:szCs w:val="22"/>
              </w:rPr>
              <w:t>REDD+</w:t>
            </w:r>
            <w:r w:rsidRPr="005B3882">
              <w:rPr>
                <w:rFonts w:ascii="Book Antiqua" w:hAnsi="Book Antiqua" w:cs="Arial"/>
                <w:sz w:val="22"/>
                <w:szCs w:val="22"/>
              </w:rPr>
              <w:t xml:space="preserve"> Monitoring Body to oversee and coordinate all </w:t>
            </w:r>
            <w:r>
              <w:rPr>
                <w:rFonts w:ascii="Book Antiqua" w:hAnsi="Book Antiqua" w:cs="Arial"/>
                <w:sz w:val="22"/>
                <w:szCs w:val="22"/>
              </w:rPr>
              <w:t>REDD+</w:t>
            </w:r>
            <w:r w:rsidRPr="005B3882">
              <w:rPr>
                <w:rFonts w:ascii="Book Antiqua" w:hAnsi="Book Antiqua" w:cs="Arial"/>
                <w:sz w:val="22"/>
                <w:szCs w:val="22"/>
              </w:rPr>
              <w:t xml:space="preserve"> monitoring.  Members of this body should come from Government Inspection, Ministry of Finance, an independent financial auditing company (e.g., Viet Nam National Independent Auditing Company Ltd.), FPD, FIPI, and </w:t>
            </w:r>
            <w:r>
              <w:rPr>
                <w:rFonts w:ascii="Book Antiqua" w:hAnsi="Book Antiqua" w:cs="Arial"/>
                <w:sz w:val="22"/>
                <w:szCs w:val="22"/>
              </w:rPr>
              <w:t>Vietnamese</w:t>
            </w:r>
            <w:r w:rsidRPr="005B3882">
              <w:rPr>
                <w:rFonts w:ascii="Book Antiqua" w:hAnsi="Book Antiqua" w:cs="Arial"/>
                <w:sz w:val="22"/>
                <w:szCs w:val="22"/>
              </w:rPr>
              <w:t xml:space="preserve"> civil </w:t>
            </w:r>
            <w:r w:rsidRPr="005B3882">
              <w:rPr>
                <w:rFonts w:ascii="Book Antiqua" w:hAnsi="Book Antiqua" w:cs="Arial"/>
                <w:sz w:val="22"/>
                <w:szCs w:val="22"/>
              </w:rPr>
              <w:lastRenderedPageBreak/>
              <w:t>society organizations.  Except for the secretariat, members of this body may work part-time in the initial stages.</w:t>
            </w:r>
          </w:p>
          <w:p w:rsidR="000A16F4" w:rsidRPr="005B3882" w:rsidRDefault="000A16F4" w:rsidP="000A16F4">
            <w:pPr>
              <w:pStyle w:val="Default"/>
              <w:jc w:val="both"/>
              <w:rPr>
                <w:rFonts w:ascii="Book Antiqua" w:hAnsi="Book Antiqua" w:cs="Arial"/>
                <w:sz w:val="22"/>
                <w:szCs w:val="22"/>
              </w:rPr>
            </w:pPr>
          </w:p>
          <w:p w:rsidR="000A16F4" w:rsidRPr="005B3882" w:rsidRDefault="000A16F4" w:rsidP="000A16F4">
            <w:pPr>
              <w:pStyle w:val="Default"/>
              <w:jc w:val="both"/>
              <w:rPr>
                <w:rFonts w:ascii="Book Antiqua" w:hAnsi="Book Antiqua" w:cs="Arial"/>
                <w:sz w:val="22"/>
                <w:szCs w:val="22"/>
              </w:rPr>
            </w:pPr>
            <w:r w:rsidRPr="005B3882">
              <w:rPr>
                <w:rFonts w:ascii="Book Antiqua" w:hAnsi="Book Antiqua" w:cs="Arial"/>
                <w:sz w:val="22"/>
                <w:szCs w:val="22"/>
              </w:rPr>
              <w:t>At the provincial level, a similar structure should be established.  It is not necessary that members of the provincial body come from the province.  For example, civil society organizations or sub-FIPI may be based outside the province.  To reduce costs, lower level bodies would not be created; the provincial bodies would be responsible for monitoring down to the local level.</w:t>
            </w:r>
          </w:p>
        </w:tc>
      </w:tr>
      <w:tr w:rsidR="000A16F4" w:rsidRPr="005B3882">
        <w:tc>
          <w:tcPr>
            <w:tcW w:w="935" w:type="pct"/>
            <w:tcBorders>
              <w:top w:val="nil"/>
              <w:left w:val="nil"/>
              <w:bottom w:val="nil"/>
              <w:right w:val="single" w:sz="24" w:space="0" w:color="FFFFFF"/>
            </w:tcBorders>
            <w:shd w:val="clear" w:color="auto" w:fill="C2D69B"/>
            <w:tcMar>
              <w:top w:w="0" w:type="dxa"/>
              <w:left w:w="108" w:type="dxa"/>
              <w:bottom w:w="0" w:type="dxa"/>
              <w:right w:w="108" w:type="dxa"/>
            </w:tcMar>
            <w:vAlign w:val="center"/>
          </w:tcPr>
          <w:p w:rsidR="000A16F4" w:rsidRPr="005B3882" w:rsidRDefault="000A16F4" w:rsidP="000A16F4">
            <w:pPr>
              <w:pStyle w:val="Default"/>
              <w:rPr>
                <w:rFonts w:ascii="Book Antiqua" w:hAnsi="Book Antiqua" w:cs="Arial"/>
                <w:sz w:val="22"/>
                <w:szCs w:val="22"/>
              </w:rPr>
            </w:pPr>
            <w:r>
              <w:rPr>
                <w:rFonts w:ascii="Book Antiqua" w:hAnsi="Book Antiqua" w:cs="Arial"/>
                <w:sz w:val="22"/>
                <w:szCs w:val="22"/>
              </w:rPr>
              <w:lastRenderedPageBreak/>
              <w:t>Actions required to confirm policy option</w:t>
            </w:r>
          </w:p>
        </w:tc>
        <w:tc>
          <w:tcPr>
            <w:tcW w:w="4065" w:type="pct"/>
            <w:shd w:val="clear" w:color="auto" w:fill="D6E3BC"/>
            <w:tcMar>
              <w:top w:w="0" w:type="dxa"/>
              <w:left w:w="108" w:type="dxa"/>
              <w:bottom w:w="0" w:type="dxa"/>
              <w:right w:w="108" w:type="dxa"/>
            </w:tcMar>
            <w:vAlign w:val="center"/>
          </w:tcPr>
          <w:p w:rsidR="000A16F4" w:rsidRPr="005B3882" w:rsidRDefault="000A16F4" w:rsidP="000A16F4">
            <w:pPr>
              <w:pStyle w:val="Default"/>
              <w:jc w:val="both"/>
              <w:rPr>
                <w:rFonts w:ascii="Book Antiqua" w:hAnsi="Book Antiqua" w:cs="Arial"/>
                <w:sz w:val="22"/>
                <w:szCs w:val="22"/>
              </w:rPr>
            </w:pPr>
            <w:r>
              <w:rPr>
                <w:rFonts w:ascii="Book Antiqua" w:hAnsi="Book Antiqua" w:cs="Arial"/>
                <w:sz w:val="22"/>
                <w:szCs w:val="22"/>
              </w:rPr>
              <w:t>The</w:t>
            </w:r>
            <w:r w:rsidRPr="005B3882">
              <w:rPr>
                <w:rFonts w:ascii="Book Antiqua" w:hAnsi="Book Antiqua" w:cs="Arial"/>
                <w:sz w:val="22"/>
                <w:szCs w:val="22"/>
              </w:rPr>
              <w:t xml:space="preserve"> GoV should carry out an assessment of monitoring needs and costs through a review of current monitoring processes, taking into account the higher standard of monitoring expected under </w:t>
            </w:r>
            <w:r>
              <w:rPr>
                <w:rFonts w:ascii="Book Antiqua" w:hAnsi="Book Antiqua" w:cs="Arial"/>
                <w:sz w:val="22"/>
                <w:szCs w:val="22"/>
              </w:rPr>
              <w:t>REDD+</w:t>
            </w:r>
            <w:r w:rsidRPr="005B3882">
              <w:rPr>
                <w:rFonts w:ascii="Book Antiqua" w:hAnsi="Book Antiqua" w:cs="Arial"/>
                <w:sz w:val="22"/>
                <w:szCs w:val="22"/>
              </w:rPr>
              <w:t xml:space="preserve">.  Results of this assessment can then be used to develop a detailed plan for national and provincial </w:t>
            </w:r>
            <w:r>
              <w:rPr>
                <w:rFonts w:ascii="Book Antiqua" w:hAnsi="Book Antiqua" w:cs="Arial"/>
                <w:sz w:val="22"/>
                <w:szCs w:val="22"/>
              </w:rPr>
              <w:t>REDD+</w:t>
            </w:r>
            <w:r w:rsidRPr="005B3882">
              <w:rPr>
                <w:rFonts w:ascii="Book Antiqua" w:hAnsi="Book Antiqua" w:cs="Arial"/>
                <w:sz w:val="22"/>
                <w:szCs w:val="22"/>
              </w:rPr>
              <w:t xml:space="preserve"> monitoring.</w:t>
            </w:r>
          </w:p>
        </w:tc>
      </w:tr>
    </w:tbl>
    <w:p w:rsidR="0003235B" w:rsidRDefault="0003235B" w:rsidP="0003235B">
      <w:pPr>
        <w:pStyle w:val="Default"/>
        <w:rPr>
          <w:rFonts w:ascii="Arial" w:hAnsi="Arial" w:cs="Arial"/>
          <w:i/>
          <w:color w:val="1F497D"/>
          <w:sz w:val="22"/>
          <w:szCs w:val="22"/>
        </w:rPr>
      </w:pPr>
    </w:p>
    <w:p w:rsidR="0003235B" w:rsidRDefault="0003235B" w:rsidP="0003235B">
      <w:pPr>
        <w:pStyle w:val="Default"/>
        <w:rPr>
          <w:rFonts w:ascii="Arial" w:hAnsi="Arial" w:cs="Arial"/>
          <w:i/>
          <w:color w:val="1F497D"/>
          <w:sz w:val="22"/>
          <w:szCs w:val="22"/>
        </w:rPr>
      </w:pPr>
    </w:p>
    <w:p w:rsidR="00351F2C" w:rsidRPr="002D0F33" w:rsidRDefault="00351F2C" w:rsidP="0003235B">
      <w:pPr>
        <w:pStyle w:val="Default"/>
        <w:rPr>
          <w:rFonts w:ascii="Arial" w:hAnsi="Arial" w:cs="Arial"/>
          <w:color w:val="1F497D"/>
        </w:rPr>
      </w:pPr>
      <w:r w:rsidRPr="002D0F33">
        <w:rPr>
          <w:rFonts w:ascii="Arial" w:hAnsi="Arial" w:cs="Arial"/>
          <w:color w:val="1F497D"/>
        </w:rPr>
        <w:t>GOVERNANCE ISSUES</w:t>
      </w:r>
    </w:p>
    <w:p w:rsidR="00351F2C" w:rsidRPr="005B3882" w:rsidRDefault="00351F2C" w:rsidP="00A256CB">
      <w:pPr>
        <w:pStyle w:val="Default"/>
        <w:rPr>
          <w:rFonts w:ascii="Book Antiqua" w:hAnsi="Book Antiqua" w:cs="Arial"/>
          <w:sz w:val="22"/>
          <w:szCs w:val="22"/>
        </w:rPr>
      </w:pPr>
    </w:p>
    <w:p w:rsidR="00351F2C" w:rsidRPr="005B3882" w:rsidRDefault="00351F2C" w:rsidP="00A256CB">
      <w:pPr>
        <w:pStyle w:val="Default"/>
        <w:jc w:val="center"/>
        <w:rPr>
          <w:rFonts w:ascii="Book Antiqua" w:hAnsi="Book Antiqua" w:cs="Arial"/>
          <w:b/>
          <w:sz w:val="22"/>
          <w:szCs w:val="22"/>
          <w:u w:val="single"/>
        </w:rPr>
      </w:pPr>
      <w:r w:rsidRPr="005B3882">
        <w:rPr>
          <w:rFonts w:ascii="Book Antiqua" w:hAnsi="Book Antiqua" w:cs="Arial"/>
          <w:b/>
          <w:sz w:val="22"/>
          <w:szCs w:val="22"/>
          <w:u w:val="single"/>
        </w:rPr>
        <w:t>POLICY ISSUE #5</w:t>
      </w:r>
    </w:p>
    <w:p w:rsidR="00351F2C" w:rsidRPr="005B3882" w:rsidRDefault="00351F2C" w:rsidP="00A256CB">
      <w:pPr>
        <w:pStyle w:val="Default"/>
        <w:rPr>
          <w:rFonts w:ascii="Book Antiqua" w:hAnsi="Book Antiqua" w:cs="Arial"/>
          <w:b/>
          <w:sz w:val="22"/>
          <w:szCs w:val="22"/>
        </w:rPr>
      </w:pPr>
      <w:r w:rsidRPr="005B3882">
        <w:rPr>
          <w:rFonts w:ascii="Book Antiqua" w:hAnsi="Book Antiqua" w:cs="Arial"/>
          <w:b/>
          <w:sz w:val="22"/>
          <w:szCs w:val="22"/>
        </w:rPr>
        <w:t>WHAT’S AT STAKE?</w:t>
      </w: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Although the main goal of the BDS is to ensure that those who are directly responsible for undertaking actions to reduce deforestation and forest degradation are rewarded and compensated, the government (and possibly other groups) will also incur costs in establishing, administering, and overseeing such a system.  These costs need to be covered by </w:t>
      </w:r>
      <w:r w:rsidR="00480D3D">
        <w:rPr>
          <w:rFonts w:ascii="Book Antiqua" w:hAnsi="Book Antiqua" w:cs="Arial"/>
          <w:sz w:val="22"/>
          <w:szCs w:val="22"/>
        </w:rPr>
        <w:t>REDD+</w:t>
      </w:r>
      <w:r w:rsidRPr="005B3882">
        <w:rPr>
          <w:rFonts w:ascii="Book Antiqua" w:hAnsi="Book Antiqua" w:cs="Arial"/>
          <w:sz w:val="22"/>
          <w:szCs w:val="22"/>
        </w:rPr>
        <w:t xml:space="preserve"> revenues.</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For a REDD-compliant BDS, permissible levels of revenue retention will have to be defined.  The two instances where specific allowances for retention are provided for in relation to extra-budgetary, national-level conservation funds (Programme 661 and PFES payments) both allow for a fixed percentage of payments to be retained by government, but do not set a common precedent or follow the same procedure.  In neither case is the retention level based on the actual costs of managing and administering the funds, but seems to have been set somewhat arbitrarily.</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In order to be effective and fair, while minimizing the likelihood of unnecessary or inappropriate diversion of funds, the level of revenues retained by government under the </w:t>
      </w:r>
      <w:r w:rsidR="00480D3D">
        <w:rPr>
          <w:rFonts w:ascii="Book Antiqua" w:hAnsi="Book Antiqua" w:cs="Arial"/>
          <w:sz w:val="22"/>
          <w:szCs w:val="22"/>
        </w:rPr>
        <w:t>REDD+</w:t>
      </w:r>
      <w:r w:rsidRPr="005B3882">
        <w:rPr>
          <w:rFonts w:ascii="Book Antiqua" w:hAnsi="Book Antiqua" w:cs="Arial"/>
          <w:sz w:val="22"/>
          <w:szCs w:val="22"/>
        </w:rPr>
        <w:t xml:space="preserve"> BDS should accurately reflect effort, performance, and delivery.  It should be enough to cover the costs of administering and managing the system, and may also allow for a small premium to encourage and reward compliance. </w:t>
      </w:r>
    </w:p>
    <w:p w:rsidR="00351F2C" w:rsidRPr="00445F77" w:rsidRDefault="00351F2C" w:rsidP="00A256CB">
      <w:pPr>
        <w:pStyle w:val="Default"/>
        <w:rPr>
          <w:rFonts w:ascii="Arial" w:hAnsi="Arial" w:cs="Arial"/>
        </w:rPr>
      </w:pPr>
    </w:p>
    <w:tbl>
      <w:tblPr>
        <w:tblW w:w="5000" w:type="pct"/>
        <w:jc w:val="right"/>
        <w:tblBorders>
          <w:insideH w:val="single" w:sz="24" w:space="0" w:color="FFFFFF"/>
          <w:insideV w:val="single" w:sz="24" w:space="0" w:color="FFFFFF"/>
        </w:tblBorders>
        <w:tblLook w:val="00A0"/>
      </w:tblPr>
      <w:tblGrid>
        <w:gridCol w:w="1859"/>
        <w:gridCol w:w="7145"/>
      </w:tblGrid>
      <w:tr w:rsidR="00351F2C" w:rsidRPr="00445F77">
        <w:trPr>
          <w:tblHeader/>
          <w:jc w:val="right"/>
        </w:trPr>
        <w:tc>
          <w:tcPr>
            <w:tcW w:w="9004" w:type="dxa"/>
            <w:gridSpan w:val="2"/>
            <w:tcBorders>
              <w:top w:val="single" w:sz="24" w:space="0" w:color="FFFFFF"/>
              <w:bottom w:val="single" w:sz="24" w:space="0" w:color="FFFFFF"/>
            </w:tcBorders>
            <w:shd w:val="clear" w:color="auto" w:fill="76923C"/>
            <w:vAlign w:val="center"/>
          </w:tcPr>
          <w:p w:rsidR="00351F2C" w:rsidRPr="000A16F4" w:rsidRDefault="00351F2C" w:rsidP="005B3882">
            <w:pPr>
              <w:pStyle w:val="Default"/>
              <w:jc w:val="center"/>
              <w:rPr>
                <w:rFonts w:ascii="Book Antiqua" w:hAnsi="Book Antiqua" w:cs="Arial"/>
                <w:b/>
                <w:color w:val="FFFFFF"/>
              </w:rPr>
            </w:pPr>
            <w:r w:rsidRPr="000A16F4">
              <w:rPr>
                <w:rFonts w:ascii="Book Antiqua" w:hAnsi="Book Antiqua" w:cs="Arial"/>
                <w:b/>
                <w:color w:val="FFFFFF"/>
              </w:rPr>
              <w:t>POLICY DECISION 5</w:t>
            </w:r>
            <w:r w:rsidR="000A16F4">
              <w:rPr>
                <w:rFonts w:ascii="Book Antiqua" w:hAnsi="Book Antiqua" w:cs="Arial"/>
                <w:b/>
                <w:color w:val="FFFFFF"/>
              </w:rPr>
              <w:t xml:space="preserve"> (5.1):</w:t>
            </w:r>
          </w:p>
          <w:p w:rsidR="00351F2C" w:rsidRPr="00445F77" w:rsidRDefault="00351F2C" w:rsidP="005B3882">
            <w:pPr>
              <w:pStyle w:val="Default"/>
              <w:jc w:val="center"/>
              <w:rPr>
                <w:rFonts w:ascii="Arial" w:hAnsi="Arial" w:cs="Arial"/>
                <w:b/>
                <w:color w:val="FFFFFF"/>
              </w:rPr>
            </w:pPr>
            <w:r w:rsidRPr="000A16F4">
              <w:rPr>
                <w:rFonts w:ascii="Book Antiqua" w:hAnsi="Book Antiqua" w:cs="Arial"/>
                <w:b/>
                <w:color w:val="FFFFFF"/>
              </w:rPr>
              <w:t>REVENUE RETENTION BY GOVERNMENT</w:t>
            </w:r>
          </w:p>
        </w:tc>
      </w:tr>
      <w:tr w:rsidR="000A16F4" w:rsidRPr="005B3882">
        <w:trPr>
          <w:jc w:val="right"/>
        </w:trPr>
        <w:tc>
          <w:tcPr>
            <w:tcW w:w="1859" w:type="dxa"/>
            <w:tcBorders>
              <w:top w:val="single" w:sz="24"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Issue to be addressed</w:t>
            </w:r>
          </w:p>
        </w:tc>
        <w:tc>
          <w:tcPr>
            <w:tcW w:w="7145" w:type="dxa"/>
            <w:tcBorders>
              <w:top w:val="single" w:sz="24" w:space="0" w:color="FFFFFF"/>
              <w:left w:val="single" w:sz="24" w:space="0" w:color="FFFFFF"/>
              <w:bottom w:val="single" w:sz="8" w:space="0" w:color="FFFFFF"/>
            </w:tcBorders>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 xml:space="preserve">Administration of a payment distribution system incurs administration and management costs. This needs to be balanced with the requirement of ensuring that the major portion of REDD+ funds are used as efficiently and effectively as possible to reduce deforestation. In relation to national-level government-administered funds in </w:t>
            </w:r>
            <w:smartTag w:uri="urn:schemas-microsoft-com:office:smarttags" w:element="country-region">
              <w:smartTag w:uri="urn:schemas-microsoft-com:office:smarttags" w:element="place">
                <w:r w:rsidRPr="003C0FC0">
                  <w:rPr>
                    <w:rFonts w:ascii="Book Antiqua" w:hAnsi="Book Antiqua" w:cs="Arial"/>
                  </w:rPr>
                  <w:t>Viet Nam</w:t>
                </w:r>
              </w:smartTag>
            </w:smartTag>
            <w:r w:rsidRPr="003C0FC0">
              <w:rPr>
                <w:rFonts w:ascii="Book Antiqua" w:hAnsi="Book Antiqua" w:cs="Arial"/>
              </w:rPr>
              <w:t>, there are currently no standard procedures for determining permissible management fees.</w:t>
            </w:r>
          </w:p>
        </w:tc>
      </w:tr>
      <w:tr w:rsidR="000A16F4" w:rsidRPr="005B3882">
        <w:trPr>
          <w:jc w:val="right"/>
        </w:trPr>
        <w:tc>
          <w:tcPr>
            <w:tcW w:w="1859" w:type="dxa"/>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Options</w:t>
            </w:r>
          </w:p>
        </w:tc>
        <w:tc>
          <w:tcPr>
            <w:tcW w:w="7145" w:type="dxa"/>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3561C4">
            <w:pPr>
              <w:pStyle w:val="ListParagraph"/>
              <w:numPr>
                <w:ilvl w:val="0"/>
                <w:numId w:val="3"/>
              </w:numPr>
              <w:spacing w:after="0" w:line="240" w:lineRule="auto"/>
              <w:ind w:left="251" w:hanging="284"/>
              <w:contextualSpacing w:val="0"/>
              <w:jc w:val="both"/>
              <w:rPr>
                <w:rFonts w:ascii="Book Antiqua" w:hAnsi="Book Antiqua" w:cs="Arial"/>
                <w:lang w:val="en-GB"/>
              </w:rPr>
            </w:pPr>
            <w:r w:rsidRPr="003C0FC0">
              <w:rPr>
                <w:rFonts w:ascii="Book Antiqua" w:hAnsi="Book Antiqua" w:cs="Arial"/>
                <w:lang w:val="en-GB"/>
              </w:rPr>
              <w:t xml:space="preserve">Allocate based on costs incurred and emissions reductions </w:t>
            </w:r>
            <w:r w:rsidRPr="003C0FC0">
              <w:rPr>
                <w:rFonts w:ascii="Book Antiqua" w:hAnsi="Book Antiqua" w:cs="Arial"/>
                <w:lang w:val="en-GB"/>
              </w:rPr>
              <w:lastRenderedPageBreak/>
              <w:t>delivered; or</w:t>
            </w:r>
          </w:p>
          <w:p w:rsidR="000A16F4" w:rsidRPr="003C0FC0" w:rsidRDefault="000A16F4" w:rsidP="003561C4">
            <w:pPr>
              <w:pStyle w:val="ListParagraph"/>
              <w:numPr>
                <w:ilvl w:val="0"/>
                <w:numId w:val="3"/>
              </w:numPr>
              <w:spacing w:after="0" w:line="240" w:lineRule="auto"/>
              <w:ind w:left="251" w:hanging="284"/>
              <w:contextualSpacing w:val="0"/>
              <w:jc w:val="both"/>
              <w:rPr>
                <w:rFonts w:ascii="Book Antiqua" w:hAnsi="Book Antiqua" w:cs="Arial"/>
                <w:lang w:val="en-GB"/>
              </w:rPr>
            </w:pPr>
            <w:r w:rsidRPr="003C0FC0">
              <w:rPr>
                <w:rFonts w:ascii="Book Antiqua" w:hAnsi="Book Antiqua" w:cs="Arial"/>
                <w:lang w:val="en-GB"/>
              </w:rPr>
              <w:t>Allocate according to a flat fee or percentage of total funds.</w:t>
            </w:r>
          </w:p>
        </w:tc>
      </w:tr>
      <w:tr w:rsidR="000A16F4" w:rsidRPr="005B3882">
        <w:trPr>
          <w:jc w:val="right"/>
        </w:trPr>
        <w:tc>
          <w:tcPr>
            <w:tcW w:w="1859" w:type="dxa"/>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lastRenderedPageBreak/>
              <w:t>Recommended principle or policy to be adopted</w:t>
            </w:r>
          </w:p>
        </w:tc>
        <w:tc>
          <w:tcPr>
            <w:tcW w:w="7145" w:type="dxa"/>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The specified amount or percentage of revenues retained by government should be performance-based, and set at a level which approximates closely to actual transactions and implementation costs, plus a small incentive for participation in REDD+.</w:t>
            </w:r>
          </w:p>
        </w:tc>
      </w:tr>
      <w:tr w:rsidR="000A16F4" w:rsidRPr="005B3882">
        <w:trPr>
          <w:jc w:val="right"/>
        </w:trPr>
        <w:tc>
          <w:tcPr>
            <w:tcW w:w="1859" w:type="dxa"/>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Pr>
                <w:rFonts w:ascii="Book Antiqua" w:hAnsi="Book Antiqua" w:cs="Arial"/>
                <w:sz w:val="22"/>
                <w:szCs w:val="22"/>
              </w:rPr>
              <w:t>Actions required to confirm policy option</w:t>
            </w:r>
          </w:p>
        </w:tc>
        <w:tc>
          <w:tcPr>
            <w:tcW w:w="7145" w:type="dxa"/>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As part of its commitment to establishing a world-class payment distribution system, the GoV should indicate that the revenues to be retained by government will be limited to actual implementation and transactions costs, against agreed budgets;</w:t>
            </w:r>
          </w:p>
          <w:p w:rsidR="000A16F4" w:rsidRPr="003C0FC0" w:rsidRDefault="000A16F4"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The magnitude of these costs, and indicative retention levels, will be determined by further studies to be conducted.</w:t>
            </w:r>
            <w:r w:rsidRPr="003C0FC0">
              <w:rPr>
                <w:rFonts w:ascii="Book Antiqua" w:hAnsi="Book Antiqua" w:cs="Arial"/>
                <w:i/>
                <w:iCs/>
                <w:lang w:val="en-GB"/>
              </w:rPr>
              <w:t xml:space="preserve"> </w:t>
            </w:r>
          </w:p>
        </w:tc>
      </w:tr>
    </w:tbl>
    <w:p w:rsidR="00351F2C" w:rsidRPr="005B3882" w:rsidRDefault="00351F2C" w:rsidP="00A256CB">
      <w:pPr>
        <w:pStyle w:val="Default"/>
        <w:jc w:val="center"/>
        <w:rPr>
          <w:rFonts w:ascii="Book Antiqua" w:hAnsi="Book Antiqua" w:cs="Arial"/>
          <w:sz w:val="22"/>
          <w:szCs w:val="22"/>
        </w:rPr>
      </w:pPr>
    </w:p>
    <w:p w:rsidR="00351F2C" w:rsidRPr="005B3882" w:rsidRDefault="00351F2C" w:rsidP="00A256CB">
      <w:pPr>
        <w:pStyle w:val="Default"/>
        <w:jc w:val="center"/>
        <w:rPr>
          <w:rFonts w:ascii="Book Antiqua" w:hAnsi="Book Antiqua" w:cs="Arial"/>
          <w:b/>
          <w:sz w:val="22"/>
          <w:szCs w:val="22"/>
          <w:u w:val="single"/>
        </w:rPr>
      </w:pPr>
      <w:r w:rsidRPr="005B3882">
        <w:rPr>
          <w:rFonts w:ascii="Book Antiqua" w:hAnsi="Book Antiqua" w:cs="Arial"/>
          <w:b/>
          <w:sz w:val="22"/>
          <w:szCs w:val="22"/>
          <w:u w:val="single"/>
        </w:rPr>
        <w:t>POLICY ISSUE #6</w:t>
      </w:r>
    </w:p>
    <w:p w:rsidR="00351F2C" w:rsidRPr="005B3882" w:rsidRDefault="00351F2C" w:rsidP="00A256CB">
      <w:pPr>
        <w:pStyle w:val="Default"/>
        <w:rPr>
          <w:rFonts w:ascii="Book Antiqua" w:hAnsi="Book Antiqua" w:cs="Arial"/>
          <w:b/>
          <w:sz w:val="22"/>
          <w:szCs w:val="22"/>
        </w:rPr>
      </w:pPr>
      <w:r w:rsidRPr="005B3882">
        <w:rPr>
          <w:rFonts w:ascii="Book Antiqua" w:hAnsi="Book Antiqua" w:cs="Arial"/>
          <w:b/>
          <w:sz w:val="22"/>
          <w:szCs w:val="22"/>
        </w:rPr>
        <w:t>WHAT’S AT STAKE?</w:t>
      </w: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If local-level payments are to be effective in reducing deforestation and forest degradation, they will need to be high enough to offset any opportunity costs that forest users incur, and at the same time provide clear incentives to participate in </w:t>
      </w:r>
      <w:r w:rsidR="00480D3D">
        <w:rPr>
          <w:rFonts w:ascii="Book Antiqua" w:hAnsi="Book Antiqua" w:cs="Arial"/>
          <w:sz w:val="22"/>
          <w:szCs w:val="22"/>
        </w:rPr>
        <w:t>REDD+</w:t>
      </w:r>
      <w:r w:rsidRPr="005B3882">
        <w:rPr>
          <w:rFonts w:ascii="Book Antiqua" w:hAnsi="Book Antiqua" w:cs="Arial"/>
          <w:sz w:val="22"/>
          <w:szCs w:val="22"/>
        </w:rPr>
        <w:t xml:space="preserve">.  These costs and incentives may be both monetary and non-monetary, and will vary substantially between different forest users and sites in </w:t>
      </w:r>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xml:space="preserve">. </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color w:val="auto"/>
          <w:sz w:val="22"/>
          <w:szCs w:val="22"/>
        </w:rPr>
      </w:pPr>
      <w:r w:rsidRPr="005B3882">
        <w:rPr>
          <w:rFonts w:ascii="Book Antiqua" w:hAnsi="Book Antiqua" w:cs="Arial"/>
          <w:sz w:val="22"/>
          <w:szCs w:val="22"/>
        </w:rPr>
        <w:t xml:space="preserve">For </w:t>
      </w:r>
      <w:r w:rsidR="00480D3D">
        <w:rPr>
          <w:rFonts w:ascii="Book Antiqua" w:hAnsi="Book Antiqua" w:cs="Arial"/>
          <w:sz w:val="22"/>
          <w:szCs w:val="22"/>
        </w:rPr>
        <w:t>REDD+</w:t>
      </w:r>
      <w:r w:rsidRPr="005B3882">
        <w:rPr>
          <w:rFonts w:ascii="Book Antiqua" w:hAnsi="Book Antiqua" w:cs="Arial"/>
          <w:sz w:val="22"/>
          <w:szCs w:val="22"/>
        </w:rPr>
        <w:t xml:space="preserve"> revenues, an appropriate formula for local benefit distribution will need to be agreed</w:t>
      </w:r>
      <w:r w:rsidRPr="005B3882">
        <w:rPr>
          <w:rFonts w:ascii="Book Antiqua" w:hAnsi="Book Antiqua" w:cs="Arial"/>
          <w:color w:val="auto"/>
          <w:sz w:val="22"/>
          <w:szCs w:val="22"/>
        </w:rPr>
        <w:t xml:space="preserve">.  Current procedures for calculating payments for forest conservation (under Programme 661) and the provision of environmental services (under PFES projects) neither incorporate full opportunity costs nor allow for a mix of financial and non-financial incentives.  Rather, they are set administratively. </w:t>
      </w:r>
    </w:p>
    <w:p w:rsidR="00351F2C" w:rsidRPr="005B3882" w:rsidRDefault="00351F2C" w:rsidP="00A256CB">
      <w:pPr>
        <w:pStyle w:val="Default"/>
        <w:jc w:val="both"/>
        <w:rPr>
          <w:rFonts w:ascii="Book Antiqua" w:hAnsi="Book Antiqua" w:cs="Arial"/>
          <w:color w:val="auto"/>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The approach of using weightings (“K-factors”), which have been used to calculate household-level PFES payments, provides a useful model for </w:t>
      </w:r>
      <w:r w:rsidR="00480D3D">
        <w:rPr>
          <w:rFonts w:ascii="Book Antiqua" w:hAnsi="Book Antiqua" w:cs="Arial"/>
          <w:sz w:val="22"/>
          <w:szCs w:val="22"/>
        </w:rPr>
        <w:t>REDD+</w:t>
      </w:r>
      <w:r w:rsidRPr="005B3882">
        <w:rPr>
          <w:rFonts w:ascii="Book Antiqua" w:hAnsi="Book Antiqua" w:cs="Arial"/>
          <w:sz w:val="22"/>
          <w:szCs w:val="22"/>
        </w:rPr>
        <w:t>, albeit with some modification.  The use of weightings can permit payment levels to vary to reflect variations in direct and opportunity costs, and can also allow payment levels to address co-benefits, such as poverty alleviation and biodiversity conservation.  Payments need to reflect both the costs of reducing deforestation</w:t>
      </w:r>
      <w:r w:rsidR="00847917">
        <w:rPr>
          <w:rFonts w:ascii="Book Antiqua" w:hAnsi="Book Antiqua" w:cs="Arial"/>
          <w:sz w:val="22"/>
          <w:szCs w:val="22"/>
        </w:rPr>
        <w:t>, forest degradation and costs for enhancement activities</w:t>
      </w:r>
      <w:r w:rsidRPr="005B3882">
        <w:rPr>
          <w:rFonts w:ascii="Book Antiqua" w:hAnsi="Book Antiqua" w:cs="Arial"/>
          <w:sz w:val="22"/>
          <w:szCs w:val="22"/>
        </w:rPr>
        <w:t xml:space="preserve"> and the amount of emissions reduced.</w:t>
      </w:r>
    </w:p>
    <w:p w:rsidR="00351F2C" w:rsidRPr="00445F77" w:rsidRDefault="00351F2C" w:rsidP="00A256CB">
      <w:pPr>
        <w:pStyle w:val="Default"/>
        <w:rPr>
          <w:rFonts w:ascii="Arial" w:hAnsi="Arial" w:cs="Arial"/>
        </w:rPr>
      </w:pPr>
    </w:p>
    <w:tbl>
      <w:tblPr>
        <w:tblW w:w="5000" w:type="pct"/>
        <w:tblBorders>
          <w:insideH w:val="single" w:sz="24" w:space="0" w:color="FFFFFF"/>
          <w:insideV w:val="single" w:sz="24" w:space="0" w:color="FFFFFF"/>
        </w:tblBorders>
        <w:tblLook w:val="00A0"/>
      </w:tblPr>
      <w:tblGrid>
        <w:gridCol w:w="1812"/>
        <w:gridCol w:w="7192"/>
      </w:tblGrid>
      <w:tr w:rsidR="00351F2C" w:rsidRPr="00445F77">
        <w:trPr>
          <w:tblHeader/>
        </w:trPr>
        <w:tc>
          <w:tcPr>
            <w:tcW w:w="5000" w:type="pct"/>
            <w:gridSpan w:val="2"/>
            <w:tcBorders>
              <w:top w:val="single" w:sz="24" w:space="0" w:color="FFFFFF"/>
              <w:bottom w:val="single" w:sz="24" w:space="0" w:color="FFFFFF"/>
            </w:tcBorders>
            <w:shd w:val="clear" w:color="auto" w:fill="76923C"/>
            <w:vAlign w:val="center"/>
          </w:tcPr>
          <w:p w:rsidR="00351F2C" w:rsidRPr="000A16F4" w:rsidRDefault="00351F2C" w:rsidP="005B3882">
            <w:pPr>
              <w:pStyle w:val="Default"/>
              <w:jc w:val="center"/>
              <w:rPr>
                <w:rFonts w:ascii="Book Antiqua" w:hAnsi="Book Antiqua" w:cs="Arial"/>
                <w:b/>
                <w:color w:val="FFFFFF"/>
              </w:rPr>
            </w:pPr>
            <w:r w:rsidRPr="000A16F4">
              <w:rPr>
                <w:rFonts w:ascii="Book Antiqua" w:hAnsi="Book Antiqua" w:cs="Arial"/>
                <w:b/>
                <w:color w:val="FFFFFF"/>
              </w:rPr>
              <w:t>POLICY DECISION 6</w:t>
            </w:r>
            <w:r w:rsidR="000A16F4">
              <w:rPr>
                <w:rFonts w:ascii="Book Antiqua" w:hAnsi="Book Antiqua" w:cs="Arial"/>
                <w:b/>
                <w:color w:val="FFFFFF"/>
              </w:rPr>
              <w:t xml:space="preserve"> (5.2):</w:t>
            </w:r>
          </w:p>
          <w:p w:rsidR="00351F2C" w:rsidRPr="00445F77" w:rsidRDefault="00351F2C" w:rsidP="005B3882">
            <w:pPr>
              <w:pStyle w:val="Default"/>
              <w:jc w:val="center"/>
              <w:rPr>
                <w:rFonts w:ascii="Arial" w:hAnsi="Arial" w:cs="Arial"/>
                <w:b/>
                <w:color w:val="FFFFFF"/>
              </w:rPr>
            </w:pPr>
            <w:r w:rsidRPr="000A16F4">
              <w:rPr>
                <w:rFonts w:ascii="Book Antiqua" w:hAnsi="Book Antiqua" w:cs="Arial"/>
                <w:b/>
                <w:color w:val="FFFFFF"/>
              </w:rPr>
              <w:t>LOCAL PAYMENT LEVELS AND PAYMENT STRUCTURING</w:t>
            </w:r>
          </w:p>
        </w:tc>
      </w:tr>
      <w:tr w:rsidR="00351F2C" w:rsidRPr="005B3882">
        <w:tc>
          <w:tcPr>
            <w:tcW w:w="1006" w:type="pct"/>
            <w:tcBorders>
              <w:top w:val="single" w:sz="24" w:space="0" w:color="FFFFFF"/>
              <w:bottom w:val="single" w:sz="8" w:space="0" w:color="FFFFFF"/>
              <w:right w:val="single" w:sz="24" w:space="0" w:color="FFFFFF"/>
            </w:tcBorders>
            <w:shd w:val="clear" w:color="auto" w:fill="C2D69B"/>
            <w:vAlign w:val="center"/>
          </w:tcPr>
          <w:p w:rsidR="00351F2C" w:rsidRPr="005B3882" w:rsidRDefault="00351F2C" w:rsidP="00A256CB">
            <w:pPr>
              <w:pStyle w:val="Default"/>
              <w:rPr>
                <w:rFonts w:ascii="Book Antiqua" w:hAnsi="Book Antiqua" w:cs="Arial"/>
                <w:sz w:val="22"/>
                <w:szCs w:val="22"/>
              </w:rPr>
            </w:pPr>
            <w:r w:rsidRPr="005B3882">
              <w:rPr>
                <w:rFonts w:ascii="Book Antiqua" w:hAnsi="Book Antiqua" w:cs="Arial"/>
                <w:sz w:val="22"/>
                <w:szCs w:val="22"/>
              </w:rPr>
              <w:t>Issue to be addressed</w:t>
            </w:r>
          </w:p>
        </w:tc>
        <w:tc>
          <w:tcPr>
            <w:tcW w:w="3994" w:type="pct"/>
            <w:tcBorders>
              <w:top w:val="single" w:sz="24" w:space="0" w:color="FFFFFF"/>
              <w:left w:val="single" w:sz="24" w:space="0" w:color="FFFFFF"/>
              <w:bottom w:val="single" w:sz="8" w:space="0" w:color="FFFFFF"/>
            </w:tcBorders>
            <w:shd w:val="clear" w:color="auto" w:fill="D6E3BC"/>
            <w:vAlign w:val="center"/>
          </w:tcPr>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Local-level payments for avoided deforestation</w:t>
            </w:r>
            <w:r w:rsidR="000711A6">
              <w:rPr>
                <w:rFonts w:ascii="Book Antiqua" w:hAnsi="Book Antiqua" w:cs="Arial"/>
                <w:sz w:val="22"/>
                <w:szCs w:val="22"/>
              </w:rPr>
              <w:t xml:space="preserve"> and forest degradation, and for conservation, sustainable forest management and enhancement of carbon stocks,</w:t>
            </w:r>
            <w:r w:rsidRPr="005B3882">
              <w:rPr>
                <w:rFonts w:ascii="Book Antiqua" w:hAnsi="Book Antiqua" w:cs="Arial"/>
                <w:sz w:val="22"/>
                <w:szCs w:val="22"/>
              </w:rPr>
              <w:t xml:space="preserve"> should ideally compensate the direct and opportunity costs incurred and provide clear incentives to land and resource users.  Current procedures for calculating payments for forest conservation and the provision of environmental services in </w:t>
            </w:r>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xml:space="preserve"> do not reflect the variation in supply costs or balance the need for monetary and non-monetary incentives.  Due to the highly specific nature of opportunity costs, there are practical limitations on making these estimates for all </w:t>
            </w:r>
            <w:r w:rsidR="00480D3D">
              <w:rPr>
                <w:rFonts w:ascii="Book Antiqua" w:hAnsi="Book Antiqua" w:cs="Arial"/>
                <w:sz w:val="22"/>
                <w:szCs w:val="22"/>
              </w:rPr>
              <w:t>REDD+</w:t>
            </w:r>
            <w:r w:rsidRPr="005B3882">
              <w:rPr>
                <w:rFonts w:ascii="Book Antiqua" w:hAnsi="Book Antiqua" w:cs="Arial"/>
                <w:sz w:val="22"/>
                <w:szCs w:val="22"/>
              </w:rPr>
              <w:t xml:space="preserve"> participants.</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Payment structuring can also be designed to meet social goals in parallel with rewarding performance.  This is the intent of the K-factors developed by PFES pilot projects.  As </w:t>
            </w:r>
            <w:r w:rsidR="00480D3D">
              <w:rPr>
                <w:rFonts w:ascii="Book Antiqua" w:hAnsi="Book Antiqua" w:cs="Arial"/>
                <w:sz w:val="22"/>
                <w:szCs w:val="22"/>
              </w:rPr>
              <w:t>REDD+</w:t>
            </w:r>
            <w:r w:rsidRPr="005B3882">
              <w:rPr>
                <w:rFonts w:ascii="Book Antiqua" w:hAnsi="Book Antiqua" w:cs="Arial"/>
                <w:sz w:val="22"/>
                <w:szCs w:val="22"/>
              </w:rPr>
              <w:t xml:space="preserve"> is expected to address local social and economic needs while rewarding performance in reducing emissions, similar considerations should be incorporated into </w:t>
            </w:r>
            <w:r w:rsidR="00480D3D">
              <w:rPr>
                <w:rFonts w:ascii="Book Antiqua" w:hAnsi="Book Antiqua" w:cs="Arial"/>
                <w:sz w:val="22"/>
                <w:szCs w:val="22"/>
              </w:rPr>
              <w:t>REDD+</w:t>
            </w:r>
            <w:r w:rsidRPr="005B3882">
              <w:rPr>
                <w:rFonts w:ascii="Book Antiqua" w:hAnsi="Book Antiqua" w:cs="Arial"/>
                <w:sz w:val="22"/>
                <w:szCs w:val="22"/>
              </w:rPr>
              <w:t xml:space="preserve"> payment structuring.  However, </w:t>
            </w:r>
            <w:r w:rsidR="00480D3D">
              <w:rPr>
                <w:rFonts w:ascii="Book Antiqua" w:hAnsi="Book Antiqua" w:cs="Arial"/>
                <w:sz w:val="22"/>
                <w:szCs w:val="22"/>
              </w:rPr>
              <w:t>REDD+</w:t>
            </w:r>
            <w:r w:rsidRPr="005B3882">
              <w:rPr>
                <w:rFonts w:ascii="Book Antiqua" w:hAnsi="Book Antiqua" w:cs="Arial"/>
                <w:sz w:val="22"/>
                <w:szCs w:val="22"/>
              </w:rPr>
              <w:t xml:space="preserve"> considerations will not be the same as those applicable to PFES as there are additional actors influencing the criteria used for payment structuring, notably international investors.</w:t>
            </w:r>
          </w:p>
        </w:tc>
      </w:tr>
      <w:tr w:rsidR="000A16F4" w:rsidRPr="005B3882">
        <w:tc>
          <w:tcPr>
            <w:tcW w:w="1006"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lastRenderedPageBreak/>
              <w:t>Options</w:t>
            </w:r>
          </w:p>
        </w:tc>
        <w:tc>
          <w:tcPr>
            <w:tcW w:w="3994"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3561C4">
            <w:pPr>
              <w:pStyle w:val="ListParagraph"/>
              <w:numPr>
                <w:ilvl w:val="0"/>
                <w:numId w:val="5"/>
              </w:numPr>
              <w:spacing w:after="0" w:line="240" w:lineRule="auto"/>
              <w:ind w:left="251" w:hanging="284"/>
              <w:contextualSpacing w:val="0"/>
              <w:jc w:val="both"/>
              <w:rPr>
                <w:rFonts w:ascii="Book Antiqua" w:hAnsi="Book Antiqua" w:cs="Arial"/>
                <w:lang w:val="en-GB"/>
              </w:rPr>
            </w:pPr>
            <w:r w:rsidRPr="003C0FC0">
              <w:rPr>
                <w:rFonts w:ascii="Book Antiqua" w:hAnsi="Book Antiqua" w:cs="Arial"/>
                <w:lang w:val="en-GB"/>
              </w:rPr>
              <w:t>Apply standardized cost norms; or</w:t>
            </w:r>
          </w:p>
          <w:p w:rsidR="000A16F4" w:rsidRPr="003C0FC0" w:rsidRDefault="000A16F4" w:rsidP="003561C4">
            <w:pPr>
              <w:pStyle w:val="ListParagraph"/>
              <w:numPr>
                <w:ilvl w:val="0"/>
                <w:numId w:val="5"/>
              </w:numPr>
              <w:spacing w:after="0" w:line="240" w:lineRule="auto"/>
              <w:ind w:left="251" w:hanging="284"/>
              <w:contextualSpacing w:val="0"/>
              <w:jc w:val="both"/>
              <w:rPr>
                <w:rFonts w:ascii="Book Antiqua" w:hAnsi="Book Antiqua" w:cs="Arial"/>
                <w:lang w:val="en-GB"/>
              </w:rPr>
            </w:pPr>
            <w:r w:rsidRPr="003C0FC0">
              <w:rPr>
                <w:rFonts w:ascii="Book Antiqua" w:hAnsi="Book Antiqua" w:cs="Arial"/>
                <w:lang w:val="en-GB"/>
              </w:rPr>
              <w:t xml:space="preserve">Base payments on costs incurred </w:t>
            </w:r>
            <w:r w:rsidR="00847917">
              <w:rPr>
                <w:rFonts w:ascii="Book Antiqua" w:hAnsi="Book Antiqua" w:cs="Arial"/>
                <w:lang w:val="en-GB"/>
              </w:rPr>
              <w:t xml:space="preserve">and amount of emissions </w:t>
            </w:r>
            <w:r w:rsidR="000711A6">
              <w:rPr>
                <w:rFonts w:ascii="Book Antiqua" w:hAnsi="Book Antiqua" w:cs="Arial"/>
                <w:lang w:val="en-GB"/>
              </w:rPr>
              <w:t xml:space="preserve">reduced. </w:t>
            </w:r>
            <w:r w:rsidRPr="003C0FC0">
              <w:rPr>
                <w:rFonts w:ascii="Book Antiqua" w:hAnsi="Book Antiqua" w:cs="Arial"/>
                <w:i/>
                <w:iCs/>
                <w:lang w:val="en-GB"/>
              </w:rPr>
              <w:t>and</w:t>
            </w:r>
          </w:p>
          <w:p w:rsidR="000A16F4" w:rsidRPr="003C0FC0" w:rsidRDefault="000A16F4" w:rsidP="003561C4">
            <w:pPr>
              <w:pStyle w:val="ListParagraph"/>
              <w:numPr>
                <w:ilvl w:val="0"/>
                <w:numId w:val="8"/>
              </w:numPr>
              <w:spacing w:after="0" w:line="240" w:lineRule="auto"/>
              <w:ind w:left="251" w:hanging="284"/>
              <w:contextualSpacing w:val="0"/>
              <w:jc w:val="both"/>
              <w:rPr>
                <w:rFonts w:ascii="Book Antiqua" w:hAnsi="Book Antiqua" w:cs="Arial"/>
                <w:lang w:val="en-GB"/>
              </w:rPr>
            </w:pPr>
            <w:r w:rsidRPr="003C0FC0">
              <w:rPr>
                <w:rFonts w:ascii="Book Antiqua" w:hAnsi="Book Antiqua" w:cs="Arial"/>
                <w:lang w:val="en-GB"/>
              </w:rPr>
              <w:t>Make cash payments only; or</w:t>
            </w:r>
          </w:p>
          <w:p w:rsidR="000A16F4" w:rsidRPr="003C0FC0" w:rsidRDefault="000A16F4" w:rsidP="003561C4">
            <w:pPr>
              <w:pStyle w:val="ListParagraph"/>
              <w:numPr>
                <w:ilvl w:val="0"/>
                <w:numId w:val="8"/>
              </w:numPr>
              <w:spacing w:after="0" w:line="240" w:lineRule="auto"/>
              <w:ind w:left="251" w:hanging="284"/>
              <w:contextualSpacing w:val="0"/>
              <w:jc w:val="both"/>
              <w:rPr>
                <w:rFonts w:ascii="Book Antiqua" w:hAnsi="Book Antiqua" w:cs="Arial"/>
                <w:lang w:val="en-GB"/>
              </w:rPr>
            </w:pPr>
            <w:r w:rsidRPr="003C0FC0">
              <w:rPr>
                <w:rFonts w:ascii="Book Antiqua" w:hAnsi="Book Antiqua" w:cs="Arial"/>
                <w:lang w:val="en-GB"/>
              </w:rPr>
              <w:t>Combine cash payments and non-monetary benefits.</w:t>
            </w:r>
          </w:p>
        </w:tc>
      </w:tr>
      <w:tr w:rsidR="000A16F4" w:rsidRPr="005B3882">
        <w:tc>
          <w:tcPr>
            <w:tcW w:w="1006"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Recommended principle or policy to be adopted</w:t>
            </w:r>
          </w:p>
        </w:tc>
        <w:tc>
          <w:tcPr>
            <w:tcW w:w="3994"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The level and nature of benefits provided should reflect opportunity costs and losses incurred in avoiding deforestation</w:t>
            </w:r>
            <w:r w:rsidR="00847917">
              <w:rPr>
                <w:rFonts w:ascii="Book Antiqua" w:hAnsi="Book Antiqua" w:cs="Arial"/>
              </w:rPr>
              <w:t xml:space="preserve"> </w:t>
            </w:r>
            <w:r w:rsidR="000711A6">
              <w:rPr>
                <w:rFonts w:ascii="Book Antiqua" w:hAnsi="Book Antiqua" w:cs="Arial"/>
              </w:rPr>
              <w:t>and forest degradation, and for conservation, sustainable forest management and enhancement of carbon stocks</w:t>
            </w:r>
            <w:r w:rsidRPr="003C0FC0">
              <w:rPr>
                <w:rFonts w:ascii="Book Antiqua" w:hAnsi="Book Antiqua" w:cs="Arial"/>
              </w:rPr>
              <w:t>, both monetary and non-monetary; although it may be most practical to use a standardised formula to compute payments, this should allow for weighting to reflect variation in the costs of generating emissions reductions between different areas and groups and under different production systems and ecological conditions.</w:t>
            </w:r>
          </w:p>
        </w:tc>
      </w:tr>
      <w:tr w:rsidR="000A16F4" w:rsidRPr="005B3882">
        <w:tc>
          <w:tcPr>
            <w:tcW w:w="1006"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Pr>
                <w:rFonts w:ascii="Book Antiqua" w:hAnsi="Book Antiqua" w:cs="Arial"/>
                <w:sz w:val="22"/>
                <w:szCs w:val="22"/>
              </w:rPr>
              <w:t>Actions required to confirm policy option</w:t>
            </w:r>
          </w:p>
        </w:tc>
        <w:tc>
          <w:tcPr>
            <w:tcW w:w="3994"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Consistent with its stated goals of compensating for the provision of environmental services and stimulating sustainable</w:t>
            </w:r>
            <w:r w:rsidRPr="003C0FC0">
              <w:rPr>
                <w:rFonts w:ascii="Book Antiqua" w:hAnsi="Book Antiqua" w:cs="Arial"/>
                <w:i/>
                <w:iCs/>
                <w:lang w:val="en-GB"/>
              </w:rPr>
              <w:t xml:space="preserve"> </w:t>
            </w:r>
            <w:r w:rsidRPr="003C0FC0">
              <w:rPr>
                <w:rFonts w:ascii="Book Antiqua" w:hAnsi="Book Antiqua" w:cs="Arial"/>
                <w:lang w:val="en-GB"/>
              </w:rPr>
              <w:t>rural development, the GoV should reiterate its intention to ensure that REDD+ benefits shared with forest land and resource users will be set at equitable and effective levels.</w:t>
            </w:r>
          </w:p>
          <w:p w:rsidR="000A16F4" w:rsidRPr="003C0FC0" w:rsidRDefault="000A16F4"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Further work will require broad opportunity cost norms to be investigated for different areas, groups, production systems and ecological conditions;</w:t>
            </w:r>
          </w:p>
          <w:p w:rsidR="000A16F4" w:rsidRPr="003C0FC0" w:rsidRDefault="000A16F4"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Further work will include design of checks and balances and</w:t>
            </w:r>
            <w:r w:rsidRPr="003C0FC0">
              <w:rPr>
                <w:rFonts w:ascii="Book Antiqua" w:hAnsi="Book Antiqua" w:cs="Arial"/>
                <w:i/>
                <w:iCs/>
                <w:lang w:val="en-GB"/>
              </w:rPr>
              <w:t xml:space="preserve"> </w:t>
            </w:r>
            <w:r w:rsidRPr="003C0FC0">
              <w:rPr>
                <w:rFonts w:ascii="Book Antiqua" w:hAnsi="Book Antiqua" w:cs="Arial"/>
                <w:lang w:val="en-GB"/>
              </w:rPr>
              <w:t>guidance on calculation of payment weights (</w:t>
            </w:r>
            <w:r>
              <w:rPr>
                <w:rFonts w:ascii="Book Antiqua" w:hAnsi="Book Antiqua" w:cs="Arial"/>
                <w:lang w:val="en-GB"/>
              </w:rPr>
              <w:t xml:space="preserve">“R-Coefficients”, </w:t>
            </w:r>
            <w:r w:rsidRPr="003C0FC0">
              <w:rPr>
                <w:rFonts w:ascii="Book Antiqua" w:hAnsi="Book Antiqua" w:cs="Arial"/>
                <w:lang w:val="en-GB"/>
              </w:rPr>
              <w:t xml:space="preserve">similar to the “K-factors” used in current </w:t>
            </w:r>
            <w:r>
              <w:rPr>
                <w:rFonts w:ascii="Book Antiqua" w:hAnsi="Book Antiqua" w:cs="Arial"/>
                <w:lang w:val="en-GB"/>
              </w:rPr>
              <w:t>PFES</w:t>
            </w:r>
            <w:r w:rsidRPr="003C0FC0">
              <w:rPr>
                <w:rFonts w:ascii="Book Antiqua" w:hAnsi="Book Antiqua" w:cs="Arial"/>
                <w:lang w:val="en-GB"/>
              </w:rPr>
              <w:t xml:space="preserve"> schemes).</w:t>
            </w:r>
          </w:p>
        </w:tc>
      </w:tr>
    </w:tbl>
    <w:p w:rsidR="00A256CB" w:rsidRPr="005B3882" w:rsidRDefault="00A256CB" w:rsidP="00A256CB">
      <w:pPr>
        <w:pStyle w:val="Default"/>
        <w:jc w:val="center"/>
        <w:rPr>
          <w:rFonts w:ascii="Book Antiqua" w:hAnsi="Book Antiqua" w:cs="Arial"/>
          <w:b/>
          <w:sz w:val="22"/>
          <w:szCs w:val="22"/>
          <w:u w:val="single"/>
        </w:rPr>
      </w:pPr>
    </w:p>
    <w:p w:rsidR="00A256CB" w:rsidRPr="005B3882" w:rsidRDefault="00A256CB" w:rsidP="00A256CB">
      <w:pPr>
        <w:pStyle w:val="Default"/>
        <w:jc w:val="center"/>
        <w:rPr>
          <w:rFonts w:ascii="Book Antiqua" w:hAnsi="Book Antiqua" w:cs="Arial"/>
          <w:b/>
          <w:sz w:val="22"/>
          <w:szCs w:val="22"/>
          <w:u w:val="single"/>
        </w:rPr>
      </w:pPr>
    </w:p>
    <w:p w:rsidR="00351F2C" w:rsidRPr="005B3882" w:rsidRDefault="00351F2C" w:rsidP="00A256CB">
      <w:pPr>
        <w:pStyle w:val="Default"/>
        <w:jc w:val="center"/>
        <w:rPr>
          <w:rFonts w:ascii="Book Antiqua" w:hAnsi="Book Antiqua" w:cs="Arial"/>
          <w:b/>
          <w:sz w:val="22"/>
          <w:szCs w:val="22"/>
          <w:u w:val="single"/>
        </w:rPr>
      </w:pPr>
      <w:r w:rsidRPr="005B3882">
        <w:rPr>
          <w:rFonts w:ascii="Book Antiqua" w:hAnsi="Book Antiqua" w:cs="Arial"/>
          <w:b/>
          <w:sz w:val="22"/>
          <w:szCs w:val="22"/>
          <w:u w:val="single"/>
        </w:rPr>
        <w:t>POLICY ISSUE #7</w:t>
      </w:r>
    </w:p>
    <w:p w:rsidR="00351F2C" w:rsidRPr="005B3882" w:rsidRDefault="00351F2C" w:rsidP="00A256CB">
      <w:pPr>
        <w:pStyle w:val="Default"/>
        <w:rPr>
          <w:rFonts w:ascii="Book Antiqua" w:hAnsi="Book Antiqua" w:cs="Arial"/>
          <w:b/>
          <w:sz w:val="22"/>
          <w:szCs w:val="22"/>
        </w:rPr>
      </w:pPr>
      <w:r w:rsidRPr="005B3882">
        <w:rPr>
          <w:rFonts w:ascii="Book Antiqua" w:hAnsi="Book Antiqua" w:cs="Arial"/>
          <w:b/>
          <w:sz w:val="22"/>
          <w:szCs w:val="22"/>
        </w:rPr>
        <w:t>WHAT’S AT STAKE?</w:t>
      </w: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Existing initiatives in </w:t>
      </w:r>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xml:space="preserve"> to channel payments to rural poor have suffered from the phenomenon of “elite capture” by which influential individuals or organizations secure a disproportionate amount of the payments and the rural poor receive little or nothing.  This is reflected, for example, in the allocation of forest to households.  Entities responsible for allocation, especially SOCs, have tended to retain high value forest and allocate poor quality forest to households, especially the poorest ones.  However, initiatives such as the PFES pilot project in Lam Dong and the KfW community forestry projects have demonstrated the advantages of payments to communities, where greater equity in local payments can be achieved.  If a REDD-compliant BDS fails to address the </w:t>
      </w:r>
      <w:r w:rsidRPr="005B3882">
        <w:rPr>
          <w:rFonts w:ascii="Book Antiqua" w:hAnsi="Book Antiqua" w:cs="Arial"/>
          <w:sz w:val="22"/>
          <w:szCs w:val="22"/>
        </w:rPr>
        <w:lastRenderedPageBreak/>
        <w:t xml:space="preserve">risks and adverse consequences of elite capture, local stakeholders will lose interest in participating in </w:t>
      </w:r>
      <w:r w:rsidR="00480D3D">
        <w:rPr>
          <w:rFonts w:ascii="Book Antiqua" w:hAnsi="Book Antiqua" w:cs="Arial"/>
          <w:sz w:val="22"/>
          <w:szCs w:val="22"/>
        </w:rPr>
        <w:t>REDD+</w:t>
      </w:r>
      <w:r w:rsidRPr="005B3882">
        <w:rPr>
          <w:rFonts w:ascii="Book Antiqua" w:hAnsi="Book Antiqua" w:cs="Arial"/>
          <w:sz w:val="22"/>
          <w:szCs w:val="22"/>
        </w:rPr>
        <w:t xml:space="preserve">.  If a large number of stakeholders fail to participate, the entire </w:t>
      </w:r>
      <w:r w:rsidR="00480D3D">
        <w:rPr>
          <w:rFonts w:ascii="Book Antiqua" w:hAnsi="Book Antiqua" w:cs="Arial"/>
          <w:sz w:val="22"/>
          <w:szCs w:val="22"/>
        </w:rPr>
        <w:t>REDD+</w:t>
      </w:r>
      <w:r w:rsidRPr="005B3882">
        <w:rPr>
          <w:rFonts w:ascii="Book Antiqua" w:hAnsi="Book Antiqua" w:cs="Arial"/>
          <w:sz w:val="22"/>
          <w:szCs w:val="22"/>
        </w:rPr>
        <w:t xml:space="preserve"> system risks failure.  Careful thought should therefore be given to which forest users should be eligible to receive </w:t>
      </w:r>
      <w:r w:rsidR="00480D3D">
        <w:rPr>
          <w:rFonts w:ascii="Book Antiqua" w:hAnsi="Book Antiqua" w:cs="Arial"/>
          <w:sz w:val="22"/>
          <w:szCs w:val="22"/>
        </w:rPr>
        <w:t>REDD+</w:t>
      </w:r>
      <w:r w:rsidRPr="005B3882">
        <w:rPr>
          <w:rFonts w:ascii="Book Antiqua" w:hAnsi="Book Antiqua" w:cs="Arial"/>
          <w:sz w:val="22"/>
          <w:szCs w:val="22"/>
        </w:rPr>
        <w:t xml:space="preserve"> payments, and under which circumstances the more powerful stakeholder groups may or may not be eligible.</w:t>
      </w:r>
    </w:p>
    <w:p w:rsidR="00351F2C" w:rsidRPr="00445F77" w:rsidRDefault="00351F2C" w:rsidP="00A256CB">
      <w:pPr>
        <w:pStyle w:val="Default"/>
        <w:rPr>
          <w:rFonts w:ascii="Arial" w:hAnsi="Arial" w:cs="Arial"/>
        </w:rPr>
      </w:pPr>
    </w:p>
    <w:tbl>
      <w:tblPr>
        <w:tblW w:w="5000" w:type="pct"/>
        <w:jc w:val="right"/>
        <w:tblBorders>
          <w:insideH w:val="single" w:sz="24" w:space="0" w:color="FFFFFF"/>
          <w:insideV w:val="single" w:sz="24" w:space="0" w:color="FFFFFF"/>
        </w:tblBorders>
        <w:tblLook w:val="00A0"/>
      </w:tblPr>
      <w:tblGrid>
        <w:gridCol w:w="1684"/>
        <w:gridCol w:w="7320"/>
      </w:tblGrid>
      <w:tr w:rsidR="00351F2C" w:rsidRPr="00445F77">
        <w:trPr>
          <w:tblHeader/>
          <w:jc w:val="right"/>
        </w:trPr>
        <w:tc>
          <w:tcPr>
            <w:tcW w:w="5000" w:type="pct"/>
            <w:gridSpan w:val="2"/>
            <w:tcBorders>
              <w:top w:val="single" w:sz="24" w:space="0" w:color="FFFFFF"/>
              <w:bottom w:val="single" w:sz="24" w:space="0" w:color="FFFFFF"/>
            </w:tcBorders>
            <w:shd w:val="clear" w:color="auto" w:fill="76923C"/>
            <w:vAlign w:val="center"/>
          </w:tcPr>
          <w:p w:rsidR="00351F2C" w:rsidRPr="000A16F4" w:rsidRDefault="00351F2C" w:rsidP="005B3882">
            <w:pPr>
              <w:pStyle w:val="Default"/>
              <w:jc w:val="center"/>
              <w:rPr>
                <w:rFonts w:ascii="Book Antiqua" w:hAnsi="Book Antiqua" w:cs="Arial"/>
                <w:b/>
                <w:color w:val="FFFFFF"/>
              </w:rPr>
            </w:pPr>
            <w:r w:rsidRPr="000A16F4">
              <w:rPr>
                <w:rFonts w:ascii="Book Antiqua" w:hAnsi="Book Antiqua" w:cs="Arial"/>
                <w:b/>
                <w:color w:val="FFFFFF"/>
              </w:rPr>
              <w:t>POLICY DECISION 7</w:t>
            </w:r>
            <w:r w:rsidR="000A16F4">
              <w:rPr>
                <w:rFonts w:ascii="Book Antiqua" w:hAnsi="Book Antiqua" w:cs="Arial"/>
                <w:b/>
                <w:color w:val="FFFFFF"/>
              </w:rPr>
              <w:t xml:space="preserve"> (3.2):</w:t>
            </w:r>
          </w:p>
          <w:p w:rsidR="00351F2C" w:rsidRPr="00445F77" w:rsidRDefault="00351F2C" w:rsidP="005B3882">
            <w:pPr>
              <w:pStyle w:val="Default"/>
              <w:jc w:val="center"/>
              <w:rPr>
                <w:rFonts w:ascii="Arial" w:hAnsi="Arial" w:cs="Arial"/>
                <w:b/>
                <w:color w:val="FFFFFF"/>
              </w:rPr>
            </w:pPr>
            <w:r w:rsidRPr="000A16F4">
              <w:rPr>
                <w:rFonts w:ascii="Book Antiqua" w:hAnsi="Book Antiqua" w:cs="Arial"/>
                <w:b/>
                <w:color w:val="FFFFFF"/>
              </w:rPr>
              <w:t xml:space="preserve">TYPES OF </w:t>
            </w:r>
            <w:smartTag w:uri="urn:schemas-microsoft-com:office:smarttags" w:element="place">
              <w:r w:rsidRPr="000A16F4">
                <w:rPr>
                  <w:rFonts w:ascii="Book Antiqua" w:hAnsi="Book Antiqua" w:cs="Arial"/>
                  <w:b/>
                  <w:color w:val="FFFFFF"/>
                </w:rPr>
                <w:t>FOREST</w:t>
              </w:r>
            </w:smartTag>
            <w:r w:rsidRPr="000A16F4">
              <w:rPr>
                <w:rFonts w:ascii="Book Antiqua" w:hAnsi="Book Antiqua" w:cs="Arial"/>
                <w:b/>
                <w:color w:val="FFFFFF"/>
              </w:rPr>
              <w:t xml:space="preserve"> OWNERS ELIGIBLE TO RECEIVE </w:t>
            </w:r>
            <w:r w:rsidR="00480D3D" w:rsidRPr="000A16F4">
              <w:rPr>
                <w:rFonts w:ascii="Book Antiqua" w:hAnsi="Book Antiqua" w:cs="Arial"/>
                <w:b/>
                <w:color w:val="FFFFFF"/>
              </w:rPr>
              <w:t>REDD+</w:t>
            </w:r>
            <w:r w:rsidRPr="000A16F4">
              <w:rPr>
                <w:rFonts w:ascii="Book Antiqua" w:hAnsi="Book Antiqua" w:cs="Arial"/>
                <w:b/>
                <w:color w:val="FFFFFF"/>
              </w:rPr>
              <w:t xml:space="preserve"> BENEFITS</w:t>
            </w:r>
          </w:p>
        </w:tc>
      </w:tr>
      <w:tr w:rsidR="000A16F4" w:rsidRPr="005B3882">
        <w:trPr>
          <w:jc w:val="right"/>
        </w:trPr>
        <w:tc>
          <w:tcPr>
            <w:tcW w:w="935" w:type="pct"/>
            <w:tcBorders>
              <w:top w:val="single" w:sz="24"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Issue to be addressed</w:t>
            </w:r>
          </w:p>
        </w:tc>
        <w:tc>
          <w:tcPr>
            <w:tcW w:w="4065" w:type="pct"/>
            <w:tcBorders>
              <w:top w:val="single" w:sz="24" w:space="0" w:color="FFFFFF"/>
              <w:left w:val="single" w:sz="24" w:space="0" w:color="FFFFFF"/>
              <w:bottom w:val="single" w:sz="8" w:space="0" w:color="FFFFFF"/>
            </w:tcBorders>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 xml:space="preserve">Most benefit distribution programmes in </w:t>
            </w:r>
            <w:smartTag w:uri="urn:schemas-microsoft-com:office:smarttags" w:element="country-region">
              <w:smartTag w:uri="urn:schemas-microsoft-com:office:smarttags" w:element="place">
                <w:r w:rsidRPr="003C0FC0">
                  <w:rPr>
                    <w:rFonts w:ascii="Book Antiqua" w:hAnsi="Book Antiqua" w:cs="Arial"/>
                  </w:rPr>
                  <w:t>Viet Nam</w:t>
                </w:r>
              </w:smartTag>
            </w:smartTag>
            <w:r w:rsidRPr="003C0FC0">
              <w:rPr>
                <w:rFonts w:ascii="Book Antiqua" w:hAnsi="Book Antiqua" w:cs="Arial"/>
              </w:rPr>
              <w:t xml:space="preserve"> target payments to individual households, SOCs, and PAMBs.  However, there are problems with such an approach, including unclear, contested or overlapping rights to forest carbon and the possibility of conflict resulting from some households receiving benefits and other not.  Many of these problems of rights can be avoided by targeting benefits to village communities, which may better positioned to produce rapid gains in carbon stocks than other types of forest manager.  However, currently targeting communities faces a legal constraint as the community is not a legally recognized entity under the Civil Code.</w:t>
            </w:r>
          </w:p>
        </w:tc>
      </w:tr>
      <w:tr w:rsidR="000A16F4" w:rsidRPr="005B3882">
        <w:trPr>
          <w:jc w:val="right"/>
        </w:trPr>
        <w:tc>
          <w:tcPr>
            <w:tcW w:w="935"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Options</w:t>
            </w:r>
          </w:p>
        </w:tc>
        <w:tc>
          <w:tcPr>
            <w:tcW w:w="4065"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8227FD">
            <w:pPr>
              <w:pStyle w:val="ListParagraph"/>
              <w:numPr>
                <w:ilvl w:val="0"/>
                <w:numId w:val="105"/>
              </w:numPr>
              <w:spacing w:after="0" w:line="240" w:lineRule="auto"/>
              <w:ind w:left="161" w:hanging="220"/>
              <w:contextualSpacing w:val="0"/>
              <w:jc w:val="both"/>
              <w:rPr>
                <w:rFonts w:ascii="Book Antiqua" w:hAnsi="Book Antiqua" w:cs="Arial"/>
              </w:rPr>
            </w:pPr>
            <w:r w:rsidRPr="003C0FC0">
              <w:rPr>
                <w:rFonts w:ascii="Book Antiqua" w:hAnsi="Book Antiqua" w:cs="Arial"/>
              </w:rPr>
              <w:t>GoV continues to favor payments to SOCs, PAMBs and individual households at the risk of missing out on potential carbon gains and benefits to rural poor.</w:t>
            </w:r>
          </w:p>
          <w:p w:rsidR="000A16F4" w:rsidRPr="003C0FC0" w:rsidRDefault="000A16F4" w:rsidP="008227FD">
            <w:pPr>
              <w:pStyle w:val="ListParagraph"/>
              <w:numPr>
                <w:ilvl w:val="0"/>
                <w:numId w:val="105"/>
              </w:numPr>
              <w:spacing w:after="0" w:line="240" w:lineRule="auto"/>
              <w:ind w:left="161" w:hanging="220"/>
              <w:contextualSpacing w:val="0"/>
              <w:jc w:val="both"/>
              <w:rPr>
                <w:rFonts w:ascii="Book Antiqua" w:hAnsi="Book Antiqua" w:cs="Arial"/>
              </w:rPr>
            </w:pPr>
            <w:r w:rsidRPr="003C0FC0">
              <w:rPr>
                <w:rFonts w:ascii="Book Antiqua" w:hAnsi="Book Antiqua" w:cs="Arial"/>
              </w:rPr>
              <w:t>GoV creates a level playing field for communities by refining the legal framework and creating supportive implementation structures.</w:t>
            </w:r>
          </w:p>
          <w:p w:rsidR="000A16F4" w:rsidRPr="003C0FC0" w:rsidRDefault="000A16F4" w:rsidP="008227FD">
            <w:pPr>
              <w:pStyle w:val="ListParagraph"/>
              <w:numPr>
                <w:ilvl w:val="0"/>
                <w:numId w:val="105"/>
              </w:numPr>
              <w:spacing w:after="0" w:line="240" w:lineRule="auto"/>
              <w:ind w:left="161" w:hanging="220"/>
              <w:contextualSpacing w:val="0"/>
              <w:jc w:val="both"/>
              <w:rPr>
                <w:rFonts w:ascii="Book Antiqua" w:hAnsi="Book Antiqua" w:cs="Arial"/>
              </w:rPr>
            </w:pPr>
            <w:r w:rsidRPr="003C0FC0">
              <w:rPr>
                <w:rFonts w:ascii="Book Antiqua" w:hAnsi="Book Antiqua" w:cs="Arial"/>
              </w:rPr>
              <w:t>GoV gives priority to village communities in the distribution of REDD+ payments in order to access additional carbon finance at the international level and to contribute to poverty alleviation</w:t>
            </w:r>
          </w:p>
        </w:tc>
      </w:tr>
      <w:tr w:rsidR="000A16F4" w:rsidRPr="005B3882">
        <w:trPr>
          <w:jc w:val="right"/>
        </w:trPr>
        <w:tc>
          <w:tcPr>
            <w:tcW w:w="935"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Recommended principle or policy to be adopted</w:t>
            </w:r>
          </w:p>
        </w:tc>
        <w:tc>
          <w:tcPr>
            <w:tcW w:w="4065"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3561C4">
            <w:pPr>
              <w:spacing w:after="0" w:line="240" w:lineRule="auto"/>
              <w:jc w:val="both"/>
              <w:rPr>
                <w:rFonts w:ascii="Book Antiqua" w:hAnsi="Book Antiqua" w:cs="Arial"/>
                <w:color w:val="000000"/>
              </w:rPr>
            </w:pPr>
            <w:r w:rsidRPr="003C0FC0">
              <w:rPr>
                <w:rFonts w:ascii="Book Antiqua" w:hAnsi="Book Antiqua" w:cs="Arial"/>
                <w:color w:val="000000"/>
              </w:rPr>
              <w:t>GoV should address the legal constraints that prevent village communities being eligible to receive REDD+ payments under the same conditions as SOCs, PAMBs and individual households.  This will allow GoV to maximize the carbon revenues received from the international community and simultaneously add to the overarching goal of poverty alleviation.  The GoV should also establish a policy for PFMBs and PAMBs that</w:t>
            </w:r>
            <w:r w:rsidRPr="003C0FC0">
              <w:rPr>
                <w:rFonts w:ascii="Book Antiqua" w:hAnsi="Book Antiqua"/>
                <w:bCs/>
                <w:color w:val="000000"/>
              </w:rPr>
              <w:t xml:space="preserve"> REDD+ revenues will only lead to a reduction in state budget support if the total revenues of the PFMB or PAMB plus their “normal” level of budget support exceeds their estimated costs; whilst establishing safeguards to ensure that this does not create an adverse incentive to slow forest allocation.</w:t>
            </w:r>
          </w:p>
        </w:tc>
      </w:tr>
      <w:tr w:rsidR="000A16F4" w:rsidRPr="005B3882">
        <w:trPr>
          <w:jc w:val="right"/>
        </w:trPr>
        <w:tc>
          <w:tcPr>
            <w:tcW w:w="935"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Pr>
                <w:rFonts w:ascii="Book Antiqua" w:hAnsi="Book Antiqua" w:cs="Arial"/>
                <w:sz w:val="22"/>
                <w:szCs w:val="22"/>
              </w:rPr>
              <w:t>Actions required to confirm policy option</w:t>
            </w:r>
          </w:p>
        </w:tc>
        <w:tc>
          <w:tcPr>
            <w:tcW w:w="4065"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3561C4">
            <w:pPr>
              <w:spacing w:after="0" w:line="240" w:lineRule="auto"/>
              <w:jc w:val="both"/>
              <w:rPr>
                <w:rFonts w:ascii="Book Antiqua" w:hAnsi="Book Antiqua" w:cs="Arial"/>
              </w:rPr>
            </w:pPr>
            <w:r w:rsidRPr="003C0FC0">
              <w:rPr>
                <w:rFonts w:ascii="Book Antiqua" w:hAnsi="Book Antiqua" w:cs="Arial"/>
              </w:rPr>
              <w:t>The GoV should commission independent evaluations of experience from community forestry projects, including the community funds established under the KfW-6 project and the TFF-funded Community Forestry Pilot Programme.  The evaluations should inform the formulation of enabling legislation on community forestry and corresponding measures to strengthen the capacities of MARD to support community forestry.  In addition, together with international donors, GoV should identify a number of community forestry initiatives to serve as pilots for community-based REDD+.</w:t>
            </w:r>
          </w:p>
        </w:tc>
      </w:tr>
    </w:tbl>
    <w:p w:rsidR="00351F2C" w:rsidRPr="005B3882" w:rsidRDefault="00351F2C" w:rsidP="00A256CB">
      <w:pPr>
        <w:pStyle w:val="Default"/>
        <w:rPr>
          <w:rFonts w:ascii="Book Antiqua" w:hAnsi="Book Antiqua" w:cs="Arial"/>
          <w:sz w:val="22"/>
          <w:szCs w:val="22"/>
        </w:rPr>
      </w:pPr>
    </w:p>
    <w:p w:rsidR="003063AE" w:rsidRPr="005B3882" w:rsidRDefault="003063AE" w:rsidP="00A256CB">
      <w:pPr>
        <w:pStyle w:val="Default"/>
        <w:rPr>
          <w:rFonts w:ascii="Book Antiqua" w:hAnsi="Book Antiqua" w:cs="Arial"/>
          <w:sz w:val="22"/>
          <w:szCs w:val="22"/>
        </w:rPr>
      </w:pPr>
    </w:p>
    <w:p w:rsidR="0092792E" w:rsidRDefault="0092792E" w:rsidP="00A256CB">
      <w:pPr>
        <w:pStyle w:val="Default"/>
        <w:jc w:val="center"/>
        <w:rPr>
          <w:rFonts w:ascii="Book Antiqua" w:hAnsi="Book Antiqua" w:cs="Arial"/>
          <w:b/>
          <w:sz w:val="22"/>
          <w:szCs w:val="22"/>
          <w:u w:val="single"/>
        </w:rPr>
      </w:pPr>
    </w:p>
    <w:p w:rsidR="00351F2C" w:rsidRPr="005B3882" w:rsidRDefault="00351F2C" w:rsidP="00A256CB">
      <w:pPr>
        <w:pStyle w:val="Default"/>
        <w:jc w:val="center"/>
        <w:rPr>
          <w:rFonts w:ascii="Book Antiqua" w:hAnsi="Book Antiqua" w:cs="Arial"/>
          <w:b/>
          <w:sz w:val="22"/>
          <w:szCs w:val="22"/>
          <w:u w:val="single"/>
        </w:rPr>
      </w:pPr>
      <w:r w:rsidRPr="005B3882">
        <w:rPr>
          <w:rFonts w:ascii="Book Antiqua" w:hAnsi="Book Antiqua" w:cs="Arial"/>
          <w:b/>
          <w:sz w:val="22"/>
          <w:szCs w:val="22"/>
          <w:u w:val="single"/>
        </w:rPr>
        <w:t>POLICY ISSUE #8</w:t>
      </w:r>
    </w:p>
    <w:p w:rsidR="00351F2C" w:rsidRPr="005B3882" w:rsidRDefault="00351F2C" w:rsidP="00A256CB">
      <w:pPr>
        <w:pStyle w:val="Default"/>
        <w:rPr>
          <w:rFonts w:ascii="Book Antiqua" w:hAnsi="Book Antiqua" w:cs="Arial"/>
          <w:b/>
          <w:sz w:val="22"/>
          <w:szCs w:val="22"/>
        </w:rPr>
      </w:pPr>
      <w:r w:rsidRPr="005B3882">
        <w:rPr>
          <w:rFonts w:ascii="Book Antiqua" w:hAnsi="Book Antiqua" w:cs="Arial"/>
          <w:b/>
          <w:sz w:val="22"/>
          <w:szCs w:val="22"/>
        </w:rPr>
        <w:lastRenderedPageBreak/>
        <w:t>WHAT’S AT STAKE?</w:t>
      </w:r>
    </w:p>
    <w:p w:rsidR="00351F2C" w:rsidRPr="005B3882" w:rsidRDefault="00480D3D" w:rsidP="00A256CB">
      <w:pPr>
        <w:pStyle w:val="Default"/>
        <w:jc w:val="both"/>
        <w:rPr>
          <w:rFonts w:ascii="Book Antiqua" w:hAnsi="Book Antiqua" w:cs="Arial"/>
          <w:sz w:val="22"/>
          <w:szCs w:val="22"/>
        </w:rPr>
      </w:pPr>
      <w:r>
        <w:rPr>
          <w:rFonts w:ascii="Book Antiqua" w:hAnsi="Book Antiqua" w:cs="Arial"/>
          <w:sz w:val="22"/>
          <w:szCs w:val="22"/>
        </w:rPr>
        <w:t>REDD+</w:t>
      </w:r>
      <w:r w:rsidR="00351F2C" w:rsidRPr="005B3882">
        <w:rPr>
          <w:rFonts w:ascii="Book Antiqua" w:hAnsi="Book Antiqua" w:cs="Arial"/>
          <w:sz w:val="22"/>
          <w:szCs w:val="22"/>
        </w:rPr>
        <w:t xml:space="preserve"> requires some form of local technical support capacity to promote compliance with contracts, help prevent and resolve conflicts, and intervene to protect forest managers against powerful outsiders.  FPD is </w:t>
      </w:r>
      <w:r w:rsidR="0056739A">
        <w:rPr>
          <w:rFonts w:ascii="Book Antiqua" w:hAnsi="Book Antiqua" w:cs="Arial"/>
          <w:sz w:val="22"/>
          <w:szCs w:val="22"/>
        </w:rPr>
        <w:t xml:space="preserve">primarily </w:t>
      </w:r>
      <w:r w:rsidR="00351F2C" w:rsidRPr="005B3882">
        <w:rPr>
          <w:rFonts w:ascii="Book Antiqua" w:hAnsi="Book Antiqua" w:cs="Arial"/>
          <w:sz w:val="22"/>
          <w:szCs w:val="22"/>
        </w:rPr>
        <w:t xml:space="preserve">responsible for </w:t>
      </w:r>
      <w:r w:rsidR="0056739A">
        <w:rPr>
          <w:rFonts w:ascii="Book Antiqua" w:hAnsi="Book Antiqua" w:cs="Arial"/>
          <w:sz w:val="22"/>
          <w:szCs w:val="22"/>
        </w:rPr>
        <w:t>forest protection in Viet Nam</w:t>
      </w:r>
      <w:r w:rsidR="00351F2C" w:rsidRPr="005B3882">
        <w:rPr>
          <w:rFonts w:ascii="Book Antiqua" w:hAnsi="Book Antiqua" w:cs="Arial"/>
          <w:sz w:val="22"/>
          <w:szCs w:val="22"/>
        </w:rPr>
        <w:t xml:space="preserve">.  In practice, however, it focuses heavily on the suppression end of law enforcement, which results, on average, in about 55,000 forest crimes cases being recorded every year.  Most of these </w:t>
      </w:r>
      <w:r w:rsidR="00267325">
        <w:rPr>
          <w:rFonts w:ascii="Book Antiqua" w:hAnsi="Book Antiqua" w:cs="Arial"/>
          <w:sz w:val="22"/>
          <w:szCs w:val="22"/>
        </w:rPr>
        <w:t xml:space="preserve">do not address large-scale forest clearances, but instead </w:t>
      </w:r>
      <w:r w:rsidR="00351F2C" w:rsidRPr="005B3882">
        <w:rPr>
          <w:rFonts w:ascii="Book Antiqua" w:hAnsi="Book Antiqua" w:cs="Arial"/>
          <w:sz w:val="22"/>
          <w:szCs w:val="22"/>
        </w:rPr>
        <w:t xml:space="preserve">involve </w:t>
      </w:r>
      <w:r w:rsidR="00267325">
        <w:rPr>
          <w:rFonts w:ascii="Book Antiqua" w:hAnsi="Book Antiqua" w:cs="Arial"/>
          <w:sz w:val="22"/>
          <w:szCs w:val="22"/>
        </w:rPr>
        <w:t xml:space="preserve">forest degradation through the removal of </w:t>
      </w:r>
      <w:r w:rsidR="00351F2C" w:rsidRPr="005B3882">
        <w:rPr>
          <w:rFonts w:ascii="Book Antiqua" w:hAnsi="Book Antiqua" w:cs="Arial"/>
          <w:sz w:val="22"/>
          <w:szCs w:val="22"/>
        </w:rPr>
        <w:t>very small amounts of timber</w:t>
      </w:r>
      <w:r w:rsidR="00267325">
        <w:rPr>
          <w:rFonts w:ascii="Book Antiqua" w:hAnsi="Book Antiqua" w:cs="Arial"/>
          <w:sz w:val="22"/>
          <w:szCs w:val="22"/>
        </w:rPr>
        <w:t>;</w:t>
      </w:r>
      <w:r w:rsidR="00351F2C" w:rsidRPr="005B3882">
        <w:rPr>
          <w:rFonts w:ascii="Book Antiqua" w:hAnsi="Book Antiqua" w:cs="Arial"/>
          <w:sz w:val="22"/>
          <w:szCs w:val="22"/>
        </w:rPr>
        <w:t xml:space="preserve"> and often reflect the ambiguous nature of existing regulations that criminalize timber taken for subsistence needs.  From a </w:t>
      </w:r>
      <w:r>
        <w:rPr>
          <w:rFonts w:ascii="Book Antiqua" w:hAnsi="Book Antiqua" w:cs="Arial"/>
          <w:sz w:val="22"/>
          <w:szCs w:val="22"/>
        </w:rPr>
        <w:t>REDD+</w:t>
      </w:r>
      <w:r w:rsidR="00351F2C" w:rsidRPr="005B3882">
        <w:rPr>
          <w:rFonts w:ascii="Book Antiqua" w:hAnsi="Book Antiqua" w:cs="Arial"/>
          <w:sz w:val="22"/>
          <w:szCs w:val="22"/>
        </w:rPr>
        <w:t xml:space="preserve"> and forest conservation perspective, this approach is inadequate</w:t>
      </w:r>
      <w:r w:rsidR="00267325">
        <w:rPr>
          <w:rFonts w:ascii="Book Antiqua" w:hAnsi="Book Antiqua" w:cs="Arial"/>
          <w:sz w:val="22"/>
          <w:szCs w:val="22"/>
        </w:rPr>
        <w:t>;</w:t>
      </w:r>
      <w:r w:rsidR="00351F2C" w:rsidRPr="005B3882">
        <w:rPr>
          <w:rFonts w:ascii="Book Antiqua" w:hAnsi="Book Antiqua" w:cs="Arial"/>
          <w:sz w:val="22"/>
          <w:szCs w:val="22"/>
        </w:rPr>
        <w:t xml:space="preserve"> the risk of detection is so low and the punishment so light, that there is no effective deterrent against further illegal activities.  The </w:t>
      </w:r>
      <w:r>
        <w:rPr>
          <w:rFonts w:ascii="Book Antiqua" w:hAnsi="Book Antiqua" w:cs="Arial"/>
          <w:sz w:val="22"/>
          <w:szCs w:val="22"/>
        </w:rPr>
        <w:t>REDD+</w:t>
      </w:r>
      <w:r w:rsidR="00351F2C" w:rsidRPr="005B3882">
        <w:rPr>
          <w:rFonts w:ascii="Book Antiqua" w:hAnsi="Book Antiqua" w:cs="Arial"/>
          <w:sz w:val="22"/>
          <w:szCs w:val="22"/>
        </w:rPr>
        <w:t xml:space="preserve"> and Forest Law Enforcement and Governance (FLEG) agendas are therefore two sides of the same coin.  </w:t>
      </w:r>
    </w:p>
    <w:p w:rsidR="00351F2C" w:rsidRPr="00445F77" w:rsidRDefault="00351F2C" w:rsidP="00A256CB">
      <w:pPr>
        <w:pStyle w:val="Default"/>
        <w:rPr>
          <w:rFonts w:ascii="Arial" w:hAnsi="Arial" w:cs="Arial"/>
        </w:rPr>
      </w:pPr>
    </w:p>
    <w:tbl>
      <w:tblPr>
        <w:tblW w:w="5000" w:type="pct"/>
        <w:jc w:val="right"/>
        <w:tblBorders>
          <w:insideH w:val="single" w:sz="24" w:space="0" w:color="FFFFFF"/>
          <w:insideV w:val="single" w:sz="24" w:space="0" w:color="FFFFFF"/>
        </w:tblBorders>
        <w:tblLook w:val="00A0"/>
      </w:tblPr>
      <w:tblGrid>
        <w:gridCol w:w="1684"/>
        <w:gridCol w:w="7320"/>
      </w:tblGrid>
      <w:tr w:rsidR="00351F2C" w:rsidRPr="00445F77">
        <w:trPr>
          <w:tblHeader/>
          <w:jc w:val="right"/>
        </w:trPr>
        <w:tc>
          <w:tcPr>
            <w:tcW w:w="5000" w:type="pct"/>
            <w:gridSpan w:val="2"/>
            <w:tcBorders>
              <w:top w:val="single" w:sz="24" w:space="0" w:color="FFFFFF"/>
              <w:bottom w:val="single" w:sz="24" w:space="0" w:color="FFFFFF"/>
            </w:tcBorders>
            <w:shd w:val="clear" w:color="auto" w:fill="76923C"/>
            <w:vAlign w:val="center"/>
          </w:tcPr>
          <w:p w:rsidR="00351F2C" w:rsidRPr="000A16F4" w:rsidRDefault="00351F2C" w:rsidP="005B3882">
            <w:pPr>
              <w:pStyle w:val="Default"/>
              <w:jc w:val="center"/>
              <w:rPr>
                <w:rFonts w:ascii="Book Antiqua" w:hAnsi="Book Antiqua" w:cs="Arial"/>
                <w:b/>
                <w:color w:val="FFFFFF"/>
              </w:rPr>
            </w:pPr>
            <w:r w:rsidRPr="000A16F4">
              <w:rPr>
                <w:rFonts w:ascii="Book Antiqua" w:hAnsi="Book Antiqua" w:cs="Arial"/>
                <w:b/>
                <w:color w:val="FFFFFF"/>
              </w:rPr>
              <w:t>POLICY DECISION 8</w:t>
            </w:r>
            <w:r w:rsidR="000A16F4">
              <w:rPr>
                <w:rFonts w:ascii="Book Antiqua" w:hAnsi="Book Antiqua" w:cs="Arial"/>
                <w:b/>
                <w:color w:val="FFFFFF"/>
              </w:rPr>
              <w:t xml:space="preserve"> (3.4):</w:t>
            </w:r>
          </w:p>
          <w:p w:rsidR="00351F2C" w:rsidRPr="00445F77" w:rsidRDefault="00351F2C" w:rsidP="005B3882">
            <w:pPr>
              <w:pStyle w:val="Default"/>
              <w:jc w:val="center"/>
              <w:rPr>
                <w:rFonts w:ascii="Arial" w:hAnsi="Arial" w:cs="Arial"/>
                <w:b/>
                <w:color w:val="FFFFFF"/>
              </w:rPr>
            </w:pPr>
            <w:r w:rsidRPr="000A16F4">
              <w:rPr>
                <w:rFonts w:ascii="Book Antiqua" w:hAnsi="Book Antiqua" w:cs="Arial"/>
                <w:b/>
                <w:color w:val="FFFFFF"/>
              </w:rPr>
              <w:t>STRENGTHENED LAW ENFORCEMENT FOR PERFORMANCE-BASED DISTRIBUTION</w:t>
            </w:r>
          </w:p>
        </w:tc>
      </w:tr>
      <w:tr w:rsidR="000A16F4" w:rsidRPr="005B3882">
        <w:trPr>
          <w:jc w:val="right"/>
        </w:trPr>
        <w:tc>
          <w:tcPr>
            <w:tcW w:w="935" w:type="pct"/>
            <w:tcBorders>
              <w:top w:val="single" w:sz="24"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Issue to be addressed</w:t>
            </w:r>
          </w:p>
        </w:tc>
        <w:tc>
          <w:tcPr>
            <w:tcW w:w="4065" w:type="pct"/>
            <w:tcBorders>
              <w:top w:val="single" w:sz="24" w:space="0" w:color="FFFFFF"/>
              <w:left w:val="single" w:sz="24" w:space="0" w:color="FFFFFF"/>
              <w:bottom w:val="single" w:sz="8" w:space="0" w:color="FFFFFF"/>
            </w:tcBorders>
            <w:shd w:val="clear" w:color="auto" w:fill="D6E3BC"/>
            <w:vAlign w:val="center"/>
          </w:tcPr>
          <w:p w:rsidR="000A16F4" w:rsidRPr="003C0FC0" w:rsidRDefault="000A16F4" w:rsidP="000A16F4">
            <w:pPr>
              <w:spacing w:after="0" w:line="240" w:lineRule="auto"/>
              <w:jc w:val="both"/>
              <w:rPr>
                <w:rFonts w:ascii="Book Antiqua" w:hAnsi="Book Antiqua" w:cs="Arial"/>
              </w:rPr>
            </w:pPr>
            <w:r w:rsidRPr="003C0FC0">
              <w:rPr>
                <w:rFonts w:ascii="Book Antiqua" w:hAnsi="Book Antiqua" w:cs="Arial"/>
              </w:rPr>
              <w:t xml:space="preserve">Forest law enforcement continues to be weak in </w:t>
            </w:r>
            <w:smartTag w:uri="urn:schemas-microsoft-com:office:smarttags" w:element="country-region">
              <w:smartTag w:uri="urn:schemas-microsoft-com:office:smarttags" w:element="place">
                <w:r w:rsidRPr="003C0FC0">
                  <w:rPr>
                    <w:rFonts w:ascii="Book Antiqua" w:hAnsi="Book Antiqua" w:cs="Arial"/>
                  </w:rPr>
                  <w:t>Viet Nam</w:t>
                </w:r>
              </w:smartTag>
            </w:smartTag>
            <w:r w:rsidRPr="003C0FC0">
              <w:rPr>
                <w:rFonts w:ascii="Book Antiqua" w:hAnsi="Book Antiqua" w:cs="Arial"/>
              </w:rPr>
              <w:t>.  In particular, issues such as illegal logging and encroachment have the effect of counteracting other initiatives undertaken to reduce emissions.  Without more effective forest law enforcement, the risk exists that stakeholders who are successful in reducing emissions go unrewarded due to the non-performance of others who are responsible for illegal activities.</w:t>
            </w:r>
          </w:p>
        </w:tc>
      </w:tr>
      <w:tr w:rsidR="000A16F4" w:rsidRPr="005B3882">
        <w:trPr>
          <w:jc w:val="right"/>
        </w:trPr>
        <w:tc>
          <w:tcPr>
            <w:tcW w:w="935"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Options</w:t>
            </w:r>
          </w:p>
        </w:tc>
        <w:tc>
          <w:tcPr>
            <w:tcW w:w="4065"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8227FD">
            <w:pPr>
              <w:pStyle w:val="ListParagraph"/>
              <w:numPr>
                <w:ilvl w:val="0"/>
                <w:numId w:val="106"/>
              </w:numPr>
              <w:tabs>
                <w:tab w:val="left" w:pos="251"/>
              </w:tabs>
              <w:spacing w:after="0" w:line="240" w:lineRule="auto"/>
              <w:ind w:left="251" w:hanging="310"/>
              <w:contextualSpacing w:val="0"/>
              <w:jc w:val="both"/>
              <w:rPr>
                <w:rFonts w:ascii="Book Antiqua" w:hAnsi="Book Antiqua" w:cs="Arial"/>
              </w:rPr>
            </w:pPr>
            <w:r w:rsidRPr="003C0FC0">
              <w:rPr>
                <w:rFonts w:ascii="Book Antiqua" w:hAnsi="Book Antiqua" w:cs="Arial"/>
              </w:rPr>
              <w:t>GoV accepts that payments to stakeholders who undertake REDD+ interventions are diluted or possibly eliminated due to non-performance of others under the current forest law enforcement regime.</w:t>
            </w:r>
          </w:p>
          <w:p w:rsidR="000A16F4" w:rsidRPr="003C0FC0" w:rsidRDefault="000A16F4" w:rsidP="008227FD">
            <w:pPr>
              <w:pStyle w:val="ListParagraph"/>
              <w:numPr>
                <w:ilvl w:val="0"/>
                <w:numId w:val="106"/>
              </w:numPr>
              <w:tabs>
                <w:tab w:val="left" w:pos="251"/>
              </w:tabs>
              <w:spacing w:after="0" w:line="240" w:lineRule="auto"/>
              <w:ind w:left="251" w:hanging="310"/>
              <w:contextualSpacing w:val="0"/>
              <w:jc w:val="both"/>
              <w:rPr>
                <w:rFonts w:ascii="Book Antiqua" w:hAnsi="Book Antiqua" w:cs="Arial"/>
              </w:rPr>
            </w:pPr>
            <w:r w:rsidRPr="003C0FC0">
              <w:rPr>
                <w:rFonts w:ascii="Book Antiqua" w:hAnsi="Book Antiqua" w:cs="Arial"/>
              </w:rPr>
              <w:t>GoV develops operational structures that offer effective law enforcement to households and communities</w:t>
            </w:r>
          </w:p>
        </w:tc>
      </w:tr>
      <w:tr w:rsidR="000A16F4" w:rsidRPr="005B3882">
        <w:trPr>
          <w:jc w:val="right"/>
        </w:trPr>
        <w:tc>
          <w:tcPr>
            <w:tcW w:w="935"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sidRPr="005B3882">
              <w:rPr>
                <w:rFonts w:ascii="Book Antiqua" w:hAnsi="Book Antiqua" w:cs="Arial"/>
                <w:sz w:val="22"/>
                <w:szCs w:val="22"/>
              </w:rPr>
              <w:t>Recommended principle or policy to be adopted</w:t>
            </w:r>
          </w:p>
        </w:tc>
        <w:tc>
          <w:tcPr>
            <w:tcW w:w="4065"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0A16F4">
            <w:pPr>
              <w:spacing w:after="0" w:line="240" w:lineRule="auto"/>
              <w:jc w:val="both"/>
              <w:rPr>
                <w:rFonts w:ascii="Book Antiqua" w:hAnsi="Book Antiqua" w:cs="Arial"/>
              </w:rPr>
            </w:pPr>
            <w:r w:rsidRPr="003C0FC0">
              <w:rPr>
                <w:rFonts w:ascii="Book Antiqua" w:hAnsi="Book Antiqua" w:cs="Arial"/>
              </w:rPr>
              <w:t>GoV should develop operational structures for effective forest law enforcement in the medium term.  These will most likely include a Central Forest Inspectorate with a hotline for reports on illegal operations and complaints about local law enforcement activities.  In the short term, GoV may have to define the conditions (such as timely reporting) under which payment recipients are exempt from liability for non-performance due to factors beyond their control.</w:t>
            </w:r>
          </w:p>
        </w:tc>
      </w:tr>
      <w:tr w:rsidR="000A16F4" w:rsidRPr="005B3882">
        <w:trPr>
          <w:jc w:val="right"/>
        </w:trPr>
        <w:tc>
          <w:tcPr>
            <w:tcW w:w="935" w:type="pct"/>
            <w:tcBorders>
              <w:top w:val="single" w:sz="8" w:space="0" w:color="FFFFFF"/>
              <w:bottom w:val="single" w:sz="8" w:space="0" w:color="FFFFFF"/>
              <w:right w:val="single" w:sz="24" w:space="0" w:color="FFFFFF"/>
            </w:tcBorders>
            <w:shd w:val="clear" w:color="auto" w:fill="C2D69B"/>
            <w:vAlign w:val="center"/>
          </w:tcPr>
          <w:p w:rsidR="000A16F4" w:rsidRPr="005B3882" w:rsidRDefault="000A16F4" w:rsidP="00A256CB">
            <w:pPr>
              <w:pStyle w:val="Default"/>
              <w:rPr>
                <w:rFonts w:ascii="Book Antiqua" w:hAnsi="Book Antiqua" w:cs="Arial"/>
                <w:sz w:val="22"/>
                <w:szCs w:val="22"/>
              </w:rPr>
            </w:pPr>
            <w:r>
              <w:rPr>
                <w:rFonts w:ascii="Book Antiqua" w:hAnsi="Book Antiqua" w:cs="Arial"/>
                <w:sz w:val="22"/>
                <w:szCs w:val="22"/>
              </w:rPr>
              <w:t>Actions required to confirm policy option</w:t>
            </w:r>
          </w:p>
        </w:tc>
        <w:tc>
          <w:tcPr>
            <w:tcW w:w="4065" w:type="pct"/>
            <w:tcBorders>
              <w:top w:val="single" w:sz="8" w:space="0" w:color="FFFFFF"/>
              <w:left w:val="single" w:sz="24" w:space="0" w:color="FFFFFF"/>
              <w:bottom w:val="single" w:sz="8" w:space="0" w:color="FFFFFF"/>
            </w:tcBorders>
            <w:shd w:val="clear" w:color="auto" w:fill="D6E3BC"/>
            <w:vAlign w:val="center"/>
          </w:tcPr>
          <w:p w:rsidR="000A16F4" w:rsidRPr="003C0FC0" w:rsidRDefault="000A16F4" w:rsidP="000A16F4">
            <w:pPr>
              <w:spacing w:after="0" w:line="240" w:lineRule="auto"/>
              <w:jc w:val="both"/>
              <w:rPr>
                <w:rFonts w:ascii="Book Antiqua" w:hAnsi="Book Antiqua" w:cs="Arial"/>
              </w:rPr>
            </w:pPr>
            <w:r w:rsidRPr="003C0FC0">
              <w:rPr>
                <w:rFonts w:ascii="Book Antiqua" w:hAnsi="Book Antiqua" w:cs="Arial"/>
              </w:rPr>
              <w:t>Recent experiences with community-based law enforcement require assessment and translation into national regulations.  The new General Department of Forestry and forest protection units at the district and provincial levels will need technical assistance to improve their law enforcement capacities.  The REDD+ pilots should make appropriate law enforcement a central component of project design from the beginning.  They will indicate ways to determine the liability of forest managers under different circumstances</w:t>
            </w:r>
          </w:p>
        </w:tc>
      </w:tr>
    </w:tbl>
    <w:p w:rsidR="00351F2C" w:rsidRPr="005B3882" w:rsidRDefault="00351F2C" w:rsidP="00A256CB">
      <w:pPr>
        <w:pStyle w:val="Default"/>
        <w:rPr>
          <w:rFonts w:ascii="Book Antiqua" w:hAnsi="Book Antiqua" w:cs="Arial"/>
          <w:sz w:val="22"/>
          <w:szCs w:val="22"/>
        </w:rPr>
      </w:pPr>
    </w:p>
    <w:p w:rsidR="00351F2C" w:rsidRPr="005B3882" w:rsidRDefault="00351F2C" w:rsidP="00A256CB">
      <w:pPr>
        <w:pStyle w:val="Default"/>
        <w:jc w:val="center"/>
        <w:rPr>
          <w:rFonts w:ascii="Book Antiqua" w:hAnsi="Book Antiqua" w:cs="Arial"/>
          <w:b/>
          <w:sz w:val="22"/>
          <w:szCs w:val="22"/>
          <w:u w:val="single"/>
        </w:rPr>
      </w:pPr>
      <w:r w:rsidRPr="005B3882">
        <w:rPr>
          <w:rFonts w:ascii="Book Antiqua" w:hAnsi="Book Antiqua" w:cs="Arial"/>
          <w:b/>
          <w:sz w:val="22"/>
          <w:szCs w:val="22"/>
          <w:u w:val="single"/>
        </w:rPr>
        <w:t>POLICY ISSUE #9</w:t>
      </w:r>
    </w:p>
    <w:p w:rsidR="00351F2C" w:rsidRPr="005B3882" w:rsidRDefault="00351F2C" w:rsidP="00A256CB">
      <w:pPr>
        <w:pStyle w:val="Default"/>
        <w:rPr>
          <w:rFonts w:ascii="Book Antiqua" w:hAnsi="Book Antiqua" w:cs="Arial"/>
          <w:b/>
          <w:sz w:val="22"/>
          <w:szCs w:val="22"/>
        </w:rPr>
      </w:pPr>
      <w:r w:rsidRPr="005B3882">
        <w:rPr>
          <w:rFonts w:ascii="Book Antiqua" w:hAnsi="Book Antiqua" w:cs="Arial"/>
          <w:b/>
          <w:sz w:val="22"/>
          <w:szCs w:val="22"/>
        </w:rPr>
        <w:t>WHAT’S AT STAKE?</w:t>
      </w: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The principles that will determine the international acceptability of </w:t>
      </w:r>
      <w:r w:rsidR="00480D3D">
        <w:rPr>
          <w:rFonts w:ascii="Book Antiqua" w:hAnsi="Book Antiqua" w:cs="Arial"/>
          <w:sz w:val="22"/>
          <w:szCs w:val="22"/>
        </w:rPr>
        <w:t>REDD+</w:t>
      </w:r>
      <w:r w:rsidRPr="005B3882">
        <w:rPr>
          <w:rFonts w:ascii="Book Antiqua" w:hAnsi="Book Antiqua" w:cs="Arial"/>
          <w:sz w:val="22"/>
          <w:szCs w:val="22"/>
        </w:rPr>
        <w:t xml:space="preserve"> are those that will confirm its effectiveness in reducing emissions.  In particular, the principles of performance, additionality, equity, and transparency must be demonstrated.  A REDD-</w:t>
      </w:r>
      <w:r w:rsidRPr="005B3882">
        <w:rPr>
          <w:rFonts w:ascii="Book Antiqua" w:hAnsi="Book Antiqua" w:cs="Arial"/>
          <w:sz w:val="22"/>
          <w:szCs w:val="22"/>
        </w:rPr>
        <w:lastRenderedPageBreak/>
        <w:t xml:space="preserve">compliant BDS must satisfy each of these principles, and monitoring provides the basis for demonstrating that each principle has been satisfactorily addressed. </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The term “participatory monitoring” describes activities that involve local people who have, in a number of cases, demonstrated that they can cost-effectively record information about their landscape on a systematic basis.  For example, participatory monitoring of timber and non-timber forest products has used vegetation samples, transects, fire calendars, field diaries, community workshops, rainfall measurements, etc.  Many of these methods are relevant to </w:t>
      </w:r>
      <w:r w:rsidR="00480D3D">
        <w:rPr>
          <w:rFonts w:ascii="Book Antiqua" w:hAnsi="Book Antiqua" w:cs="Arial"/>
          <w:sz w:val="22"/>
          <w:szCs w:val="22"/>
        </w:rPr>
        <w:t>REDD+</w:t>
      </w:r>
      <w:r w:rsidRPr="005B3882">
        <w:rPr>
          <w:rFonts w:ascii="Book Antiqua" w:hAnsi="Book Antiqua" w:cs="Arial"/>
          <w:sz w:val="22"/>
          <w:szCs w:val="22"/>
        </w:rPr>
        <w:t xml:space="preserve">.  Experience shows that monitoring creates a culture of questioning and acts as a catalyst for learning about the landscape and the cycle of planning, action, and assessment.  For </w:t>
      </w:r>
      <w:r w:rsidR="00480D3D">
        <w:rPr>
          <w:rFonts w:ascii="Book Antiqua" w:hAnsi="Book Antiqua" w:cs="Arial"/>
          <w:sz w:val="22"/>
          <w:szCs w:val="22"/>
        </w:rPr>
        <w:t>REDD+</w:t>
      </w:r>
      <w:r w:rsidRPr="005B3882">
        <w:rPr>
          <w:rFonts w:ascii="Book Antiqua" w:hAnsi="Book Antiqua" w:cs="Arial"/>
          <w:sz w:val="22"/>
          <w:szCs w:val="22"/>
        </w:rPr>
        <w:t xml:space="preserve">, monitoring is an essential way to check on compliance and identify enforcement requirements.  </w:t>
      </w:r>
    </w:p>
    <w:p w:rsidR="00351F2C" w:rsidRPr="00445F77" w:rsidRDefault="00351F2C" w:rsidP="00A256CB">
      <w:pPr>
        <w:pStyle w:val="Default"/>
        <w:rPr>
          <w:rFonts w:ascii="Arial" w:hAnsi="Arial" w:cs="Arial"/>
        </w:rPr>
      </w:pPr>
    </w:p>
    <w:tbl>
      <w:tblPr>
        <w:tblpPr w:leftFromText="180" w:rightFromText="180" w:vertAnchor="text"/>
        <w:tblW w:w="5000" w:type="pct"/>
        <w:tblCellMar>
          <w:left w:w="0" w:type="dxa"/>
          <w:right w:w="0" w:type="dxa"/>
        </w:tblCellMar>
        <w:tblLook w:val="00A0"/>
      </w:tblPr>
      <w:tblGrid>
        <w:gridCol w:w="1812"/>
        <w:gridCol w:w="7192"/>
      </w:tblGrid>
      <w:tr w:rsidR="00351F2C" w:rsidRPr="00445F77">
        <w:trPr>
          <w:tblHeader/>
        </w:trPr>
        <w:tc>
          <w:tcPr>
            <w:tcW w:w="5000" w:type="pct"/>
            <w:gridSpan w:val="2"/>
            <w:tcBorders>
              <w:top w:val="single" w:sz="24" w:space="0" w:color="FFFFFF"/>
              <w:left w:val="nil"/>
              <w:bottom w:val="single" w:sz="24" w:space="0" w:color="FFFFFF"/>
              <w:right w:val="nil"/>
            </w:tcBorders>
            <w:shd w:val="clear" w:color="auto" w:fill="76923C"/>
            <w:tcMar>
              <w:top w:w="0" w:type="dxa"/>
              <w:left w:w="108" w:type="dxa"/>
              <w:bottom w:w="0" w:type="dxa"/>
              <w:right w:w="108" w:type="dxa"/>
            </w:tcMar>
            <w:vAlign w:val="center"/>
          </w:tcPr>
          <w:p w:rsidR="00351F2C" w:rsidRPr="000A16F4" w:rsidRDefault="00351F2C" w:rsidP="005B3882">
            <w:pPr>
              <w:pStyle w:val="Default"/>
              <w:jc w:val="center"/>
              <w:rPr>
                <w:rFonts w:ascii="Book Antiqua" w:hAnsi="Book Antiqua" w:cs="Arial"/>
                <w:b/>
                <w:color w:val="FFFFFF"/>
              </w:rPr>
            </w:pPr>
            <w:r w:rsidRPr="000A16F4">
              <w:rPr>
                <w:rFonts w:ascii="Book Antiqua" w:hAnsi="Book Antiqua" w:cs="Arial"/>
                <w:b/>
                <w:color w:val="FFFFFF"/>
              </w:rPr>
              <w:t>POLICY DECISION 9</w:t>
            </w:r>
            <w:r w:rsidR="000A16F4">
              <w:rPr>
                <w:rFonts w:ascii="Book Antiqua" w:hAnsi="Book Antiqua" w:cs="Arial"/>
                <w:b/>
                <w:color w:val="FFFFFF"/>
              </w:rPr>
              <w:t xml:space="preserve"> (7.1):</w:t>
            </w:r>
          </w:p>
          <w:p w:rsidR="00351F2C" w:rsidRPr="00445F77" w:rsidRDefault="00351F2C" w:rsidP="005B3882">
            <w:pPr>
              <w:pStyle w:val="Default"/>
              <w:jc w:val="center"/>
              <w:rPr>
                <w:rFonts w:ascii="Arial" w:hAnsi="Arial" w:cs="Arial"/>
                <w:color w:val="FFFFFF"/>
              </w:rPr>
            </w:pPr>
            <w:r w:rsidRPr="000A16F4">
              <w:rPr>
                <w:rFonts w:ascii="Book Antiqua" w:hAnsi="Book Antiqua" w:cs="Arial"/>
                <w:b/>
                <w:color w:val="FFFFFF"/>
              </w:rPr>
              <w:t>PARTICIPATORY MONITORING</w:t>
            </w:r>
          </w:p>
        </w:tc>
      </w:tr>
      <w:tr w:rsidR="00351F2C" w:rsidRPr="005B3882">
        <w:tc>
          <w:tcPr>
            <w:tcW w:w="1006"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351F2C" w:rsidRPr="005B3882" w:rsidRDefault="00351F2C" w:rsidP="00A256CB">
            <w:pPr>
              <w:pStyle w:val="Default"/>
              <w:rPr>
                <w:rFonts w:ascii="Book Antiqua" w:hAnsi="Book Antiqua" w:cs="Arial"/>
                <w:sz w:val="22"/>
                <w:szCs w:val="22"/>
              </w:rPr>
            </w:pPr>
            <w:r w:rsidRPr="005B3882">
              <w:rPr>
                <w:rFonts w:ascii="Book Antiqua" w:hAnsi="Book Antiqua" w:cs="Arial"/>
                <w:sz w:val="22"/>
                <w:szCs w:val="22"/>
              </w:rPr>
              <w:t>Issue to be addressed</w:t>
            </w:r>
          </w:p>
        </w:tc>
        <w:tc>
          <w:tcPr>
            <w:tcW w:w="3994"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Local people can efficiently record information about numerous variables and events affecting their livelihoods.  Participatory monitoring creates a culture of questioning (or social control) and acts as a catalyst for learning about the landscape and the cycle of planning, action, assessment, and learning.  Participatory monitoring also builds confidence in the overall system and a sense of equity and transparency.</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color w:val="FF0000"/>
                <w:sz w:val="22"/>
                <w:szCs w:val="22"/>
              </w:rPr>
            </w:pPr>
            <w:r w:rsidRPr="005B3882">
              <w:rPr>
                <w:rFonts w:ascii="Book Antiqua" w:hAnsi="Book Antiqua" w:cs="Arial"/>
                <w:sz w:val="22"/>
                <w:szCs w:val="22"/>
              </w:rPr>
              <w:t xml:space="preserve">Local people can play a role in monitoring emissions, but are especially valuable in identifying, reporting, and enforcing the interventions and tasks required for </w:t>
            </w:r>
            <w:r w:rsidR="00480D3D">
              <w:rPr>
                <w:rFonts w:ascii="Book Antiqua" w:hAnsi="Book Antiqua" w:cs="Arial"/>
                <w:sz w:val="22"/>
                <w:szCs w:val="22"/>
              </w:rPr>
              <w:t>REDD+</w:t>
            </w:r>
            <w:r w:rsidRPr="005B3882">
              <w:rPr>
                <w:rFonts w:ascii="Book Antiqua" w:hAnsi="Book Antiqua" w:cs="Arial"/>
                <w:sz w:val="22"/>
                <w:szCs w:val="22"/>
              </w:rPr>
              <w:t xml:space="preserve">.  Participatory monitoring will strengthen their understanding and commitment while providing a degree of comfort to investors that </w:t>
            </w:r>
            <w:r w:rsidR="00480D3D">
              <w:rPr>
                <w:rFonts w:ascii="Book Antiqua" w:hAnsi="Book Antiqua" w:cs="Arial"/>
                <w:sz w:val="22"/>
                <w:szCs w:val="22"/>
              </w:rPr>
              <w:t>REDD+</w:t>
            </w:r>
            <w:r w:rsidRPr="005B3882">
              <w:rPr>
                <w:rFonts w:ascii="Book Antiqua" w:hAnsi="Book Antiqua" w:cs="Arial"/>
                <w:sz w:val="22"/>
                <w:szCs w:val="22"/>
              </w:rPr>
              <w:t xml:space="preserve"> is sustainable.  Participatory monitoring may add value to the carbon offsets generated. </w:t>
            </w:r>
            <w:r w:rsidRPr="005B3882">
              <w:rPr>
                <w:rFonts w:ascii="Book Antiqua" w:hAnsi="Book Antiqua" w:cs="Arial"/>
                <w:color w:val="auto"/>
                <w:sz w:val="22"/>
                <w:szCs w:val="22"/>
              </w:rPr>
              <w:t xml:space="preserve"> However, GoV has limited experience with participatory forest monitoring approaches.</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There is a wide range of approaches that have been tried for local people to participate in monitoring.  At this stage no preferred method has been identified.</w:t>
            </w:r>
          </w:p>
        </w:tc>
      </w:tr>
      <w:tr w:rsidR="00351F2C" w:rsidRPr="005B3882">
        <w:tc>
          <w:tcPr>
            <w:tcW w:w="1006"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351F2C" w:rsidRPr="005B3882" w:rsidRDefault="00351F2C" w:rsidP="00A256CB">
            <w:pPr>
              <w:pStyle w:val="Default"/>
              <w:rPr>
                <w:rFonts w:ascii="Book Antiqua" w:hAnsi="Book Antiqua" w:cs="Arial"/>
                <w:sz w:val="22"/>
                <w:szCs w:val="22"/>
              </w:rPr>
            </w:pPr>
            <w:r w:rsidRPr="005B3882">
              <w:rPr>
                <w:rFonts w:ascii="Book Antiqua" w:hAnsi="Book Antiqua" w:cs="Arial"/>
                <w:sz w:val="22"/>
                <w:szCs w:val="22"/>
              </w:rPr>
              <w:t>Options</w:t>
            </w:r>
          </w:p>
        </w:tc>
        <w:tc>
          <w:tcPr>
            <w:tcW w:w="3994"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103E2D" w:rsidRPr="003C0FC0" w:rsidRDefault="00103E2D" w:rsidP="008227FD">
            <w:pPr>
              <w:pStyle w:val="ListParagraph"/>
              <w:numPr>
                <w:ilvl w:val="0"/>
                <w:numId w:val="138"/>
              </w:numPr>
              <w:spacing w:after="0" w:line="240" w:lineRule="auto"/>
              <w:ind w:left="258" w:hanging="270"/>
              <w:jc w:val="both"/>
              <w:rPr>
                <w:rFonts w:ascii="Book Antiqua" w:hAnsi="Book Antiqua" w:cs="Arial"/>
                <w:lang w:val="en-GB"/>
              </w:rPr>
            </w:pPr>
            <w:r w:rsidRPr="003C0FC0">
              <w:rPr>
                <w:rFonts w:ascii="Book Antiqua" w:hAnsi="Book Antiqua" w:cs="Arial"/>
                <w:lang w:val="en-GB"/>
              </w:rPr>
              <w:t xml:space="preserve">Participatory monitoring; bringing the advantages of community engagement and ensuring the involvement of a critical stakeholder at the local level; or </w:t>
            </w:r>
          </w:p>
          <w:p w:rsidR="00351F2C" w:rsidRPr="005B3882" w:rsidRDefault="00103E2D" w:rsidP="008227FD">
            <w:pPr>
              <w:pStyle w:val="Default"/>
              <w:numPr>
                <w:ilvl w:val="0"/>
                <w:numId w:val="138"/>
              </w:numPr>
              <w:ind w:left="258" w:hanging="270"/>
              <w:jc w:val="both"/>
              <w:rPr>
                <w:rFonts w:ascii="Book Antiqua" w:hAnsi="Book Antiqua" w:cs="Arial"/>
                <w:sz w:val="22"/>
                <w:szCs w:val="22"/>
              </w:rPr>
            </w:pPr>
            <w:r w:rsidRPr="003C0FC0">
              <w:rPr>
                <w:rFonts w:ascii="Book Antiqua" w:hAnsi="Book Antiqua" w:cs="Arial"/>
                <w:lang w:val="en-GB"/>
              </w:rPr>
              <w:t>Non-participatory monitoring by parties and persons from outside the local area</w:t>
            </w:r>
          </w:p>
        </w:tc>
      </w:tr>
      <w:tr w:rsidR="00351F2C" w:rsidRPr="005B3882">
        <w:tc>
          <w:tcPr>
            <w:tcW w:w="1006"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351F2C" w:rsidRPr="005B3882" w:rsidRDefault="00351F2C" w:rsidP="00A256CB">
            <w:pPr>
              <w:pStyle w:val="Default"/>
              <w:rPr>
                <w:rFonts w:ascii="Book Antiqua" w:hAnsi="Book Antiqua" w:cs="Arial"/>
                <w:sz w:val="22"/>
                <w:szCs w:val="22"/>
              </w:rPr>
            </w:pPr>
            <w:r w:rsidRPr="005B3882">
              <w:rPr>
                <w:rFonts w:ascii="Book Antiqua" w:hAnsi="Book Antiqua" w:cs="Arial"/>
                <w:sz w:val="22"/>
                <w:szCs w:val="22"/>
              </w:rPr>
              <w:t>Recommended principle or policy to be adopted</w:t>
            </w:r>
          </w:p>
        </w:tc>
        <w:tc>
          <w:tcPr>
            <w:tcW w:w="3994"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351F2C" w:rsidRPr="005B3882" w:rsidRDefault="00103E2D" w:rsidP="008E7F87">
            <w:pPr>
              <w:pStyle w:val="Default"/>
              <w:jc w:val="both"/>
              <w:rPr>
                <w:rFonts w:ascii="Book Antiqua" w:hAnsi="Book Antiqua" w:cs="Arial"/>
                <w:sz w:val="22"/>
                <w:szCs w:val="22"/>
              </w:rPr>
            </w:pPr>
            <w:r>
              <w:rPr>
                <w:rFonts w:ascii="Book Antiqua" w:hAnsi="Book Antiqua" w:cs="Arial"/>
                <w:sz w:val="22"/>
                <w:szCs w:val="22"/>
              </w:rPr>
              <w:t xml:space="preserve">Option </w:t>
            </w:r>
            <w:r w:rsidR="008E7F87">
              <w:rPr>
                <w:rFonts w:ascii="Book Antiqua" w:hAnsi="Book Antiqua" w:cs="Arial"/>
                <w:sz w:val="22"/>
                <w:szCs w:val="22"/>
              </w:rPr>
              <w:t>A</w:t>
            </w:r>
            <w:r w:rsidR="00351F2C" w:rsidRPr="005B3882">
              <w:rPr>
                <w:rFonts w:ascii="Book Antiqua" w:hAnsi="Book Antiqua" w:cs="Arial"/>
                <w:sz w:val="22"/>
                <w:szCs w:val="22"/>
              </w:rPr>
              <w:t xml:space="preserve"> is recommended.  Consistent with its stated goal of international leadership on </w:t>
            </w:r>
            <w:r w:rsidR="00480D3D">
              <w:rPr>
                <w:rFonts w:ascii="Book Antiqua" w:hAnsi="Book Antiqua" w:cs="Arial"/>
                <w:sz w:val="22"/>
                <w:szCs w:val="22"/>
              </w:rPr>
              <w:t>REDD+</w:t>
            </w:r>
            <w:r w:rsidR="00351F2C" w:rsidRPr="005B3882">
              <w:rPr>
                <w:rFonts w:ascii="Book Antiqua" w:hAnsi="Book Antiqua" w:cs="Arial"/>
                <w:sz w:val="22"/>
                <w:szCs w:val="22"/>
              </w:rPr>
              <w:t xml:space="preserve">, GoV should embrace the concept of participatory monitoring and implement principles governing such monitoring. </w:t>
            </w:r>
          </w:p>
        </w:tc>
      </w:tr>
      <w:tr w:rsidR="00351F2C" w:rsidRPr="005B3882">
        <w:tc>
          <w:tcPr>
            <w:tcW w:w="1006" w:type="pct"/>
            <w:tcBorders>
              <w:top w:val="nil"/>
              <w:left w:val="nil"/>
              <w:bottom w:val="nil"/>
              <w:right w:val="single" w:sz="24" w:space="0" w:color="FFFFFF"/>
            </w:tcBorders>
            <w:shd w:val="clear" w:color="auto" w:fill="C2D69B"/>
            <w:tcMar>
              <w:top w:w="0" w:type="dxa"/>
              <w:left w:w="108" w:type="dxa"/>
              <w:bottom w:w="0" w:type="dxa"/>
              <w:right w:w="108" w:type="dxa"/>
            </w:tcMar>
            <w:vAlign w:val="center"/>
          </w:tcPr>
          <w:p w:rsidR="00351F2C" w:rsidRPr="005B3882" w:rsidRDefault="00B54274" w:rsidP="00A256CB">
            <w:pPr>
              <w:pStyle w:val="Default"/>
              <w:rPr>
                <w:rFonts w:ascii="Book Antiqua" w:hAnsi="Book Antiqua" w:cs="Arial"/>
                <w:sz w:val="22"/>
                <w:szCs w:val="22"/>
              </w:rPr>
            </w:pPr>
            <w:r>
              <w:rPr>
                <w:rFonts w:ascii="Book Antiqua" w:hAnsi="Book Antiqua" w:cs="Arial"/>
                <w:sz w:val="22"/>
                <w:szCs w:val="22"/>
              </w:rPr>
              <w:t>Actions required to confirm policy option</w:t>
            </w:r>
          </w:p>
        </w:tc>
        <w:tc>
          <w:tcPr>
            <w:tcW w:w="3994" w:type="pct"/>
            <w:shd w:val="clear" w:color="auto" w:fill="D6E3BC"/>
            <w:tcMar>
              <w:top w:w="0" w:type="dxa"/>
              <w:left w:w="108" w:type="dxa"/>
              <w:bottom w:w="0" w:type="dxa"/>
              <w:right w:w="108" w:type="dxa"/>
            </w:tcMar>
            <w:vAlign w:val="center"/>
          </w:tcPr>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GoV should review participatory monitoring methods with a demonstrated history of success.  Based on this review, GoV should prepare principles for participatory </w:t>
            </w:r>
            <w:r w:rsidR="00480D3D">
              <w:rPr>
                <w:rFonts w:ascii="Book Antiqua" w:hAnsi="Book Antiqua" w:cs="Arial"/>
                <w:sz w:val="22"/>
                <w:szCs w:val="22"/>
              </w:rPr>
              <w:t>REDD+</w:t>
            </w:r>
            <w:r w:rsidRPr="005B3882">
              <w:rPr>
                <w:rFonts w:ascii="Book Antiqua" w:hAnsi="Book Antiqua" w:cs="Arial"/>
                <w:sz w:val="22"/>
                <w:szCs w:val="22"/>
              </w:rPr>
              <w:t xml:space="preserve"> monitoring. </w:t>
            </w:r>
          </w:p>
        </w:tc>
      </w:tr>
    </w:tbl>
    <w:p w:rsidR="00351F2C" w:rsidRPr="005B3882" w:rsidRDefault="00351F2C" w:rsidP="00A256CB">
      <w:pPr>
        <w:pStyle w:val="Default"/>
        <w:rPr>
          <w:rFonts w:ascii="Book Antiqua" w:hAnsi="Book Antiqua" w:cs="Arial"/>
          <w:sz w:val="22"/>
          <w:szCs w:val="22"/>
        </w:rPr>
      </w:pPr>
    </w:p>
    <w:p w:rsidR="00351F2C" w:rsidRPr="005B3882" w:rsidRDefault="00351F2C" w:rsidP="00A256CB">
      <w:pPr>
        <w:pStyle w:val="Default"/>
        <w:jc w:val="center"/>
        <w:rPr>
          <w:rFonts w:ascii="Book Antiqua" w:hAnsi="Book Antiqua" w:cs="Arial"/>
          <w:b/>
          <w:sz w:val="22"/>
          <w:szCs w:val="22"/>
          <w:u w:val="single"/>
        </w:rPr>
      </w:pPr>
      <w:r w:rsidRPr="005B3882">
        <w:rPr>
          <w:rFonts w:ascii="Book Antiqua" w:hAnsi="Book Antiqua" w:cs="Arial"/>
          <w:b/>
          <w:sz w:val="22"/>
          <w:szCs w:val="22"/>
          <w:u w:val="single"/>
        </w:rPr>
        <w:t>POLICY ISSUE #10</w:t>
      </w:r>
    </w:p>
    <w:p w:rsidR="00351F2C" w:rsidRPr="005B3882" w:rsidRDefault="00351F2C" w:rsidP="00A256CB">
      <w:pPr>
        <w:pStyle w:val="Default"/>
        <w:rPr>
          <w:rFonts w:ascii="Book Antiqua" w:hAnsi="Book Antiqua" w:cs="Arial"/>
          <w:b/>
          <w:sz w:val="22"/>
          <w:szCs w:val="22"/>
        </w:rPr>
      </w:pPr>
      <w:r w:rsidRPr="005B3882">
        <w:rPr>
          <w:rFonts w:ascii="Book Antiqua" w:hAnsi="Book Antiqua" w:cs="Arial"/>
          <w:b/>
          <w:sz w:val="22"/>
          <w:szCs w:val="22"/>
        </w:rPr>
        <w:lastRenderedPageBreak/>
        <w:t>WHAT’S AT STAKE</w:t>
      </w: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Any BDS, however well designed, will inevitably give rise to complaints.  It is necessary to build in a recourse mechanism so that complaints can be independently reported and addressed.  This is needed to ensure the credibility of the BDS.</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r w:rsidRPr="005B3882">
        <w:rPr>
          <w:rFonts w:ascii="Book Antiqua" w:hAnsi="Book Antiqua" w:cs="Arial"/>
          <w:sz w:val="22"/>
          <w:szCs w:val="22"/>
        </w:rPr>
        <w:t xml:space="preserve">In </w:t>
      </w:r>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citizens’ complaints have to be submitted to the responsible government agency.  But if the same agency is responsible for the BDS, then a conflict of interest arises.  One option is for a centrally located point of contact to receive complaints.  Such a system has two advantages.  Since it would be far removed from the field it would be less prone to local interference.  This would increase its credibility.  A central contact point would also facilitate the collection and monitoring of complaints, which may provide important insights into the performance of the BDS.  This would encourage an approach that instead of seeking to suppress complaints uses the information to fine tune and improve the system.</w:t>
      </w:r>
    </w:p>
    <w:p w:rsidR="00351F2C" w:rsidRPr="005B3882" w:rsidRDefault="00351F2C" w:rsidP="00A256CB">
      <w:pPr>
        <w:pStyle w:val="Default"/>
        <w:jc w:val="both"/>
        <w:rPr>
          <w:rFonts w:ascii="Book Antiqua" w:hAnsi="Book Antiqua" w:cs="Arial"/>
          <w:sz w:val="22"/>
          <w:szCs w:val="22"/>
        </w:rPr>
      </w:pPr>
    </w:p>
    <w:p w:rsidR="00351F2C" w:rsidRPr="005B3882" w:rsidRDefault="00351F2C" w:rsidP="00A256CB">
      <w:pPr>
        <w:pStyle w:val="Default"/>
        <w:jc w:val="both"/>
        <w:rPr>
          <w:rFonts w:ascii="Book Antiqua" w:hAnsi="Book Antiqua" w:cs="Arial"/>
          <w:sz w:val="22"/>
          <w:szCs w:val="22"/>
        </w:rPr>
      </w:pPr>
      <w:smartTag w:uri="urn:schemas-microsoft-com:office:smarttags" w:element="country-region">
        <w:smartTag w:uri="urn:schemas-microsoft-com:office:smarttags" w:element="place">
          <w:r w:rsidRPr="005B3882">
            <w:rPr>
              <w:rFonts w:ascii="Book Antiqua" w:hAnsi="Book Antiqua" w:cs="Arial"/>
              <w:sz w:val="22"/>
              <w:szCs w:val="22"/>
            </w:rPr>
            <w:t>Viet Nam</w:t>
          </w:r>
        </w:smartTag>
      </w:smartTag>
      <w:r w:rsidRPr="005B3882">
        <w:rPr>
          <w:rFonts w:ascii="Book Antiqua" w:hAnsi="Book Antiqua" w:cs="Arial"/>
          <w:sz w:val="22"/>
          <w:szCs w:val="22"/>
        </w:rPr>
        <w:t xml:space="preserve">’s political system provides space for public complaints.  Groups and individuals can complain about local government officials, particularly when it comes to urban and industrial pollution.  They can also speak to the media.  </w:t>
      </w:r>
      <w:r w:rsidR="00480D3D">
        <w:rPr>
          <w:rFonts w:ascii="Book Antiqua" w:hAnsi="Book Antiqua" w:cs="Arial"/>
          <w:sz w:val="22"/>
          <w:szCs w:val="22"/>
        </w:rPr>
        <w:t>Vietnamese</w:t>
      </w:r>
      <w:r w:rsidRPr="005B3882">
        <w:rPr>
          <w:rFonts w:ascii="Book Antiqua" w:hAnsi="Book Antiqua" w:cs="Arial"/>
          <w:sz w:val="22"/>
          <w:szCs w:val="22"/>
        </w:rPr>
        <w:t xml:space="preserve"> newspapers frequently run stories about public complaints against corrupt or incompetent officials.  Some </w:t>
      </w:r>
      <w:r w:rsidR="00480D3D">
        <w:rPr>
          <w:rFonts w:ascii="Book Antiqua" w:hAnsi="Book Antiqua" w:cs="Arial"/>
          <w:sz w:val="22"/>
          <w:szCs w:val="22"/>
        </w:rPr>
        <w:t>Vietnamese</w:t>
      </w:r>
      <w:r w:rsidRPr="005B3882">
        <w:rPr>
          <w:rFonts w:ascii="Book Antiqua" w:hAnsi="Book Antiqua" w:cs="Arial"/>
          <w:sz w:val="22"/>
          <w:szCs w:val="22"/>
        </w:rPr>
        <w:t xml:space="preserve"> </w:t>
      </w:r>
      <w:r w:rsidR="0074733F">
        <w:rPr>
          <w:rFonts w:ascii="Book Antiqua" w:hAnsi="Book Antiqua" w:cs="Arial"/>
          <w:sz w:val="22"/>
          <w:szCs w:val="22"/>
        </w:rPr>
        <w:t>Non-governmental Organizations (</w:t>
      </w:r>
      <w:r w:rsidRPr="005B3882">
        <w:rPr>
          <w:rFonts w:ascii="Book Antiqua" w:hAnsi="Book Antiqua" w:cs="Arial"/>
          <w:sz w:val="22"/>
          <w:szCs w:val="22"/>
        </w:rPr>
        <w:t>NGOs</w:t>
      </w:r>
      <w:r w:rsidR="0074733F">
        <w:rPr>
          <w:rFonts w:ascii="Book Antiqua" w:hAnsi="Book Antiqua" w:cs="Arial"/>
          <w:sz w:val="22"/>
          <w:szCs w:val="22"/>
        </w:rPr>
        <w:t>)</w:t>
      </w:r>
      <w:r w:rsidRPr="005B3882">
        <w:rPr>
          <w:rFonts w:ascii="Book Antiqua" w:hAnsi="Book Antiqua" w:cs="Arial"/>
          <w:sz w:val="22"/>
          <w:szCs w:val="22"/>
        </w:rPr>
        <w:t xml:space="preserve"> have established telephone hotlines that have succeeded in increasing public participation in reporting environmental crimes and monitoring government response.  </w:t>
      </w:r>
      <w:r w:rsidR="00267325">
        <w:rPr>
          <w:rFonts w:ascii="Book Antiqua" w:hAnsi="Book Antiqua" w:cs="Arial"/>
          <w:sz w:val="22"/>
          <w:szCs w:val="22"/>
        </w:rPr>
        <w:t>Whether such a model is viable for REDD+ is debatable, but some sort of mechanism needs to be established.</w:t>
      </w:r>
    </w:p>
    <w:p w:rsidR="00351F2C" w:rsidRPr="00445F77" w:rsidRDefault="00351F2C" w:rsidP="00A256CB">
      <w:pPr>
        <w:pStyle w:val="Default"/>
        <w:rPr>
          <w:rFonts w:ascii="Arial" w:hAnsi="Arial" w:cs="Arial"/>
        </w:rPr>
      </w:pPr>
    </w:p>
    <w:tbl>
      <w:tblPr>
        <w:tblpPr w:leftFromText="180" w:rightFromText="180" w:vertAnchor="text"/>
        <w:tblW w:w="4908" w:type="pct"/>
        <w:tblLayout w:type="fixed"/>
        <w:tblCellMar>
          <w:left w:w="0" w:type="dxa"/>
          <w:right w:w="0" w:type="dxa"/>
        </w:tblCellMar>
        <w:tblLook w:val="00A0"/>
      </w:tblPr>
      <w:tblGrid>
        <w:gridCol w:w="1907"/>
        <w:gridCol w:w="6931"/>
      </w:tblGrid>
      <w:tr w:rsidR="00351F2C" w:rsidRPr="00445F77">
        <w:trPr>
          <w:tblHeader/>
        </w:trPr>
        <w:tc>
          <w:tcPr>
            <w:tcW w:w="5000" w:type="pct"/>
            <w:gridSpan w:val="2"/>
            <w:tcBorders>
              <w:top w:val="single" w:sz="24" w:space="0" w:color="FFFFFF"/>
              <w:left w:val="nil"/>
              <w:bottom w:val="single" w:sz="24" w:space="0" w:color="FFFFFF"/>
              <w:right w:val="nil"/>
            </w:tcBorders>
            <w:shd w:val="clear" w:color="auto" w:fill="76923C"/>
            <w:tcMar>
              <w:top w:w="0" w:type="dxa"/>
              <w:left w:w="108" w:type="dxa"/>
              <w:bottom w:w="0" w:type="dxa"/>
              <w:right w:w="108" w:type="dxa"/>
            </w:tcMar>
            <w:vAlign w:val="center"/>
          </w:tcPr>
          <w:p w:rsidR="00351F2C" w:rsidRPr="00103E2D" w:rsidRDefault="00351F2C" w:rsidP="005B3882">
            <w:pPr>
              <w:pStyle w:val="Default"/>
              <w:jc w:val="center"/>
              <w:rPr>
                <w:rFonts w:ascii="Book Antiqua" w:hAnsi="Book Antiqua" w:cs="Arial"/>
                <w:b/>
                <w:color w:val="FFFFFF"/>
              </w:rPr>
            </w:pPr>
            <w:r w:rsidRPr="00103E2D">
              <w:rPr>
                <w:rFonts w:ascii="Book Antiqua" w:hAnsi="Book Antiqua" w:cs="Arial"/>
                <w:b/>
                <w:color w:val="FFFFFF"/>
              </w:rPr>
              <w:t>POLICY DECISION 10</w:t>
            </w:r>
            <w:r w:rsidR="00706502">
              <w:rPr>
                <w:rFonts w:ascii="Book Antiqua" w:hAnsi="Book Antiqua" w:cs="Arial"/>
                <w:b/>
                <w:color w:val="FFFFFF"/>
              </w:rPr>
              <w:t xml:space="preserve"> (7.4):</w:t>
            </w:r>
          </w:p>
          <w:p w:rsidR="00351F2C" w:rsidRPr="00445F77" w:rsidRDefault="00351F2C" w:rsidP="00103E2D">
            <w:pPr>
              <w:pStyle w:val="Default"/>
              <w:jc w:val="center"/>
              <w:rPr>
                <w:rFonts w:ascii="Arial" w:hAnsi="Arial" w:cs="Arial"/>
                <w:color w:val="FFFFFF"/>
              </w:rPr>
            </w:pPr>
            <w:r w:rsidRPr="00103E2D">
              <w:rPr>
                <w:rFonts w:ascii="Book Antiqua" w:hAnsi="Book Antiqua" w:cs="Arial"/>
                <w:b/>
                <w:color w:val="FFFFFF"/>
              </w:rPr>
              <w:t xml:space="preserve">DESIGN OF A </w:t>
            </w:r>
            <w:r w:rsidR="00103E2D">
              <w:rPr>
                <w:rFonts w:ascii="Book Antiqua" w:hAnsi="Book Antiqua" w:cs="Arial"/>
                <w:b/>
                <w:color w:val="FFFFFF"/>
              </w:rPr>
              <w:t>SOCIALLY ACCEPTABLE</w:t>
            </w:r>
            <w:r w:rsidRPr="00103E2D">
              <w:rPr>
                <w:rFonts w:ascii="Book Antiqua" w:hAnsi="Book Antiqua" w:cs="Arial"/>
                <w:b/>
                <w:color w:val="FFFFFF"/>
              </w:rPr>
              <w:t xml:space="preserve"> RECOURSE MECHANISM</w:t>
            </w:r>
          </w:p>
        </w:tc>
      </w:tr>
      <w:tr w:rsidR="00351F2C" w:rsidRPr="00445F77">
        <w:tc>
          <w:tcPr>
            <w:tcW w:w="1079"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351F2C" w:rsidRPr="005B3882" w:rsidRDefault="00351F2C" w:rsidP="00A256CB">
            <w:pPr>
              <w:pStyle w:val="Default"/>
              <w:rPr>
                <w:rFonts w:ascii="Book Antiqua" w:hAnsi="Book Antiqua" w:cs="Arial"/>
                <w:sz w:val="22"/>
                <w:szCs w:val="22"/>
              </w:rPr>
            </w:pPr>
            <w:r w:rsidRPr="005B3882">
              <w:rPr>
                <w:rFonts w:ascii="Book Antiqua" w:hAnsi="Book Antiqua" w:cs="Arial"/>
                <w:sz w:val="22"/>
                <w:szCs w:val="22"/>
              </w:rPr>
              <w:t>Issue to be addressed</w:t>
            </w:r>
          </w:p>
        </w:tc>
        <w:tc>
          <w:tcPr>
            <w:tcW w:w="3921"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351F2C" w:rsidRPr="005B3882" w:rsidRDefault="00351F2C" w:rsidP="00103E2D">
            <w:pPr>
              <w:pStyle w:val="Default"/>
              <w:jc w:val="both"/>
              <w:rPr>
                <w:rFonts w:ascii="Book Antiqua" w:hAnsi="Book Antiqua" w:cs="Arial"/>
                <w:sz w:val="22"/>
                <w:szCs w:val="22"/>
              </w:rPr>
            </w:pPr>
            <w:r w:rsidRPr="005B3882">
              <w:rPr>
                <w:rFonts w:ascii="Book Antiqua" w:hAnsi="Book Antiqua" w:cs="Arial"/>
                <w:sz w:val="22"/>
                <w:szCs w:val="22"/>
              </w:rPr>
              <w:t>Any BDS, however well designed, will inevitably give rise to complaints by those who think that they have not been rewarded appropriately and/or are losing out to free-riders who receive benefits but have made no contribution to forest protection and reducing carbon emissions.</w:t>
            </w:r>
          </w:p>
        </w:tc>
      </w:tr>
      <w:tr w:rsidR="00351F2C" w:rsidRPr="00445F77">
        <w:tc>
          <w:tcPr>
            <w:tcW w:w="1079"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351F2C" w:rsidRPr="005B3882" w:rsidRDefault="00351F2C" w:rsidP="00A256CB">
            <w:pPr>
              <w:pStyle w:val="Default"/>
              <w:rPr>
                <w:rFonts w:ascii="Book Antiqua" w:hAnsi="Book Antiqua" w:cs="Arial"/>
                <w:sz w:val="22"/>
                <w:szCs w:val="22"/>
              </w:rPr>
            </w:pPr>
            <w:r w:rsidRPr="005B3882">
              <w:rPr>
                <w:rFonts w:ascii="Book Antiqua" w:hAnsi="Book Antiqua" w:cs="Arial"/>
                <w:sz w:val="22"/>
                <w:szCs w:val="22"/>
              </w:rPr>
              <w:t>Options</w:t>
            </w:r>
          </w:p>
        </w:tc>
        <w:tc>
          <w:tcPr>
            <w:tcW w:w="3921"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103E2D" w:rsidRPr="003C0FC0" w:rsidRDefault="00103E2D" w:rsidP="008227FD">
            <w:pPr>
              <w:pStyle w:val="ListParagraph"/>
              <w:numPr>
                <w:ilvl w:val="0"/>
                <w:numId w:val="139"/>
              </w:numPr>
              <w:spacing w:after="0" w:line="240" w:lineRule="auto"/>
              <w:ind w:left="253" w:hanging="270"/>
              <w:jc w:val="both"/>
              <w:rPr>
                <w:rFonts w:ascii="Book Antiqua" w:hAnsi="Book Antiqua" w:cs="Arial"/>
                <w:lang w:val="en-GB"/>
              </w:rPr>
            </w:pPr>
            <w:r w:rsidRPr="003C0FC0">
              <w:rPr>
                <w:rFonts w:ascii="Book Antiqua" w:hAnsi="Book Antiqua" w:cs="Arial"/>
                <w:lang w:val="en-GB"/>
              </w:rPr>
              <w:t>Recourse mechanism that is entirely managed by government.</w:t>
            </w:r>
          </w:p>
          <w:p w:rsidR="00351F2C" w:rsidRPr="005B3882" w:rsidRDefault="00103E2D" w:rsidP="008227FD">
            <w:pPr>
              <w:pStyle w:val="Default"/>
              <w:numPr>
                <w:ilvl w:val="0"/>
                <w:numId w:val="139"/>
              </w:numPr>
              <w:ind w:left="253" w:hanging="270"/>
              <w:jc w:val="both"/>
              <w:rPr>
                <w:rFonts w:ascii="Book Antiqua" w:hAnsi="Book Antiqua" w:cs="Arial"/>
                <w:sz w:val="22"/>
                <w:szCs w:val="22"/>
              </w:rPr>
            </w:pPr>
            <w:r w:rsidRPr="003C0FC0">
              <w:rPr>
                <w:rFonts w:ascii="Book Antiqua" w:hAnsi="Book Antiqua" w:cs="Arial"/>
                <w:lang w:val="en-GB"/>
              </w:rPr>
              <w:t>Recourse mechanism that includes civil society participation.</w:t>
            </w:r>
          </w:p>
        </w:tc>
      </w:tr>
      <w:tr w:rsidR="00351F2C" w:rsidRPr="00445F77">
        <w:tc>
          <w:tcPr>
            <w:tcW w:w="1079"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351F2C" w:rsidRPr="005B3882" w:rsidRDefault="00351F2C" w:rsidP="00A256CB">
            <w:pPr>
              <w:pStyle w:val="Default"/>
              <w:rPr>
                <w:rFonts w:ascii="Book Antiqua" w:hAnsi="Book Antiqua" w:cs="Arial"/>
                <w:sz w:val="22"/>
                <w:szCs w:val="22"/>
              </w:rPr>
            </w:pPr>
            <w:r w:rsidRPr="005B3882">
              <w:rPr>
                <w:rFonts w:ascii="Book Antiqua" w:hAnsi="Book Antiqua" w:cs="Arial"/>
                <w:sz w:val="22"/>
                <w:szCs w:val="22"/>
              </w:rPr>
              <w:t>Recommended principle or policy to be adopted</w:t>
            </w:r>
          </w:p>
        </w:tc>
        <w:tc>
          <w:tcPr>
            <w:tcW w:w="3921"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351F2C" w:rsidRPr="005B3882" w:rsidRDefault="00103E2D" w:rsidP="008E7F87">
            <w:pPr>
              <w:pStyle w:val="Default"/>
              <w:jc w:val="both"/>
              <w:rPr>
                <w:rFonts w:ascii="Book Antiqua" w:hAnsi="Book Antiqua" w:cs="Arial"/>
                <w:sz w:val="22"/>
                <w:szCs w:val="22"/>
              </w:rPr>
            </w:pPr>
            <w:r>
              <w:rPr>
                <w:rFonts w:ascii="Book Antiqua" w:hAnsi="Book Antiqua" w:cs="Arial"/>
                <w:sz w:val="22"/>
                <w:szCs w:val="22"/>
              </w:rPr>
              <w:t xml:space="preserve">Option </w:t>
            </w:r>
            <w:r w:rsidR="008E7F87">
              <w:rPr>
                <w:rFonts w:ascii="Book Antiqua" w:hAnsi="Book Antiqua" w:cs="Arial"/>
                <w:sz w:val="22"/>
                <w:szCs w:val="22"/>
              </w:rPr>
              <w:t>B</w:t>
            </w:r>
            <w:r w:rsidR="00351F2C" w:rsidRPr="005B3882">
              <w:rPr>
                <w:rFonts w:ascii="Book Antiqua" w:hAnsi="Book Antiqua" w:cs="Arial"/>
                <w:sz w:val="22"/>
                <w:szCs w:val="22"/>
              </w:rPr>
              <w:t xml:space="preserve"> is recommended.  Given the importance of managing complaints to ensure that the BDS rewards those who deserve to be rewarded on the basis of emissions reductions and to generate information that can be used to improve the BDS, a credible recourse mechanism is required.  GoV should consider establishing a recourse mechanism that allows complaints to be managed transparently and efficiently and how </w:t>
            </w:r>
            <w:r w:rsidR="00480D3D">
              <w:rPr>
                <w:rFonts w:ascii="Book Antiqua" w:hAnsi="Book Antiqua" w:cs="Arial"/>
                <w:sz w:val="22"/>
                <w:szCs w:val="22"/>
              </w:rPr>
              <w:t>Vietnamese</w:t>
            </w:r>
            <w:r w:rsidR="00351F2C" w:rsidRPr="005B3882">
              <w:rPr>
                <w:rFonts w:ascii="Book Antiqua" w:hAnsi="Book Antiqua" w:cs="Arial"/>
                <w:sz w:val="22"/>
                <w:szCs w:val="22"/>
              </w:rPr>
              <w:t xml:space="preserve"> civil society organizations can be most appropriately integrated into such a mechanism.  </w:t>
            </w:r>
          </w:p>
        </w:tc>
      </w:tr>
      <w:tr w:rsidR="00351F2C" w:rsidRPr="00445F77">
        <w:tc>
          <w:tcPr>
            <w:tcW w:w="1079" w:type="pct"/>
            <w:tcBorders>
              <w:top w:val="nil"/>
              <w:left w:val="nil"/>
              <w:bottom w:val="nil"/>
              <w:right w:val="single" w:sz="24" w:space="0" w:color="FFFFFF"/>
            </w:tcBorders>
            <w:shd w:val="clear" w:color="auto" w:fill="C2D69B"/>
            <w:tcMar>
              <w:top w:w="0" w:type="dxa"/>
              <w:left w:w="108" w:type="dxa"/>
              <w:bottom w:w="0" w:type="dxa"/>
              <w:right w:w="108" w:type="dxa"/>
            </w:tcMar>
            <w:vAlign w:val="center"/>
          </w:tcPr>
          <w:p w:rsidR="00351F2C" w:rsidRPr="005B3882" w:rsidRDefault="00B54274" w:rsidP="00A256CB">
            <w:pPr>
              <w:pStyle w:val="Default"/>
              <w:rPr>
                <w:rFonts w:ascii="Book Antiqua" w:hAnsi="Book Antiqua" w:cs="Arial"/>
                <w:sz w:val="22"/>
                <w:szCs w:val="22"/>
              </w:rPr>
            </w:pPr>
            <w:r>
              <w:rPr>
                <w:rFonts w:ascii="Book Antiqua" w:hAnsi="Book Antiqua" w:cs="Arial"/>
                <w:sz w:val="22"/>
                <w:szCs w:val="22"/>
              </w:rPr>
              <w:t>Actions required to confirm policy option</w:t>
            </w:r>
          </w:p>
        </w:tc>
        <w:tc>
          <w:tcPr>
            <w:tcW w:w="3921" w:type="pct"/>
            <w:shd w:val="clear" w:color="auto" w:fill="D6E3BC"/>
            <w:tcMar>
              <w:top w:w="0" w:type="dxa"/>
              <w:left w:w="108" w:type="dxa"/>
              <w:bottom w:w="0" w:type="dxa"/>
              <w:right w:w="108" w:type="dxa"/>
            </w:tcMar>
            <w:vAlign w:val="center"/>
          </w:tcPr>
          <w:p w:rsidR="00351F2C" w:rsidRPr="005B3882" w:rsidRDefault="00B54274" w:rsidP="00103E2D">
            <w:pPr>
              <w:pStyle w:val="Default"/>
              <w:jc w:val="both"/>
              <w:rPr>
                <w:rFonts w:ascii="Book Antiqua" w:hAnsi="Book Antiqua" w:cs="Arial"/>
                <w:sz w:val="22"/>
                <w:szCs w:val="22"/>
              </w:rPr>
            </w:pPr>
            <w:r>
              <w:rPr>
                <w:rFonts w:ascii="Book Antiqua" w:hAnsi="Book Antiqua" w:cs="Arial"/>
                <w:sz w:val="22"/>
                <w:szCs w:val="22"/>
              </w:rPr>
              <w:t xml:space="preserve">The </w:t>
            </w:r>
            <w:r w:rsidR="00351F2C" w:rsidRPr="005B3882">
              <w:rPr>
                <w:rFonts w:ascii="Book Antiqua" w:hAnsi="Book Antiqua" w:cs="Arial"/>
                <w:sz w:val="22"/>
                <w:szCs w:val="22"/>
              </w:rPr>
              <w:t>GoV should undertake a more detailed analysis of the appropriate institutional structure of a participatory recourse mechanism.  This should lead to a communications strategy through which information on the proposed recourse mechanism is widely disseminated to all stakeholders.</w:t>
            </w:r>
          </w:p>
        </w:tc>
      </w:tr>
    </w:tbl>
    <w:p w:rsidR="00513A9F" w:rsidRDefault="00513A9F">
      <w:pPr>
        <w:spacing w:after="0" w:line="240" w:lineRule="auto"/>
        <w:rPr>
          <w:rFonts w:ascii="Arial" w:eastAsia="Times New Roman" w:hAnsi="Arial" w:cs="Arial"/>
          <w:bCs/>
          <w:color w:val="1F497D"/>
          <w:sz w:val="24"/>
          <w:szCs w:val="24"/>
        </w:rPr>
      </w:pPr>
      <w:bookmarkStart w:id="20" w:name="_Toc243984113"/>
      <w:bookmarkStart w:id="21" w:name="_Toc244327636"/>
      <w:bookmarkStart w:id="22" w:name="_Toc244327885"/>
      <w:bookmarkStart w:id="23" w:name="_Toc244735037"/>
      <w:bookmarkStart w:id="24" w:name="_Toc244735645"/>
      <w:r>
        <w:rPr>
          <w:rFonts w:ascii="Arial" w:hAnsi="Arial" w:cs="Arial"/>
          <w:sz w:val="24"/>
          <w:szCs w:val="24"/>
        </w:rPr>
        <w:br w:type="page"/>
      </w:r>
    </w:p>
    <w:p w:rsidR="00351F2C" w:rsidRPr="00445F77" w:rsidRDefault="009F174B" w:rsidP="002D0F33">
      <w:pPr>
        <w:pStyle w:val="Heading1"/>
      </w:pPr>
      <w:bookmarkStart w:id="25" w:name="_Toc252354721"/>
      <w:r w:rsidRPr="00445F77">
        <w:lastRenderedPageBreak/>
        <w:t xml:space="preserve">1. </w:t>
      </w:r>
      <w:r w:rsidR="00351F2C" w:rsidRPr="00445F77">
        <w:t>Background and Introduction</w:t>
      </w:r>
      <w:bookmarkEnd w:id="20"/>
      <w:bookmarkEnd w:id="21"/>
      <w:bookmarkEnd w:id="22"/>
      <w:bookmarkEnd w:id="23"/>
      <w:bookmarkEnd w:id="24"/>
      <w:bookmarkEnd w:id="25"/>
    </w:p>
    <w:p w:rsidR="00351F2C" w:rsidRPr="005B3882" w:rsidRDefault="00351F2C" w:rsidP="00A256CB">
      <w:pPr>
        <w:spacing w:after="0" w:line="240" w:lineRule="auto"/>
        <w:rPr>
          <w:rFonts w:ascii="Book Antiqua" w:hAnsi="Book Antiqua" w:cs="Arial"/>
          <w:color w:val="1F497D"/>
        </w:rPr>
      </w:pPr>
    </w:p>
    <w:p w:rsidR="00351F2C" w:rsidRPr="005B3882" w:rsidRDefault="00351F2C" w:rsidP="00853F93">
      <w:pPr>
        <w:spacing w:after="0" w:line="300" w:lineRule="atLeast"/>
        <w:jc w:val="both"/>
        <w:rPr>
          <w:rFonts w:ascii="Book Antiqua" w:hAnsi="Book Antiqua" w:cs="Arial"/>
          <w:color w:val="000000"/>
        </w:rPr>
      </w:pPr>
      <w:r w:rsidRPr="005B3882">
        <w:rPr>
          <w:rFonts w:ascii="Book Antiqua" w:hAnsi="Book Antiqua" w:cs="Arial"/>
          <w:color w:val="000000"/>
        </w:rPr>
        <w:t>As countries prepare for a possible future international mechanism to reduce emissions from deforestation and forest degradation (</w:t>
      </w:r>
      <w:r w:rsidR="00480D3D">
        <w:rPr>
          <w:rFonts w:ascii="Book Antiqua" w:hAnsi="Book Antiqua" w:cs="Arial"/>
          <w:color w:val="000000"/>
        </w:rPr>
        <w:t>REDD+</w:t>
      </w:r>
      <w:r w:rsidRPr="005B3882">
        <w:rPr>
          <w:rStyle w:val="FootnoteReference"/>
          <w:rFonts w:ascii="Book Antiqua" w:hAnsi="Book Antiqua" w:cs="Arial"/>
          <w:color w:val="000000"/>
        </w:rPr>
        <w:footnoteReference w:id="2"/>
      </w:r>
      <w:r w:rsidRPr="005B3882">
        <w:rPr>
          <w:rFonts w:ascii="Book Antiqua" w:hAnsi="Book Antiqua" w:cs="Arial"/>
          <w:color w:val="000000"/>
        </w:rPr>
        <w:t xml:space="preserve">), it is recognized that there are a number of elements that need to be addressed – the “components of readiness”.  While there are various ways in which the process can be visualized, the UN-REDD Programme and the World Bank’s </w:t>
      </w:r>
      <w:r w:rsidR="00D7117B">
        <w:rPr>
          <w:rFonts w:ascii="Book Antiqua" w:hAnsi="Book Antiqua" w:cs="Arial"/>
          <w:color w:val="000000"/>
        </w:rPr>
        <w:t xml:space="preserve">(WB’s) </w:t>
      </w:r>
      <w:r w:rsidRPr="005B3882">
        <w:rPr>
          <w:rFonts w:ascii="Book Antiqua" w:hAnsi="Book Antiqua" w:cs="Arial"/>
          <w:color w:val="000000"/>
        </w:rPr>
        <w:t xml:space="preserve">Forest Carbon Partnership Facility (FCPF) have developed a unified version of components of </w:t>
      </w:r>
      <w:r w:rsidR="00480D3D">
        <w:rPr>
          <w:rFonts w:ascii="Book Antiqua" w:hAnsi="Book Antiqua" w:cs="Arial"/>
          <w:color w:val="000000"/>
        </w:rPr>
        <w:t>REDD+</w:t>
      </w:r>
      <w:r w:rsidRPr="005B3882">
        <w:rPr>
          <w:rFonts w:ascii="Book Antiqua" w:hAnsi="Book Antiqua" w:cs="Arial"/>
          <w:color w:val="000000"/>
        </w:rPr>
        <w:t xml:space="preserve"> readiness – see Figure 1.1.  In this version of </w:t>
      </w:r>
      <w:r w:rsidR="00480D3D">
        <w:rPr>
          <w:rFonts w:ascii="Book Antiqua" w:hAnsi="Book Antiqua" w:cs="Arial"/>
          <w:color w:val="000000"/>
        </w:rPr>
        <w:t>REDD+</w:t>
      </w:r>
      <w:r w:rsidRPr="005B3882">
        <w:rPr>
          <w:rFonts w:ascii="Book Antiqua" w:hAnsi="Book Antiqua" w:cs="Arial"/>
          <w:color w:val="000000"/>
        </w:rPr>
        <w:t xml:space="preserve"> readiness, an important element of Component 2 (Prepare the </w:t>
      </w:r>
      <w:r w:rsidR="00480D3D">
        <w:rPr>
          <w:rFonts w:ascii="Book Antiqua" w:hAnsi="Book Antiqua" w:cs="Arial"/>
          <w:color w:val="000000"/>
        </w:rPr>
        <w:t>REDD+</w:t>
      </w:r>
      <w:r w:rsidRPr="005B3882">
        <w:rPr>
          <w:rFonts w:ascii="Book Antiqua" w:hAnsi="Book Antiqua" w:cs="Arial"/>
          <w:color w:val="000000"/>
        </w:rPr>
        <w:t xml:space="preserve"> Strategy) is the design of an Implementation Framework, which includes the design of a transparent and equitable </w:t>
      </w:r>
      <w:r w:rsidR="00765C66">
        <w:rPr>
          <w:rFonts w:ascii="Book Antiqua" w:hAnsi="Book Antiqua" w:cs="Arial"/>
          <w:color w:val="000000"/>
        </w:rPr>
        <w:t>benefit distribution system (BDS)</w:t>
      </w:r>
      <w:r w:rsidRPr="005B3882">
        <w:rPr>
          <w:rFonts w:ascii="Book Antiqua" w:hAnsi="Book Antiqua" w:cs="Arial"/>
          <w:color w:val="000000"/>
        </w:rPr>
        <w:t>.</w:t>
      </w:r>
    </w:p>
    <w:p w:rsidR="00351F2C" w:rsidRPr="005B3882" w:rsidRDefault="00351F2C" w:rsidP="00853F93">
      <w:pPr>
        <w:spacing w:after="0" w:line="300" w:lineRule="atLeast"/>
        <w:jc w:val="both"/>
        <w:rPr>
          <w:rFonts w:ascii="Book Antiqua" w:hAnsi="Book Antiqua" w:cs="Arial"/>
          <w:color w:val="000000"/>
        </w:rPr>
      </w:pPr>
    </w:p>
    <w:p w:rsidR="00351F2C" w:rsidRPr="005B3882" w:rsidRDefault="00351F2C" w:rsidP="005B3882">
      <w:pPr>
        <w:pStyle w:val="Caption"/>
        <w:spacing w:after="0"/>
        <w:jc w:val="center"/>
        <w:rPr>
          <w:rFonts w:ascii="Book Antiqua" w:hAnsi="Book Antiqua" w:cs="Arial"/>
          <w:b w:val="0"/>
          <w:color w:val="000000"/>
          <w:sz w:val="22"/>
          <w:szCs w:val="22"/>
        </w:rPr>
      </w:pPr>
      <w:r w:rsidRPr="005B3882">
        <w:rPr>
          <w:rFonts w:ascii="Book Antiqua" w:hAnsi="Book Antiqua" w:cs="Arial"/>
          <w:sz w:val="22"/>
          <w:szCs w:val="22"/>
        </w:rPr>
        <w:t xml:space="preserve">Figure </w:t>
      </w:r>
      <w:r w:rsidR="00513A9F" w:rsidRPr="005B3882">
        <w:rPr>
          <w:rFonts w:ascii="Book Antiqua" w:hAnsi="Book Antiqua" w:cs="Arial"/>
          <w:sz w:val="22"/>
          <w:szCs w:val="22"/>
        </w:rPr>
        <w:t>1.</w:t>
      </w:r>
      <w:r w:rsidR="00C47C3B" w:rsidRPr="005B3882">
        <w:rPr>
          <w:rFonts w:ascii="Book Antiqua" w:hAnsi="Book Antiqua" w:cs="Arial"/>
          <w:sz w:val="22"/>
          <w:szCs w:val="22"/>
        </w:rPr>
        <w:fldChar w:fldCharType="begin"/>
      </w:r>
      <w:r w:rsidRPr="005B3882">
        <w:rPr>
          <w:rFonts w:ascii="Book Antiqua" w:hAnsi="Book Antiqua" w:cs="Arial"/>
          <w:sz w:val="22"/>
          <w:szCs w:val="22"/>
        </w:rPr>
        <w:instrText xml:space="preserve"> SEQ Figure \* ARABIC \s 1 </w:instrText>
      </w:r>
      <w:r w:rsidR="00C47C3B" w:rsidRPr="005B3882">
        <w:rPr>
          <w:rFonts w:ascii="Book Antiqua" w:hAnsi="Book Antiqua" w:cs="Arial"/>
          <w:sz w:val="22"/>
          <w:szCs w:val="22"/>
        </w:rPr>
        <w:fldChar w:fldCharType="separate"/>
      </w:r>
      <w:r w:rsidR="00B4351F">
        <w:rPr>
          <w:rFonts w:ascii="Book Antiqua" w:hAnsi="Book Antiqua" w:cs="Arial"/>
          <w:noProof/>
          <w:sz w:val="22"/>
          <w:szCs w:val="22"/>
        </w:rPr>
        <w:t>1</w:t>
      </w:r>
      <w:r w:rsidR="00C47C3B" w:rsidRPr="005B3882">
        <w:rPr>
          <w:rFonts w:ascii="Book Antiqua" w:hAnsi="Book Antiqua" w:cs="Arial"/>
          <w:sz w:val="22"/>
          <w:szCs w:val="22"/>
        </w:rPr>
        <w:fldChar w:fldCharType="end"/>
      </w:r>
      <w:r w:rsidRPr="005B3882">
        <w:rPr>
          <w:rFonts w:ascii="Book Antiqua" w:hAnsi="Book Antiqua" w:cs="Arial"/>
          <w:sz w:val="22"/>
          <w:szCs w:val="22"/>
        </w:rPr>
        <w:t xml:space="preserve"> Components of </w:t>
      </w:r>
      <w:r w:rsidR="00480D3D">
        <w:rPr>
          <w:rFonts w:ascii="Book Antiqua" w:hAnsi="Book Antiqua" w:cs="Arial"/>
          <w:sz w:val="22"/>
          <w:szCs w:val="22"/>
        </w:rPr>
        <w:t>REDD+</w:t>
      </w:r>
      <w:r w:rsidRPr="005B3882">
        <w:rPr>
          <w:rFonts w:ascii="Book Antiqua" w:hAnsi="Book Antiqua" w:cs="Arial"/>
          <w:sz w:val="22"/>
          <w:szCs w:val="22"/>
        </w:rPr>
        <w:t xml:space="preserve"> readiness</w:t>
      </w:r>
    </w:p>
    <w:p w:rsidR="00351F2C" w:rsidRPr="00445F77" w:rsidRDefault="000D756D" w:rsidP="00A256CB">
      <w:pPr>
        <w:spacing w:after="0" w:line="300" w:lineRule="atLeast"/>
        <w:jc w:val="center"/>
        <w:rPr>
          <w:rFonts w:ascii="Arial" w:hAnsi="Arial" w:cs="Arial"/>
          <w:color w:val="000000"/>
          <w:sz w:val="24"/>
          <w:szCs w:val="24"/>
        </w:rPr>
      </w:pPr>
      <w:r>
        <w:rPr>
          <w:rFonts w:ascii="Arial" w:hAnsi="Arial" w:cs="Arial"/>
          <w:noProof/>
          <w:color w:val="000000"/>
          <w:sz w:val="24"/>
          <w:szCs w:val="24"/>
          <w:lang w:val="en-US"/>
        </w:rPr>
        <w:drawing>
          <wp:inline distT="0" distB="0" distL="0" distR="0">
            <wp:extent cx="3686175" cy="49339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86175" cy="4933950"/>
                    </a:xfrm>
                    <a:prstGeom prst="rect">
                      <a:avLst/>
                    </a:prstGeom>
                    <a:noFill/>
                    <a:ln w="9525">
                      <a:noFill/>
                      <a:miter lim="800000"/>
                      <a:headEnd/>
                      <a:tailEnd/>
                    </a:ln>
                  </pic:spPr>
                </pic:pic>
              </a:graphicData>
            </a:graphic>
          </wp:inline>
        </w:drawing>
      </w:r>
    </w:p>
    <w:p w:rsidR="00351F2C" w:rsidRPr="00445F77" w:rsidRDefault="00351F2C" w:rsidP="00A256CB">
      <w:pPr>
        <w:spacing w:after="0" w:line="300" w:lineRule="atLeast"/>
        <w:rPr>
          <w:rFonts w:ascii="Arial" w:hAnsi="Arial" w:cs="Arial"/>
          <w:color w:val="000000"/>
          <w:sz w:val="24"/>
          <w:szCs w:val="24"/>
        </w:rPr>
      </w:pPr>
    </w:p>
    <w:p w:rsidR="00351F2C" w:rsidRPr="005B3882" w:rsidRDefault="00351F2C" w:rsidP="00853F93">
      <w:pPr>
        <w:spacing w:after="0" w:line="300" w:lineRule="exact"/>
        <w:contextualSpacing/>
        <w:jc w:val="both"/>
        <w:rPr>
          <w:rFonts w:ascii="Book Antiqua" w:hAnsi="Book Antiqua" w:cs="Arial"/>
          <w:color w:val="000000"/>
        </w:rPr>
      </w:pPr>
      <w:r w:rsidRPr="005B3882">
        <w:rPr>
          <w:rFonts w:ascii="Book Antiqua" w:hAnsi="Book Antiqua" w:cs="Arial"/>
          <w:color w:val="000000"/>
        </w:rPr>
        <w:t xml:space="preserve">The UN-REDD Programme is assisting </w:t>
      </w:r>
      <w:smartTag w:uri="urn:schemas-microsoft-com:office:smarttags" w:element="country-region">
        <w:smartTag w:uri="urn:schemas-microsoft-com:office:smarttags" w:element="place">
          <w:r w:rsidRPr="005B3882">
            <w:rPr>
              <w:rFonts w:ascii="Book Antiqua" w:hAnsi="Book Antiqua" w:cs="Arial"/>
              <w:color w:val="000000"/>
            </w:rPr>
            <w:t>Viet Nam</w:t>
          </w:r>
        </w:smartTag>
      </w:smartTag>
      <w:r w:rsidRPr="005B3882">
        <w:rPr>
          <w:rFonts w:ascii="Book Antiqua" w:hAnsi="Book Antiqua" w:cs="Arial"/>
          <w:color w:val="000000"/>
        </w:rPr>
        <w:t xml:space="preserve">, as one of nine pilot countries, to build its capacity to implement </w:t>
      </w:r>
      <w:r w:rsidR="00480D3D">
        <w:rPr>
          <w:rFonts w:ascii="Book Antiqua" w:hAnsi="Book Antiqua" w:cs="Arial"/>
          <w:color w:val="000000"/>
        </w:rPr>
        <w:t>REDD+</w:t>
      </w:r>
      <w:r w:rsidRPr="005B3882">
        <w:rPr>
          <w:rFonts w:ascii="Book Antiqua" w:hAnsi="Book Antiqua" w:cs="Arial"/>
          <w:color w:val="000000"/>
        </w:rPr>
        <w:t xml:space="preserve">.  In </w:t>
      </w:r>
      <w:smartTag w:uri="urn:schemas-microsoft-com:office:smarttags" w:element="country-region">
        <w:smartTag w:uri="urn:schemas-microsoft-com:office:smarttags" w:element="place">
          <w:r w:rsidRPr="005B3882">
            <w:rPr>
              <w:rFonts w:ascii="Book Antiqua" w:hAnsi="Book Antiqua" w:cs="Arial"/>
              <w:color w:val="000000"/>
            </w:rPr>
            <w:t>Viet Nam</w:t>
          </w:r>
        </w:smartTag>
      </w:smartTag>
      <w:r w:rsidRPr="005B3882">
        <w:rPr>
          <w:rFonts w:ascii="Book Antiqua" w:hAnsi="Book Antiqua" w:cs="Arial"/>
          <w:color w:val="000000"/>
        </w:rPr>
        <w:t xml:space="preserve">, the design of a transparent and equitable </w:t>
      </w:r>
      <w:r w:rsidR="00765C66">
        <w:rPr>
          <w:rFonts w:ascii="Book Antiqua" w:hAnsi="Book Antiqua" w:cs="Arial"/>
          <w:color w:val="000000"/>
        </w:rPr>
        <w:t>BDS</w:t>
      </w:r>
      <w:r w:rsidRPr="005B3882">
        <w:rPr>
          <w:rFonts w:ascii="Book Antiqua" w:hAnsi="Book Antiqua" w:cs="Arial"/>
          <w:color w:val="000000"/>
        </w:rPr>
        <w:t xml:space="preserve"> was identified as one of the key priorities for support from UN-REDD (UN-REDD, </w:t>
      </w:r>
      <w:r w:rsidRPr="005B3882">
        <w:rPr>
          <w:rFonts w:ascii="Book Antiqua" w:hAnsi="Book Antiqua" w:cs="Arial"/>
          <w:color w:val="000000"/>
        </w:rPr>
        <w:lastRenderedPageBreak/>
        <w:t>2009) by the Government of Viet Nam (GoV).  This report describes the results of these efforts to date that have specifically focused on four outputs:</w:t>
      </w:r>
    </w:p>
    <w:p w:rsidR="00351F2C" w:rsidRPr="005B3882" w:rsidRDefault="00351F2C" w:rsidP="00853F93">
      <w:pPr>
        <w:spacing w:after="0" w:line="300" w:lineRule="exact"/>
        <w:contextualSpacing/>
        <w:jc w:val="both"/>
        <w:rPr>
          <w:rFonts w:ascii="Book Antiqua" w:hAnsi="Book Antiqua" w:cs="Arial"/>
          <w:color w:val="000000"/>
        </w:rPr>
      </w:pPr>
    </w:p>
    <w:p w:rsidR="00351F2C" w:rsidRPr="005B3882" w:rsidRDefault="00351F2C" w:rsidP="00853F93">
      <w:pPr>
        <w:pStyle w:val="ListParagraph"/>
        <w:numPr>
          <w:ilvl w:val="0"/>
          <w:numId w:val="1"/>
        </w:numPr>
        <w:spacing w:after="0" w:line="300" w:lineRule="exact"/>
        <w:ind w:left="360" w:hanging="360"/>
        <w:jc w:val="both"/>
        <w:rPr>
          <w:rFonts w:ascii="Book Antiqua" w:hAnsi="Book Antiqua" w:cs="Arial"/>
          <w:color w:val="000000"/>
          <w:lang w:val="en-GB"/>
        </w:rPr>
      </w:pPr>
      <w:r w:rsidRPr="005B3882">
        <w:rPr>
          <w:rFonts w:ascii="Book Antiqua" w:hAnsi="Book Antiqua" w:cs="Arial"/>
          <w:color w:val="000000"/>
          <w:lang w:val="en-GB"/>
        </w:rPr>
        <w:t xml:space="preserve">Identification of elements of a REDD-compliant </w:t>
      </w:r>
      <w:r w:rsidR="00765C66">
        <w:rPr>
          <w:rFonts w:ascii="Book Antiqua" w:hAnsi="Book Antiqua" w:cs="Arial"/>
          <w:color w:val="000000"/>
          <w:lang w:val="en-GB"/>
        </w:rPr>
        <w:t>BDS</w:t>
      </w:r>
      <w:r w:rsidRPr="005B3882">
        <w:rPr>
          <w:rFonts w:ascii="Book Antiqua" w:hAnsi="Book Antiqua" w:cs="Arial"/>
          <w:color w:val="000000"/>
          <w:lang w:val="en-GB"/>
        </w:rPr>
        <w:t>;</w:t>
      </w:r>
    </w:p>
    <w:p w:rsidR="00351F2C" w:rsidRPr="005B3882" w:rsidRDefault="00351F2C" w:rsidP="00853F93">
      <w:pPr>
        <w:pStyle w:val="ListParagraph"/>
        <w:numPr>
          <w:ilvl w:val="0"/>
          <w:numId w:val="1"/>
        </w:numPr>
        <w:spacing w:after="0" w:line="300" w:lineRule="exact"/>
        <w:ind w:left="360" w:hanging="360"/>
        <w:jc w:val="both"/>
        <w:rPr>
          <w:rFonts w:ascii="Book Antiqua" w:hAnsi="Book Antiqua" w:cs="Arial"/>
          <w:color w:val="000000"/>
          <w:lang w:val="en-GB"/>
        </w:rPr>
      </w:pPr>
      <w:r w:rsidRPr="005B3882">
        <w:rPr>
          <w:rFonts w:ascii="Book Antiqua" w:hAnsi="Book Antiqua" w:cs="Arial"/>
          <w:color w:val="000000"/>
          <w:lang w:val="en-GB"/>
        </w:rPr>
        <w:t xml:space="preserve">Identification of constraints or barriers that currently prevent such a system being established in </w:t>
      </w:r>
      <w:smartTag w:uri="urn:schemas-microsoft-com:office:smarttags" w:element="country-region">
        <w:smartTag w:uri="urn:schemas-microsoft-com:office:smarttags" w:element="place">
          <w:r w:rsidRPr="005B3882">
            <w:rPr>
              <w:rFonts w:ascii="Book Antiqua" w:hAnsi="Book Antiqua" w:cs="Arial"/>
              <w:color w:val="000000"/>
              <w:lang w:val="en-GB"/>
            </w:rPr>
            <w:t>Viet Nam</w:t>
          </w:r>
        </w:smartTag>
      </w:smartTag>
      <w:r w:rsidRPr="005B3882">
        <w:rPr>
          <w:rFonts w:ascii="Book Antiqua" w:hAnsi="Book Antiqua" w:cs="Arial"/>
          <w:color w:val="000000"/>
          <w:lang w:val="en-GB"/>
        </w:rPr>
        <w:t>;</w:t>
      </w:r>
    </w:p>
    <w:p w:rsidR="00351F2C" w:rsidRPr="005B3882" w:rsidRDefault="00351F2C" w:rsidP="00853F93">
      <w:pPr>
        <w:pStyle w:val="ListParagraph"/>
        <w:numPr>
          <w:ilvl w:val="0"/>
          <w:numId w:val="1"/>
        </w:numPr>
        <w:spacing w:after="0" w:line="300" w:lineRule="exact"/>
        <w:ind w:left="360" w:hanging="360"/>
        <w:jc w:val="both"/>
        <w:rPr>
          <w:rFonts w:ascii="Book Antiqua" w:hAnsi="Book Antiqua" w:cs="Arial"/>
          <w:color w:val="000000"/>
          <w:lang w:val="en-GB"/>
        </w:rPr>
      </w:pPr>
      <w:r w:rsidRPr="005B3882">
        <w:rPr>
          <w:rFonts w:ascii="Book Antiqua" w:hAnsi="Book Antiqua" w:cs="Arial"/>
          <w:color w:val="000000"/>
          <w:lang w:val="en-GB"/>
        </w:rPr>
        <w:t>Proposal and, where possible, endorsement of policy options to overcome existing constraints or barriers; and</w:t>
      </w:r>
    </w:p>
    <w:p w:rsidR="00351F2C" w:rsidRPr="005B3882" w:rsidRDefault="00351F2C" w:rsidP="00853F93">
      <w:pPr>
        <w:pStyle w:val="ListParagraph"/>
        <w:numPr>
          <w:ilvl w:val="0"/>
          <w:numId w:val="1"/>
        </w:numPr>
        <w:spacing w:after="0" w:line="300" w:lineRule="exact"/>
        <w:ind w:left="360" w:hanging="360"/>
        <w:jc w:val="both"/>
        <w:rPr>
          <w:rFonts w:ascii="Book Antiqua" w:hAnsi="Book Antiqua" w:cs="Arial"/>
          <w:color w:val="000000"/>
          <w:lang w:val="en-GB"/>
        </w:rPr>
      </w:pPr>
      <w:r w:rsidRPr="005B3882">
        <w:rPr>
          <w:rFonts w:ascii="Book Antiqua" w:hAnsi="Book Antiqua" w:cs="Arial"/>
          <w:color w:val="000000"/>
          <w:lang w:val="en-GB"/>
        </w:rPr>
        <w:t>Development of a work programme to implement policy options and to undertake additional analyses, where required.</w:t>
      </w:r>
    </w:p>
    <w:p w:rsidR="00351F2C" w:rsidRPr="005B3882" w:rsidRDefault="00351F2C" w:rsidP="00853F93">
      <w:pPr>
        <w:spacing w:after="0" w:line="300" w:lineRule="exact"/>
        <w:contextualSpacing/>
        <w:jc w:val="both"/>
        <w:rPr>
          <w:rFonts w:ascii="Book Antiqua" w:hAnsi="Book Antiqua" w:cs="Arial"/>
          <w:color w:val="000000"/>
        </w:rPr>
      </w:pPr>
    </w:p>
    <w:p w:rsidR="00351F2C" w:rsidRPr="005B3882" w:rsidRDefault="00351F2C" w:rsidP="00853F93">
      <w:pPr>
        <w:spacing w:after="0" w:line="300" w:lineRule="exact"/>
        <w:contextualSpacing/>
        <w:jc w:val="both"/>
        <w:rPr>
          <w:rFonts w:ascii="Book Antiqua" w:hAnsi="Book Antiqua" w:cs="Arial"/>
          <w:color w:val="000000"/>
        </w:rPr>
      </w:pPr>
      <w:r w:rsidRPr="005B3882">
        <w:rPr>
          <w:rFonts w:ascii="Book Antiqua" w:hAnsi="Book Antiqua" w:cs="Arial"/>
          <w:color w:val="000000"/>
        </w:rPr>
        <w:t xml:space="preserve">In order to achieve these outputs, a team of experts (see Annex 1) was convened under the leadership of the Department of Forestry (DoF) of the Ministry of Agriculture and Rural Development (MARD) to undertake the necessary field work, consultations and literature review over the period September-October, 2009.  This report summarizes the conclusions of the team, including recommendations on policy options required to create the conditions necessary for a REDD-compliant </w:t>
      </w:r>
      <w:r w:rsidR="00765C66">
        <w:rPr>
          <w:rFonts w:ascii="Book Antiqua" w:hAnsi="Book Antiqua" w:cs="Arial"/>
          <w:color w:val="000000"/>
        </w:rPr>
        <w:t>BDS</w:t>
      </w:r>
      <w:r w:rsidRPr="005B3882">
        <w:rPr>
          <w:rFonts w:ascii="Book Antiqua" w:hAnsi="Book Antiqua" w:cs="Arial"/>
          <w:color w:val="000000"/>
        </w:rPr>
        <w:t>.</w:t>
      </w:r>
    </w:p>
    <w:p w:rsidR="00351F2C" w:rsidRPr="005B3882" w:rsidRDefault="00351F2C" w:rsidP="00853F93">
      <w:pPr>
        <w:spacing w:after="0" w:line="300" w:lineRule="exact"/>
        <w:contextualSpacing/>
        <w:jc w:val="both"/>
        <w:rPr>
          <w:rFonts w:ascii="Book Antiqua" w:hAnsi="Book Antiqua" w:cs="Arial"/>
          <w:color w:val="000000"/>
        </w:rPr>
      </w:pPr>
    </w:p>
    <w:p w:rsidR="00351F2C" w:rsidRPr="005B3882" w:rsidRDefault="00351F2C" w:rsidP="00853F93">
      <w:pPr>
        <w:spacing w:after="0" w:line="300" w:lineRule="atLeast"/>
        <w:contextualSpacing/>
        <w:jc w:val="both"/>
        <w:rPr>
          <w:rFonts w:ascii="Book Antiqua" w:hAnsi="Book Antiqua" w:cs="Arial"/>
          <w:color w:val="000000"/>
        </w:rPr>
      </w:pPr>
      <w:r w:rsidRPr="005B3882">
        <w:rPr>
          <w:rFonts w:ascii="Book Antiqua" w:hAnsi="Book Antiqua" w:cs="Arial"/>
          <w:color w:val="000000"/>
        </w:rPr>
        <w:t xml:space="preserve">This Chapter provides background information on </w:t>
      </w:r>
      <w:r w:rsidR="00480D3D">
        <w:rPr>
          <w:rFonts w:ascii="Book Antiqua" w:hAnsi="Book Antiqua" w:cs="Arial"/>
          <w:color w:val="000000"/>
        </w:rPr>
        <w:t>REDD+</w:t>
      </w:r>
      <w:r w:rsidRPr="005B3882">
        <w:rPr>
          <w:rFonts w:ascii="Book Antiqua" w:hAnsi="Book Antiqua" w:cs="Arial"/>
          <w:color w:val="000000"/>
        </w:rPr>
        <w:t xml:space="preserve"> and the situation of the forest sector in </w:t>
      </w:r>
      <w:smartTag w:uri="urn:schemas-microsoft-com:office:smarttags" w:element="country-region">
        <w:smartTag w:uri="urn:schemas-microsoft-com:office:smarttags" w:element="place">
          <w:r w:rsidRPr="005B3882">
            <w:rPr>
              <w:rFonts w:ascii="Book Antiqua" w:hAnsi="Book Antiqua" w:cs="Arial"/>
              <w:color w:val="000000"/>
            </w:rPr>
            <w:t>Viet Nam</w:t>
          </w:r>
        </w:smartTag>
      </w:smartTag>
      <w:r w:rsidRPr="005B3882">
        <w:rPr>
          <w:rFonts w:ascii="Book Antiqua" w:hAnsi="Book Antiqua" w:cs="Arial"/>
          <w:color w:val="000000"/>
        </w:rPr>
        <w:t xml:space="preserve">.  This is followed (Chapter 2) by a review of past and current experiences with benefit sharing in the forest sector in </w:t>
      </w:r>
      <w:smartTag w:uri="urn:schemas-microsoft-com:office:smarttags" w:element="country-region">
        <w:smartTag w:uri="urn:schemas-microsoft-com:office:smarttags" w:element="place">
          <w:r w:rsidRPr="005B3882">
            <w:rPr>
              <w:rFonts w:ascii="Book Antiqua" w:hAnsi="Book Antiqua" w:cs="Arial"/>
              <w:color w:val="000000"/>
            </w:rPr>
            <w:t>Viet Nam</w:t>
          </w:r>
        </w:smartTag>
      </w:smartTag>
      <w:r w:rsidRPr="005B3882">
        <w:rPr>
          <w:rFonts w:ascii="Book Antiqua" w:hAnsi="Book Antiqua" w:cs="Arial"/>
          <w:color w:val="000000"/>
        </w:rPr>
        <w:t xml:space="preserve">.  Chapter 3 provides an analysis of the legal framework and identifies the necessary changes required for a REDD-compliant </w:t>
      </w:r>
      <w:r w:rsidR="00765C66">
        <w:rPr>
          <w:rFonts w:ascii="Book Antiqua" w:hAnsi="Book Antiqua" w:cs="Arial"/>
          <w:color w:val="000000"/>
        </w:rPr>
        <w:t>BDS</w:t>
      </w:r>
      <w:r w:rsidRPr="005B3882">
        <w:rPr>
          <w:rFonts w:ascii="Book Antiqua" w:hAnsi="Book Antiqua" w:cs="Arial"/>
          <w:color w:val="000000"/>
        </w:rPr>
        <w:t xml:space="preserve">.  Chapter 4 describes a mechanism to receive international funds/revenues in such a way that their use and distribution can be tracked in a transparent manner:  In Chapter 5, a basis for revenue retention at different levels of the distribution system is described, together with an approach to benefit structuring.  This theme is continued in Chapter 6, which discusses payment structuring in terms of payments versus other benefits; and targeting of individual stakeholders or stakeholder groupings; as well as a basis for equitable performance-based allocation of net revenues (gross revenues minus retained revenues), incorporating also “co-benefits”, such as social benefits and biodiversity benefits.  Chapter 7 describes a participatory approach to monitoring of </w:t>
      </w:r>
      <w:r w:rsidR="00480D3D">
        <w:rPr>
          <w:rFonts w:ascii="Book Antiqua" w:hAnsi="Book Antiqua" w:cs="Arial"/>
          <w:color w:val="000000"/>
        </w:rPr>
        <w:t>REDD+</w:t>
      </w:r>
      <w:r w:rsidRPr="005B3882">
        <w:rPr>
          <w:rFonts w:ascii="Book Antiqua" w:hAnsi="Book Antiqua" w:cs="Arial"/>
          <w:color w:val="000000"/>
        </w:rPr>
        <w:t xml:space="preserve"> investments and payments, including independent audits.  A summary of all policy recommendations is provided in Chapter 8, and a proposed work programme to implement the recommendations is described in Chapter 9.</w:t>
      </w:r>
    </w:p>
    <w:p w:rsidR="00351F2C" w:rsidRPr="00445F77" w:rsidRDefault="00351F2C" w:rsidP="00853F93">
      <w:pPr>
        <w:spacing w:after="0" w:line="300" w:lineRule="atLeast"/>
        <w:contextualSpacing/>
        <w:jc w:val="both"/>
        <w:rPr>
          <w:rFonts w:ascii="Arial" w:hAnsi="Arial" w:cs="Arial"/>
          <w:color w:val="000000"/>
          <w:sz w:val="24"/>
          <w:szCs w:val="24"/>
        </w:rPr>
      </w:pPr>
    </w:p>
    <w:p w:rsidR="00351F2C" w:rsidRPr="00445F77" w:rsidRDefault="00351F2C" w:rsidP="002D0F33">
      <w:pPr>
        <w:pStyle w:val="Heading2"/>
        <w:numPr>
          <w:ilvl w:val="1"/>
          <w:numId w:val="97"/>
        </w:numPr>
        <w:tabs>
          <w:tab w:val="left" w:pos="567"/>
        </w:tabs>
        <w:spacing w:before="0" w:after="0"/>
        <w:ind w:left="450"/>
        <w:contextualSpacing/>
        <w:rPr>
          <w:rFonts w:ascii="Arial" w:hAnsi="Arial" w:cs="Arial"/>
          <w:sz w:val="24"/>
          <w:szCs w:val="24"/>
        </w:rPr>
      </w:pPr>
      <w:bookmarkStart w:id="26" w:name="_Toc243984114"/>
      <w:bookmarkStart w:id="27" w:name="_Toc244327637"/>
      <w:bookmarkStart w:id="28" w:name="_Toc244327886"/>
      <w:bookmarkStart w:id="29" w:name="_Toc244735038"/>
      <w:bookmarkStart w:id="30" w:name="_Toc244735646"/>
      <w:bookmarkStart w:id="31" w:name="_Toc252354722"/>
      <w:r w:rsidRPr="00445F77">
        <w:rPr>
          <w:rFonts w:ascii="Arial" w:hAnsi="Arial" w:cs="Arial"/>
          <w:sz w:val="24"/>
          <w:szCs w:val="24"/>
        </w:rPr>
        <w:t xml:space="preserve">Background to </w:t>
      </w:r>
      <w:r w:rsidR="00480D3D">
        <w:rPr>
          <w:rFonts w:ascii="Arial" w:hAnsi="Arial" w:cs="Arial"/>
          <w:sz w:val="24"/>
          <w:szCs w:val="24"/>
        </w:rPr>
        <w:t>REDD+</w:t>
      </w:r>
      <w:r w:rsidRPr="00445F77">
        <w:rPr>
          <w:rFonts w:ascii="Arial" w:hAnsi="Arial" w:cs="Arial"/>
          <w:sz w:val="24"/>
          <w:szCs w:val="24"/>
        </w:rPr>
        <w:t xml:space="preserve">, the UNFCCC Negotiation Process, and Implications for </w:t>
      </w:r>
      <w:r w:rsidR="00765C66">
        <w:rPr>
          <w:rFonts w:ascii="Arial" w:hAnsi="Arial" w:cs="Arial"/>
          <w:sz w:val="24"/>
          <w:szCs w:val="24"/>
        </w:rPr>
        <w:t>BDS</w:t>
      </w:r>
      <w:r w:rsidRPr="00445F77">
        <w:rPr>
          <w:rFonts w:ascii="Arial" w:hAnsi="Arial" w:cs="Arial"/>
          <w:sz w:val="24"/>
          <w:szCs w:val="24"/>
        </w:rPr>
        <w:t>s</w:t>
      </w:r>
      <w:bookmarkEnd w:id="26"/>
      <w:bookmarkEnd w:id="27"/>
      <w:bookmarkEnd w:id="28"/>
      <w:bookmarkEnd w:id="29"/>
      <w:bookmarkEnd w:id="30"/>
      <w:bookmarkEnd w:id="31"/>
    </w:p>
    <w:p w:rsidR="00351F2C" w:rsidRPr="005B3882" w:rsidRDefault="00351F2C" w:rsidP="00853F93">
      <w:pPr>
        <w:spacing w:after="0" w:line="300" w:lineRule="atLeast"/>
        <w:contextualSpacing/>
        <w:jc w:val="both"/>
        <w:rPr>
          <w:rFonts w:ascii="Book Antiqua" w:hAnsi="Book Antiqua" w:cs="Arial"/>
        </w:rPr>
      </w:pPr>
      <w:r w:rsidRPr="005B3882">
        <w:rPr>
          <w:rFonts w:ascii="Book Antiqua" w:hAnsi="Book Antiqua" w:cs="Arial"/>
        </w:rPr>
        <w:t xml:space="preserve">In 2005, in response to a joint proposal from the governments of </w:t>
      </w:r>
      <w:smartTag w:uri="urn:schemas-microsoft-com:office:smarttags" w:element="country-region">
        <w:r w:rsidRPr="005B3882">
          <w:rPr>
            <w:rFonts w:ascii="Book Antiqua" w:hAnsi="Book Antiqua" w:cs="Arial"/>
          </w:rPr>
          <w:t>Papua New Guinea</w:t>
        </w:r>
      </w:smartTag>
      <w:r w:rsidRPr="005B3882">
        <w:rPr>
          <w:rFonts w:ascii="Book Antiqua" w:hAnsi="Book Antiqua" w:cs="Arial"/>
        </w:rPr>
        <w:t xml:space="preserve"> and </w:t>
      </w:r>
      <w:smartTag w:uri="urn:schemas-microsoft-com:office:smarttags" w:element="country-region">
        <w:smartTag w:uri="urn:schemas-microsoft-com:office:smarttags" w:element="place">
          <w:r w:rsidRPr="005B3882">
            <w:rPr>
              <w:rFonts w:ascii="Book Antiqua" w:hAnsi="Book Antiqua" w:cs="Arial"/>
            </w:rPr>
            <w:t>Costa Rica</w:t>
          </w:r>
        </w:smartTag>
      </w:smartTag>
      <w:r w:rsidRPr="005B3882">
        <w:rPr>
          <w:rFonts w:ascii="Book Antiqua" w:hAnsi="Book Antiqua" w:cs="Arial"/>
        </w:rPr>
        <w:t>, the 11</w:t>
      </w:r>
      <w:r w:rsidRPr="005B3882">
        <w:rPr>
          <w:rFonts w:ascii="Book Antiqua" w:hAnsi="Book Antiqua" w:cs="Arial"/>
          <w:vertAlign w:val="superscript"/>
        </w:rPr>
        <w:t>th</w:t>
      </w:r>
      <w:r w:rsidRPr="005B3882">
        <w:rPr>
          <w:rFonts w:ascii="Book Antiqua" w:hAnsi="Book Antiqua" w:cs="Arial"/>
        </w:rPr>
        <w:t xml:space="preserve"> meeting of the Conference of the Parties (CoP) to the United Nations Framework Convention on Climate Change (UNFCCC) began considering the possibility of including the reduction of emissions from deforestation (RED) into a post-Kyoto agreement.  Subsequently, the Stern Review on the economics of climate change (Stern, 2006), released in 2006, noted that ‘Reducing emissions from deforestation and forest degradation in developing countries’ (</w:t>
      </w:r>
      <w:r w:rsidR="00480D3D">
        <w:rPr>
          <w:rFonts w:ascii="Book Antiqua" w:hAnsi="Book Antiqua" w:cs="Arial"/>
        </w:rPr>
        <w:t>REDD</w:t>
      </w:r>
      <w:r w:rsidRPr="005B3882">
        <w:rPr>
          <w:rFonts w:ascii="Book Antiqua" w:hAnsi="Book Antiqua" w:cs="Arial"/>
        </w:rPr>
        <w:t xml:space="preserve">) could be a cost-effective route for mitigating the impacts of climate change.  This recognition of the potential role and reasonable cost </w:t>
      </w:r>
      <w:r w:rsidRPr="005B3882">
        <w:rPr>
          <w:rFonts w:ascii="Book Antiqua" w:hAnsi="Book Antiqua" w:cs="Arial"/>
        </w:rPr>
        <w:lastRenderedPageBreak/>
        <w:t xml:space="preserve">of </w:t>
      </w:r>
      <w:r w:rsidR="00480D3D">
        <w:rPr>
          <w:rFonts w:ascii="Book Antiqua" w:hAnsi="Book Antiqua" w:cs="Arial"/>
        </w:rPr>
        <w:t>REDD</w:t>
      </w:r>
      <w:r w:rsidRPr="005B3882">
        <w:rPr>
          <w:rFonts w:ascii="Book Antiqua" w:hAnsi="Book Antiqua" w:cs="Arial"/>
        </w:rPr>
        <w:t xml:space="preserve"> led to its inclusion in the “Bali Action Plan” (UNFCCC, 2007), agreed at CoP13 of the UN Framework Convention on Climate Change (UNFCCC) in 2007. </w:t>
      </w:r>
    </w:p>
    <w:p w:rsidR="00351F2C" w:rsidRPr="005B3882" w:rsidRDefault="00351F2C" w:rsidP="00853F93">
      <w:pPr>
        <w:spacing w:after="0" w:line="300" w:lineRule="atLeast"/>
        <w:contextualSpacing/>
        <w:jc w:val="both"/>
        <w:rPr>
          <w:rFonts w:ascii="Book Antiqua" w:hAnsi="Book Antiqua" w:cs="Arial"/>
        </w:rPr>
      </w:pPr>
    </w:p>
    <w:p w:rsidR="00351F2C" w:rsidRPr="005B3882" w:rsidRDefault="00351F2C" w:rsidP="00853F93">
      <w:pPr>
        <w:spacing w:after="0" w:line="300" w:lineRule="atLeast"/>
        <w:contextualSpacing/>
        <w:jc w:val="both"/>
        <w:rPr>
          <w:rFonts w:ascii="Book Antiqua" w:hAnsi="Book Antiqua" w:cs="Arial"/>
          <w:iCs/>
        </w:rPr>
      </w:pPr>
      <w:r w:rsidRPr="005B3882">
        <w:rPr>
          <w:rFonts w:ascii="Book Antiqua" w:hAnsi="Book Antiqua" w:cs="Arial"/>
        </w:rPr>
        <w:t>As part of the Bali Action Plan, the discussion broadened further to consider: “</w:t>
      </w:r>
      <w:r w:rsidRPr="005B3882">
        <w:rPr>
          <w:rFonts w:ascii="Book Antiqua" w:hAnsi="Book Antiqua" w:cs="Arial"/>
          <w:i/>
          <w:iCs/>
        </w:rPr>
        <w:t>Policy approaches and positive incentives on issues relating to reducing emissions from deforestation and forest degradation in developing countries; and the role of conservation, sustainable management of forests and enhancement of forest carbon stocks in developing countries”</w:t>
      </w:r>
      <w:r w:rsidRPr="005B3882">
        <w:rPr>
          <w:rFonts w:ascii="Book Antiqua" w:hAnsi="Book Antiqua" w:cs="Arial"/>
          <w:iCs/>
        </w:rPr>
        <w:t xml:space="preserve">, now referred to as </w:t>
      </w:r>
      <w:r w:rsidR="001B6D90">
        <w:rPr>
          <w:rFonts w:ascii="Book Antiqua" w:hAnsi="Book Antiqua" w:cs="Arial"/>
          <w:iCs/>
        </w:rPr>
        <w:t>REDD+</w:t>
      </w:r>
      <w:r w:rsidRPr="005B3882">
        <w:rPr>
          <w:rFonts w:ascii="Book Antiqua" w:hAnsi="Book Antiqua" w:cs="Arial"/>
          <w:iCs/>
        </w:rPr>
        <w:t>.</w:t>
      </w:r>
    </w:p>
    <w:p w:rsidR="00351F2C" w:rsidRPr="005B3882" w:rsidRDefault="00351F2C" w:rsidP="00853F93">
      <w:pPr>
        <w:spacing w:after="0" w:line="300" w:lineRule="atLeast"/>
        <w:contextualSpacing/>
        <w:jc w:val="both"/>
        <w:rPr>
          <w:rFonts w:ascii="Book Antiqua" w:hAnsi="Book Antiqua" w:cs="Arial"/>
          <w:iCs/>
        </w:rPr>
      </w:pPr>
    </w:p>
    <w:p w:rsidR="00351F2C" w:rsidRPr="005B3882" w:rsidRDefault="00351F2C" w:rsidP="00853F93">
      <w:pPr>
        <w:tabs>
          <w:tab w:val="left" w:pos="6660"/>
        </w:tabs>
        <w:spacing w:after="0" w:line="300" w:lineRule="atLeast"/>
        <w:contextualSpacing/>
        <w:jc w:val="both"/>
        <w:rPr>
          <w:rFonts w:ascii="Book Antiqua" w:hAnsi="Book Antiqua" w:cs="Arial"/>
        </w:rPr>
      </w:pPr>
      <w:r w:rsidRPr="005B3882">
        <w:rPr>
          <w:rFonts w:ascii="Book Antiqua" w:hAnsi="Book Antiqua" w:cs="Arial"/>
        </w:rPr>
        <w:t xml:space="preserve">Since CoP 13, UNFCCC debates on </w:t>
      </w:r>
      <w:r w:rsidR="00480D3D">
        <w:rPr>
          <w:rFonts w:ascii="Book Antiqua" w:hAnsi="Book Antiqua" w:cs="Arial"/>
        </w:rPr>
        <w:t>REDD+</w:t>
      </w:r>
      <w:r w:rsidRPr="005B3882">
        <w:rPr>
          <w:rFonts w:ascii="Book Antiqua" w:hAnsi="Book Antiqua" w:cs="Arial"/>
        </w:rPr>
        <w:t xml:space="preserve"> have been held under two Convention bodies.  The Subsidiary Body for Scientific and Technical Advice (SBSTA) has been considering methodological approaches to address the most problematic issues associated with </w:t>
      </w:r>
      <w:r w:rsidR="001B6D90">
        <w:rPr>
          <w:rFonts w:ascii="Book Antiqua" w:hAnsi="Book Antiqua" w:cs="Arial"/>
        </w:rPr>
        <w:t>REDD+</w:t>
      </w:r>
      <w:r w:rsidRPr="005B3882">
        <w:rPr>
          <w:rFonts w:ascii="Book Antiqua" w:hAnsi="Book Antiqua" w:cs="Arial"/>
        </w:rPr>
        <w:t xml:space="preserve">.  At the same time, the </w:t>
      </w:r>
      <w:r w:rsidRPr="005B3882">
        <w:rPr>
          <w:rFonts w:ascii="Book Antiqua" w:hAnsi="Book Antiqua" w:cs="Arial"/>
          <w:i/>
        </w:rPr>
        <w:t xml:space="preserve">Ad hoc </w:t>
      </w:r>
      <w:r w:rsidRPr="005B3882">
        <w:rPr>
          <w:rFonts w:ascii="Book Antiqua" w:hAnsi="Book Antiqua" w:cs="Arial"/>
        </w:rPr>
        <w:t>Working Group on Long-term Collaborative Action (AWG-LCA) has been moving towards a mutually agreed text that could form part of a post-Kyoto agreement.  AWG-LCA discussions have established that:</w:t>
      </w:r>
    </w:p>
    <w:p w:rsidR="00351F2C" w:rsidRPr="005B3882" w:rsidRDefault="00351F2C" w:rsidP="008227FD">
      <w:pPr>
        <w:pStyle w:val="Default"/>
        <w:numPr>
          <w:ilvl w:val="0"/>
          <w:numId w:val="113"/>
        </w:numPr>
        <w:spacing w:line="300" w:lineRule="atLeast"/>
        <w:ind w:left="360"/>
        <w:contextualSpacing/>
        <w:jc w:val="both"/>
        <w:rPr>
          <w:rFonts w:ascii="Book Antiqua" w:hAnsi="Book Antiqua" w:cs="Arial"/>
          <w:sz w:val="22"/>
          <w:szCs w:val="22"/>
          <w:lang w:val="en-GB"/>
        </w:rPr>
      </w:pPr>
      <w:r w:rsidRPr="005B3882">
        <w:rPr>
          <w:rFonts w:ascii="Book Antiqua" w:hAnsi="Book Antiqua" w:cs="Arial"/>
          <w:sz w:val="22"/>
          <w:szCs w:val="22"/>
          <w:lang w:val="en-GB"/>
        </w:rPr>
        <w:t xml:space="preserve">Policy approaches should be performance-based, so that support for implementation is based on results (i.e. based on measurable and verifiable emissions reductions). </w:t>
      </w:r>
    </w:p>
    <w:p w:rsidR="00351F2C" w:rsidRPr="005B3882" w:rsidRDefault="00351F2C" w:rsidP="008227FD">
      <w:pPr>
        <w:pStyle w:val="Default"/>
        <w:numPr>
          <w:ilvl w:val="0"/>
          <w:numId w:val="113"/>
        </w:numPr>
        <w:spacing w:line="300" w:lineRule="atLeast"/>
        <w:ind w:left="360"/>
        <w:contextualSpacing/>
        <w:jc w:val="both"/>
        <w:rPr>
          <w:rFonts w:ascii="Book Antiqua" w:hAnsi="Book Antiqua" w:cs="Arial"/>
          <w:sz w:val="22"/>
          <w:szCs w:val="22"/>
          <w:lang w:val="en-GB"/>
        </w:rPr>
      </w:pPr>
      <w:r w:rsidRPr="005B3882">
        <w:rPr>
          <w:rFonts w:ascii="Book Antiqua" w:hAnsi="Book Antiqua" w:cs="Arial"/>
          <w:sz w:val="22"/>
          <w:szCs w:val="22"/>
          <w:lang w:val="en-GB"/>
        </w:rPr>
        <w:t xml:space="preserve">The </w:t>
      </w:r>
      <w:r w:rsidR="001B6D90">
        <w:rPr>
          <w:rFonts w:ascii="Book Antiqua" w:hAnsi="Book Antiqua" w:cs="Arial"/>
          <w:sz w:val="22"/>
          <w:szCs w:val="22"/>
          <w:lang w:val="en-GB"/>
        </w:rPr>
        <w:t>REDD+</w:t>
      </w:r>
      <w:r w:rsidRPr="005B3882">
        <w:rPr>
          <w:rFonts w:ascii="Book Antiqua" w:hAnsi="Book Antiqua" w:cs="Arial"/>
          <w:sz w:val="22"/>
          <w:szCs w:val="22"/>
          <w:lang w:val="en-GB"/>
        </w:rPr>
        <w:t xml:space="preserve"> mechanism should be implemented at the national level, rather than at sub-national levels, taking into account national circumstances.  </w:t>
      </w:r>
      <w:r w:rsidR="00AC12C1">
        <w:rPr>
          <w:rFonts w:ascii="Book Antiqua" w:hAnsi="Book Antiqua" w:cs="Arial"/>
          <w:sz w:val="22"/>
          <w:szCs w:val="22"/>
          <w:lang w:val="en-GB"/>
        </w:rPr>
        <w:t>Thus, REDD+ will be unlike project-based approaches such as A/R CDM, or voluntary market carbon conservation projects.  Although actual implementation of interventions under REDD+ will necessarily occur locally, and therefore resemble project-based approaches, accounting, reporting and revenue generation will occur at the national level, thus making REDD+ fundamentally different.</w:t>
      </w:r>
    </w:p>
    <w:p w:rsidR="00351F2C" w:rsidRPr="005B3882" w:rsidRDefault="00351F2C" w:rsidP="00853F93">
      <w:pPr>
        <w:pStyle w:val="Default"/>
        <w:spacing w:line="300" w:lineRule="atLeast"/>
        <w:ind w:left="360"/>
        <w:contextualSpacing/>
        <w:jc w:val="both"/>
        <w:rPr>
          <w:rFonts w:ascii="Book Antiqua" w:hAnsi="Book Antiqua" w:cs="Arial"/>
          <w:sz w:val="22"/>
          <w:szCs w:val="22"/>
          <w:lang w:val="en-GB"/>
        </w:rPr>
      </w:pPr>
    </w:p>
    <w:p w:rsidR="00351F2C" w:rsidRPr="005B3882" w:rsidRDefault="00351F2C" w:rsidP="00853F93">
      <w:pPr>
        <w:spacing w:after="0" w:line="300" w:lineRule="atLeast"/>
        <w:contextualSpacing/>
        <w:jc w:val="both"/>
        <w:rPr>
          <w:rFonts w:ascii="Book Antiqua" w:hAnsi="Book Antiqua" w:cs="Arial"/>
        </w:rPr>
      </w:pPr>
      <w:r w:rsidRPr="005B3882">
        <w:rPr>
          <w:rFonts w:ascii="Book Antiqua" w:hAnsi="Book Antiqua" w:cs="Arial"/>
        </w:rPr>
        <w:t xml:space="preserve">These important characteristics of </w:t>
      </w:r>
      <w:r w:rsidR="00480D3D">
        <w:rPr>
          <w:rFonts w:ascii="Book Antiqua" w:hAnsi="Book Antiqua" w:cs="Arial"/>
        </w:rPr>
        <w:t>REDD+</w:t>
      </w:r>
      <w:r w:rsidRPr="005B3882">
        <w:rPr>
          <w:rFonts w:ascii="Book Antiqua" w:hAnsi="Book Antiqua" w:cs="Arial"/>
        </w:rPr>
        <w:t xml:space="preserve"> are reflected in Figure</w:t>
      </w:r>
      <w:r w:rsidR="00AC12C1">
        <w:rPr>
          <w:rFonts w:ascii="Book Antiqua" w:hAnsi="Book Antiqua" w:cs="Arial"/>
        </w:rPr>
        <w:t>s</w:t>
      </w:r>
      <w:r w:rsidRPr="005B3882">
        <w:rPr>
          <w:rFonts w:ascii="Book Antiqua" w:hAnsi="Book Antiqua" w:cs="Arial"/>
        </w:rPr>
        <w:t xml:space="preserve"> </w:t>
      </w:r>
      <w:r w:rsidR="00513A9F" w:rsidRPr="005B3882">
        <w:rPr>
          <w:rFonts w:ascii="Book Antiqua" w:hAnsi="Book Antiqua" w:cs="Arial"/>
        </w:rPr>
        <w:t>1.</w:t>
      </w:r>
      <w:r w:rsidRPr="005B3882">
        <w:rPr>
          <w:rFonts w:ascii="Book Antiqua" w:hAnsi="Book Antiqua" w:cs="Arial"/>
        </w:rPr>
        <w:t>2</w:t>
      </w:r>
      <w:r w:rsidR="00AC12C1">
        <w:rPr>
          <w:rFonts w:ascii="Book Antiqua" w:hAnsi="Book Antiqua" w:cs="Arial"/>
        </w:rPr>
        <w:t>, showing a generic REDD+ system, and 1.3, showing how REDD+ may be implemented in Viet Nam</w:t>
      </w:r>
      <w:r w:rsidRPr="005B3882">
        <w:rPr>
          <w:rFonts w:ascii="Book Antiqua" w:hAnsi="Book Antiqua" w:cs="Arial"/>
        </w:rPr>
        <w:t xml:space="preserve">.  In parallel to the UNFCCC discussions, various authors have analyzed the essential characteristics of a national </w:t>
      </w:r>
      <w:r w:rsidR="00480D3D">
        <w:rPr>
          <w:rFonts w:ascii="Book Antiqua" w:hAnsi="Book Antiqua" w:cs="Arial"/>
        </w:rPr>
        <w:t>REDD+</w:t>
      </w:r>
      <w:r w:rsidRPr="005B3882">
        <w:rPr>
          <w:rFonts w:ascii="Book Antiqua" w:hAnsi="Book Antiqua" w:cs="Arial"/>
        </w:rPr>
        <w:t xml:space="preserve"> mechanism.  For example, a report by the International Institute for Environment and Development (IIED) concluded that “</w:t>
      </w:r>
      <w:r w:rsidRPr="005B3882">
        <w:rPr>
          <w:rFonts w:ascii="Book Antiqua" w:hAnsi="Book Antiqua" w:cs="Arial"/>
          <w:i/>
        </w:rPr>
        <w:t xml:space="preserve">Effective local institutional capability, and the knowledge and preparedness to put good forestry into practice, will be essential for </w:t>
      </w:r>
      <w:r w:rsidR="00480D3D">
        <w:rPr>
          <w:rFonts w:ascii="Book Antiqua" w:hAnsi="Book Antiqua" w:cs="Arial"/>
          <w:i/>
        </w:rPr>
        <w:t>REDD+</w:t>
      </w:r>
      <w:r w:rsidRPr="005B3882">
        <w:rPr>
          <w:rFonts w:ascii="Book Antiqua" w:hAnsi="Book Antiqua" w:cs="Arial"/>
          <w:i/>
        </w:rPr>
        <w:t>. For this to be achievable, effective and equitable local property rights are needed</w:t>
      </w:r>
      <w:r w:rsidRPr="005B3882">
        <w:rPr>
          <w:rFonts w:ascii="Book Antiqua" w:hAnsi="Book Antiqua" w:cs="Arial"/>
        </w:rPr>
        <w:t>”.  The report goes on to identify some key recommendations, including:</w:t>
      </w:r>
    </w:p>
    <w:p w:rsidR="00351F2C" w:rsidRPr="005B3882" w:rsidRDefault="00351F2C" w:rsidP="008227FD">
      <w:pPr>
        <w:pStyle w:val="ListParagraph"/>
        <w:numPr>
          <w:ilvl w:val="0"/>
          <w:numId w:val="114"/>
        </w:numPr>
        <w:autoSpaceDE w:val="0"/>
        <w:autoSpaceDN w:val="0"/>
        <w:adjustRightInd w:val="0"/>
        <w:spacing w:after="0" w:line="300" w:lineRule="atLeast"/>
        <w:ind w:left="360"/>
        <w:jc w:val="both"/>
        <w:rPr>
          <w:rFonts w:ascii="Book Antiqua" w:hAnsi="Book Antiqua" w:cs="Arial"/>
          <w:lang w:val="en-GB"/>
        </w:rPr>
      </w:pPr>
      <w:r w:rsidRPr="005B3882">
        <w:rPr>
          <w:rFonts w:ascii="Book Antiqua" w:hAnsi="Book Antiqua" w:cs="Arial"/>
          <w:lang w:val="en-GB"/>
        </w:rPr>
        <w:t xml:space="preserve">Shape </w:t>
      </w:r>
      <w:r w:rsidR="00480D3D">
        <w:rPr>
          <w:rFonts w:ascii="Book Antiqua" w:hAnsi="Book Antiqua" w:cs="Arial"/>
          <w:lang w:val="en-GB"/>
        </w:rPr>
        <w:t>REDD+</w:t>
      </w:r>
      <w:r w:rsidRPr="005B3882">
        <w:rPr>
          <w:rFonts w:ascii="Book Antiqua" w:hAnsi="Book Antiqua" w:cs="Arial"/>
          <w:lang w:val="en-GB"/>
        </w:rPr>
        <w:t xml:space="preserve"> schemes to contribute to improved forest governance, not vice versa. </w:t>
      </w:r>
    </w:p>
    <w:p w:rsidR="00351F2C" w:rsidRPr="005B3882" w:rsidRDefault="00351F2C" w:rsidP="008227FD">
      <w:pPr>
        <w:pStyle w:val="ListParagraph"/>
        <w:numPr>
          <w:ilvl w:val="0"/>
          <w:numId w:val="114"/>
        </w:numPr>
        <w:spacing w:after="0" w:line="300" w:lineRule="atLeast"/>
        <w:ind w:left="360"/>
        <w:jc w:val="both"/>
        <w:rPr>
          <w:rFonts w:ascii="Book Antiqua" w:hAnsi="Book Antiqua" w:cs="Arial"/>
          <w:lang w:val="en-GB"/>
        </w:rPr>
      </w:pPr>
      <w:r w:rsidRPr="005B3882">
        <w:rPr>
          <w:rFonts w:ascii="Book Antiqua" w:hAnsi="Book Antiqua" w:cs="Arial"/>
          <w:lang w:val="en-GB"/>
        </w:rPr>
        <w:t xml:space="preserve">Strengthen local resource rights, including customary rights. </w:t>
      </w:r>
    </w:p>
    <w:p w:rsidR="00351F2C" w:rsidRPr="005B3882" w:rsidRDefault="00351F2C" w:rsidP="008227FD">
      <w:pPr>
        <w:pStyle w:val="ListParagraph"/>
        <w:numPr>
          <w:ilvl w:val="0"/>
          <w:numId w:val="114"/>
        </w:numPr>
        <w:spacing w:after="0" w:line="300" w:lineRule="atLeast"/>
        <w:ind w:left="360"/>
        <w:jc w:val="both"/>
        <w:rPr>
          <w:rFonts w:ascii="Book Antiqua" w:hAnsi="Book Antiqua" w:cs="Arial"/>
          <w:lang w:val="en-GB"/>
        </w:rPr>
      </w:pPr>
      <w:r w:rsidRPr="005B3882">
        <w:rPr>
          <w:rFonts w:ascii="Book Antiqua" w:hAnsi="Book Antiqua" w:cs="Arial"/>
          <w:lang w:val="en-GB"/>
        </w:rPr>
        <w:t>Develop effective arrangements to channel benefits to the local level.</w:t>
      </w:r>
    </w:p>
    <w:p w:rsidR="00853F93" w:rsidRDefault="00853F93" w:rsidP="00853F93">
      <w:pPr>
        <w:spacing w:after="0" w:line="300" w:lineRule="atLeast"/>
        <w:jc w:val="both"/>
        <w:rPr>
          <w:rFonts w:ascii="Book Antiqua" w:hAnsi="Book Antiqua" w:cs="Arial"/>
          <w:color w:val="000000"/>
        </w:rPr>
      </w:pPr>
    </w:p>
    <w:p w:rsidR="00853F93" w:rsidRPr="00853F93" w:rsidRDefault="00853F93" w:rsidP="00853F93">
      <w:pPr>
        <w:spacing w:after="0" w:line="300" w:lineRule="atLeast"/>
        <w:jc w:val="both"/>
        <w:rPr>
          <w:rFonts w:ascii="Book Antiqua" w:hAnsi="Book Antiqua" w:cs="Arial"/>
          <w:color w:val="000000"/>
        </w:rPr>
      </w:pPr>
      <w:r w:rsidRPr="00853F93">
        <w:rPr>
          <w:rFonts w:ascii="Book Antiqua" w:hAnsi="Book Antiqua" w:cs="Arial"/>
          <w:color w:val="000000"/>
        </w:rPr>
        <w:t xml:space="preserve">This study thus responds both to the emerging consensus under the UNFCCC discussions, and the technical requirements for an operational REDD+ mechanism at the national level.  The design of a BDS, initiated at the request of the GoV, is closely linked to the national REDD+ strategy, the development of which is also supported through the UN-REDD programme in </w:t>
      </w:r>
      <w:smartTag w:uri="urn:schemas-microsoft-com:office:smarttags" w:element="country-region">
        <w:smartTag w:uri="urn:schemas-microsoft-com:office:smarttags" w:element="place">
          <w:r w:rsidRPr="00853F93">
            <w:rPr>
              <w:rFonts w:ascii="Book Antiqua" w:hAnsi="Book Antiqua" w:cs="Arial"/>
              <w:color w:val="000000"/>
            </w:rPr>
            <w:t>Viet Nam</w:t>
          </w:r>
        </w:smartTag>
      </w:smartTag>
      <w:r w:rsidRPr="00853F93">
        <w:rPr>
          <w:rFonts w:ascii="Book Antiqua" w:hAnsi="Book Antiqua" w:cs="Arial"/>
          <w:color w:val="000000"/>
        </w:rPr>
        <w:t>.</w:t>
      </w:r>
    </w:p>
    <w:p w:rsidR="00853F93" w:rsidRPr="00853F93" w:rsidRDefault="00853F93" w:rsidP="00853F93">
      <w:pPr>
        <w:spacing w:after="0" w:line="300" w:lineRule="exact"/>
        <w:jc w:val="both"/>
        <w:rPr>
          <w:rFonts w:ascii="Arial" w:hAnsi="Arial" w:cs="Arial"/>
          <w:color w:val="1F497D"/>
          <w:sz w:val="24"/>
          <w:szCs w:val="24"/>
        </w:rPr>
      </w:pPr>
    </w:p>
    <w:p w:rsidR="00104230" w:rsidRPr="00445F77" w:rsidRDefault="00104230" w:rsidP="00853F93">
      <w:pPr>
        <w:pStyle w:val="ListParagraph"/>
        <w:spacing w:after="0" w:line="300" w:lineRule="atLeast"/>
        <w:jc w:val="both"/>
        <w:rPr>
          <w:rFonts w:ascii="Arial" w:hAnsi="Arial" w:cs="Arial"/>
          <w:sz w:val="24"/>
          <w:szCs w:val="24"/>
          <w:lang w:val="en-GB"/>
        </w:rPr>
      </w:pPr>
    </w:p>
    <w:p w:rsidR="00853F93" w:rsidRDefault="00853F93" w:rsidP="005B3882">
      <w:pPr>
        <w:pStyle w:val="Caption"/>
        <w:spacing w:after="0"/>
        <w:jc w:val="center"/>
        <w:rPr>
          <w:rFonts w:ascii="Book Antiqua" w:hAnsi="Book Antiqua" w:cs="Arial"/>
          <w:sz w:val="22"/>
          <w:szCs w:val="22"/>
        </w:rPr>
      </w:pPr>
    </w:p>
    <w:p w:rsidR="00853F93" w:rsidRDefault="00853F93" w:rsidP="005B3882">
      <w:pPr>
        <w:pStyle w:val="Caption"/>
        <w:spacing w:after="0"/>
        <w:jc w:val="center"/>
        <w:rPr>
          <w:rFonts w:ascii="Book Antiqua" w:hAnsi="Book Antiqua" w:cs="Arial"/>
          <w:sz w:val="22"/>
          <w:szCs w:val="22"/>
        </w:rPr>
      </w:pPr>
    </w:p>
    <w:p w:rsidR="00853F93" w:rsidRDefault="00853F93" w:rsidP="005B3882">
      <w:pPr>
        <w:pStyle w:val="Caption"/>
        <w:spacing w:after="0"/>
        <w:jc w:val="center"/>
        <w:rPr>
          <w:rFonts w:ascii="Book Antiqua" w:hAnsi="Book Antiqua" w:cs="Arial"/>
          <w:sz w:val="22"/>
          <w:szCs w:val="22"/>
        </w:rPr>
      </w:pPr>
    </w:p>
    <w:p w:rsidR="00351F2C" w:rsidRPr="005B3882" w:rsidRDefault="00351F2C" w:rsidP="005B3882">
      <w:pPr>
        <w:pStyle w:val="Caption"/>
        <w:spacing w:after="0"/>
        <w:jc w:val="center"/>
        <w:rPr>
          <w:rFonts w:ascii="Book Antiqua" w:hAnsi="Book Antiqua" w:cs="Arial"/>
          <w:sz w:val="22"/>
          <w:szCs w:val="22"/>
        </w:rPr>
      </w:pPr>
      <w:r w:rsidRPr="005B3882">
        <w:rPr>
          <w:rFonts w:ascii="Book Antiqua" w:hAnsi="Book Antiqua" w:cs="Arial"/>
          <w:sz w:val="22"/>
          <w:szCs w:val="22"/>
        </w:rPr>
        <w:t xml:space="preserve">Figure </w:t>
      </w:r>
      <w:r w:rsidR="00513A9F" w:rsidRPr="005B3882">
        <w:rPr>
          <w:rFonts w:ascii="Book Antiqua" w:hAnsi="Book Antiqua" w:cs="Arial"/>
          <w:sz w:val="22"/>
          <w:szCs w:val="22"/>
        </w:rPr>
        <w:t>1.</w:t>
      </w:r>
      <w:r w:rsidR="00C47C3B" w:rsidRPr="005B3882">
        <w:rPr>
          <w:rFonts w:ascii="Book Antiqua" w:hAnsi="Book Antiqua" w:cs="Arial"/>
          <w:sz w:val="22"/>
          <w:szCs w:val="22"/>
        </w:rPr>
        <w:fldChar w:fldCharType="begin"/>
      </w:r>
      <w:r w:rsidRPr="005B3882">
        <w:rPr>
          <w:rFonts w:ascii="Book Antiqua" w:hAnsi="Book Antiqua" w:cs="Arial"/>
          <w:sz w:val="22"/>
          <w:szCs w:val="22"/>
        </w:rPr>
        <w:instrText xml:space="preserve"> SEQ Figure \* ARABIC \s 1 </w:instrText>
      </w:r>
      <w:r w:rsidR="00C47C3B" w:rsidRPr="005B3882">
        <w:rPr>
          <w:rFonts w:ascii="Book Antiqua" w:hAnsi="Book Antiqua" w:cs="Arial"/>
          <w:sz w:val="22"/>
          <w:szCs w:val="22"/>
        </w:rPr>
        <w:fldChar w:fldCharType="separate"/>
      </w:r>
      <w:r w:rsidR="00B4351F">
        <w:rPr>
          <w:rFonts w:ascii="Book Antiqua" w:hAnsi="Book Antiqua" w:cs="Arial"/>
          <w:noProof/>
          <w:sz w:val="22"/>
          <w:szCs w:val="22"/>
        </w:rPr>
        <w:t>2</w:t>
      </w:r>
      <w:r w:rsidR="00C47C3B" w:rsidRPr="005B3882">
        <w:rPr>
          <w:rFonts w:ascii="Book Antiqua" w:hAnsi="Book Antiqua" w:cs="Arial"/>
          <w:sz w:val="22"/>
          <w:szCs w:val="22"/>
        </w:rPr>
        <w:fldChar w:fldCharType="end"/>
      </w:r>
      <w:r w:rsidRPr="005B3882">
        <w:rPr>
          <w:rFonts w:ascii="Book Antiqua" w:hAnsi="Book Antiqua" w:cs="Arial"/>
          <w:sz w:val="22"/>
          <w:szCs w:val="22"/>
        </w:rPr>
        <w:t xml:space="preserve"> Basic </w:t>
      </w:r>
      <w:r w:rsidR="00480D3D">
        <w:rPr>
          <w:rFonts w:ascii="Book Antiqua" w:hAnsi="Book Antiqua" w:cs="Arial"/>
          <w:sz w:val="22"/>
          <w:szCs w:val="22"/>
        </w:rPr>
        <w:t>REDD+</w:t>
      </w:r>
      <w:r w:rsidRPr="005B3882">
        <w:rPr>
          <w:rFonts w:ascii="Book Antiqua" w:hAnsi="Book Antiqua" w:cs="Arial"/>
          <w:sz w:val="22"/>
          <w:szCs w:val="22"/>
        </w:rPr>
        <w:t xml:space="preserve"> system</w:t>
      </w:r>
    </w:p>
    <w:p w:rsidR="00351F2C" w:rsidRPr="00445F77" w:rsidRDefault="00C47C3B" w:rsidP="00A256CB">
      <w:pPr>
        <w:spacing w:after="0" w:line="240" w:lineRule="auto"/>
        <w:jc w:val="both"/>
        <w:rPr>
          <w:rFonts w:ascii="Arial" w:hAnsi="Arial" w:cs="Arial"/>
          <w:sz w:val="24"/>
          <w:szCs w:val="24"/>
        </w:rPr>
      </w:pPr>
      <w:r w:rsidRPr="00C47C3B">
        <w:rPr>
          <w:rFonts w:ascii="Arial" w:hAnsi="Arial" w:cs="Arial"/>
          <w:noProof/>
          <w:sz w:val="24"/>
          <w:szCs w:val="24"/>
        </w:rPr>
        <w:pict>
          <v:shape id="_x0000_s1050" type="#_x0000_t202" style="position:absolute;left:0;text-align:left;margin-left:68.6pt;margin-top:3.95pt;width:285.35pt;height:313.5pt;z-index:251602432;mso-wrap-style:none" fillcolor="#dbe5f1">
            <v:shadow on="t" color="#95b3d7" offset="4pt,4pt" offset2="4pt,4pt"/>
            <v:textbox style="mso-next-textbox:#_x0000_s1050">
              <w:txbxContent>
                <w:p w:rsidR="00B4351F" w:rsidRDefault="00B4351F" w:rsidP="00A256CB">
                  <w:r>
                    <w:rPr>
                      <w:noProof/>
                      <w:lang w:val="en-US"/>
                    </w:rPr>
                    <w:drawing>
                      <wp:inline distT="0" distB="0" distL="0" distR="0">
                        <wp:extent cx="3429000" cy="3838575"/>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429000" cy="3838575"/>
                                </a:xfrm>
                                <a:prstGeom prst="rect">
                                  <a:avLst/>
                                </a:prstGeom>
                                <a:noFill/>
                                <a:ln w="9525">
                                  <a:noFill/>
                                  <a:miter lim="800000"/>
                                  <a:headEnd/>
                                  <a:tailEnd/>
                                </a:ln>
                              </pic:spPr>
                            </pic:pic>
                          </a:graphicData>
                        </a:graphic>
                      </wp:inline>
                    </w:drawing>
                  </w:r>
                </w:p>
              </w:txbxContent>
            </v:textbox>
          </v:shape>
        </w:pict>
      </w: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240" w:lineRule="auto"/>
        <w:jc w:val="both"/>
        <w:rPr>
          <w:rFonts w:ascii="Arial" w:hAnsi="Arial" w:cs="Arial"/>
          <w:sz w:val="24"/>
          <w:szCs w:val="24"/>
        </w:rPr>
      </w:pPr>
    </w:p>
    <w:p w:rsidR="00351F2C" w:rsidRPr="00445F77" w:rsidRDefault="00351F2C" w:rsidP="00A256CB">
      <w:pPr>
        <w:spacing w:after="0" w:line="300" w:lineRule="atLeast"/>
        <w:jc w:val="both"/>
        <w:rPr>
          <w:rFonts w:ascii="Arial" w:hAnsi="Arial" w:cs="Arial"/>
          <w:color w:val="000000"/>
          <w:sz w:val="24"/>
          <w:szCs w:val="24"/>
        </w:rPr>
      </w:pPr>
    </w:p>
    <w:p w:rsidR="00104230" w:rsidRPr="00445F77" w:rsidRDefault="00104230" w:rsidP="00A256CB">
      <w:pPr>
        <w:spacing w:after="0" w:line="300" w:lineRule="atLeast"/>
        <w:jc w:val="both"/>
        <w:rPr>
          <w:rFonts w:ascii="Arial" w:hAnsi="Arial" w:cs="Arial"/>
          <w:color w:val="000000"/>
          <w:sz w:val="24"/>
          <w:szCs w:val="24"/>
        </w:rPr>
      </w:pPr>
    </w:p>
    <w:p w:rsidR="00104230" w:rsidRPr="00445F77" w:rsidRDefault="00104230" w:rsidP="00A256CB">
      <w:pPr>
        <w:spacing w:after="0" w:line="300" w:lineRule="atLeast"/>
        <w:jc w:val="both"/>
        <w:rPr>
          <w:rFonts w:ascii="Arial" w:hAnsi="Arial" w:cs="Arial"/>
          <w:color w:val="000000"/>
          <w:sz w:val="24"/>
          <w:szCs w:val="24"/>
        </w:rPr>
      </w:pPr>
    </w:p>
    <w:p w:rsidR="00104230" w:rsidRPr="00445F77" w:rsidRDefault="00104230" w:rsidP="00A256CB">
      <w:pPr>
        <w:spacing w:after="0" w:line="300" w:lineRule="atLeast"/>
        <w:jc w:val="both"/>
        <w:rPr>
          <w:rFonts w:ascii="Arial" w:hAnsi="Arial" w:cs="Arial"/>
          <w:color w:val="000000"/>
          <w:sz w:val="24"/>
          <w:szCs w:val="24"/>
        </w:rPr>
      </w:pPr>
    </w:p>
    <w:p w:rsidR="00104230" w:rsidRPr="00445F77" w:rsidRDefault="00104230" w:rsidP="00A256CB">
      <w:pPr>
        <w:spacing w:after="0" w:line="300" w:lineRule="atLeast"/>
        <w:jc w:val="both"/>
        <w:rPr>
          <w:rFonts w:ascii="Arial" w:hAnsi="Arial" w:cs="Arial"/>
          <w:color w:val="000000"/>
          <w:sz w:val="24"/>
          <w:szCs w:val="24"/>
        </w:rPr>
      </w:pPr>
    </w:p>
    <w:p w:rsidR="00104230" w:rsidRDefault="00104230" w:rsidP="00A256CB">
      <w:pPr>
        <w:spacing w:after="0" w:line="300" w:lineRule="atLeast"/>
        <w:jc w:val="both"/>
        <w:rPr>
          <w:rFonts w:ascii="Book Antiqua" w:hAnsi="Book Antiqua" w:cs="Arial"/>
          <w:color w:val="000000"/>
        </w:rPr>
      </w:pPr>
    </w:p>
    <w:p w:rsidR="00C5782C" w:rsidRDefault="00A97DE1" w:rsidP="00A256CB">
      <w:pPr>
        <w:spacing w:after="0" w:line="300" w:lineRule="atLeast"/>
        <w:jc w:val="both"/>
        <w:rPr>
          <w:rFonts w:ascii="Book Antiqua" w:hAnsi="Book Antiqua" w:cs="Arial"/>
          <w:color w:val="000000"/>
        </w:rPr>
      </w:pPr>
      <w:r>
        <w:rPr>
          <w:rFonts w:ascii="Book Antiqua" w:hAnsi="Book Antiqua" w:cs="Arial"/>
          <w:color w:val="000000"/>
        </w:rPr>
        <w:t xml:space="preserve">In designing a REDD+ Benefit Distribution system, two key issues need to be considered, namely the form of the benefit and the recipient of the benefit.  </w:t>
      </w:r>
      <w:r w:rsidR="00C5782C">
        <w:rPr>
          <w:rFonts w:ascii="Book Antiqua" w:hAnsi="Book Antiqua" w:cs="Arial"/>
          <w:color w:val="000000"/>
        </w:rPr>
        <w:t>There are a number of options for benefits from REDD+.  They may take the form of direct cash payments to stakeholders; improved services (e.g. provision of new or improved health or education facilities; improved rural infrastructure, and so on); increased budget support to initiatives designed to reduce deforestation and degradation; provision of subsidies to encourage appropriate behaviour; reduction of taxes on goods or services, etc.  Similarly, beneficiaries might be rural households or communities, governmental or non-governmental organizations, or businesses.</w:t>
      </w:r>
    </w:p>
    <w:p w:rsidR="00C5782C" w:rsidRDefault="00C5782C" w:rsidP="00A256CB">
      <w:pPr>
        <w:spacing w:after="0" w:line="300" w:lineRule="atLeast"/>
        <w:jc w:val="both"/>
        <w:rPr>
          <w:rFonts w:ascii="Book Antiqua" w:hAnsi="Book Antiqua" w:cs="Arial"/>
          <w:color w:val="000000"/>
        </w:rPr>
      </w:pPr>
    </w:p>
    <w:p w:rsidR="00A97DE1" w:rsidRDefault="00C5782C" w:rsidP="00A256CB">
      <w:pPr>
        <w:spacing w:after="0" w:line="300" w:lineRule="atLeast"/>
        <w:jc w:val="both"/>
        <w:rPr>
          <w:rFonts w:ascii="Book Antiqua" w:hAnsi="Book Antiqua" w:cs="Arial"/>
          <w:color w:val="000000"/>
        </w:rPr>
      </w:pPr>
      <w:r>
        <w:rPr>
          <w:rFonts w:ascii="Book Antiqua" w:hAnsi="Book Antiqua" w:cs="Arial"/>
          <w:color w:val="000000"/>
        </w:rPr>
        <w:t>For each country, its national REDD strategy will need to consider all the possible options for measures to reduce deforestation and degradation (including conservation, sustainable forest management and enhancement of forest carbon stocks) and thereby identify the optimum combination of form of benefit and selection of beneficiaries to secure the planned reduction in emissions as effectively and cost-efficiently as possible.  In most cases, it is to be expected that several types of benefit distribution will be required in different parts of the country, or to address different drivers of deforestation and degradation.</w:t>
      </w:r>
    </w:p>
    <w:p w:rsidR="00C5782C" w:rsidRDefault="00C5782C" w:rsidP="00A256CB">
      <w:pPr>
        <w:spacing w:after="0" w:line="300" w:lineRule="atLeast"/>
        <w:jc w:val="both"/>
        <w:rPr>
          <w:rFonts w:ascii="Book Antiqua" w:hAnsi="Book Antiqua" w:cs="Arial"/>
          <w:color w:val="000000"/>
        </w:rPr>
      </w:pPr>
    </w:p>
    <w:p w:rsidR="00C5782C" w:rsidRDefault="00C5782C" w:rsidP="00A256CB">
      <w:pPr>
        <w:spacing w:after="0" w:line="300" w:lineRule="atLeast"/>
        <w:jc w:val="both"/>
        <w:rPr>
          <w:rFonts w:ascii="Book Antiqua" w:hAnsi="Book Antiqua" w:cs="Arial"/>
          <w:color w:val="000000"/>
        </w:rPr>
      </w:pPr>
      <w:r>
        <w:rPr>
          <w:rFonts w:ascii="Book Antiqua" w:hAnsi="Book Antiqua" w:cs="Arial"/>
          <w:color w:val="000000"/>
        </w:rPr>
        <w:lastRenderedPageBreak/>
        <w:t xml:space="preserve">It is not within the scope of this study to consider all the possible combinations of types of benefit and beneficiaries.  However, it is clear that the challenges in implementing a fair, equitable and transparent system of benefit distribution vary according to the selected combination.  For example, determining a fair and equitable </w:t>
      </w:r>
      <w:r w:rsidR="002D27C3">
        <w:rPr>
          <w:rFonts w:ascii="Book Antiqua" w:hAnsi="Book Antiqua" w:cs="Arial"/>
          <w:color w:val="000000"/>
        </w:rPr>
        <w:t>level of budgetary support to a government department to undertake actions designed to improve forest conservation is a relatively simple matter.  The most complex form of benefit distribution concerns benefits (either cash or improved services) provided to rural households or communities, as they are the smallest and most numerous type of beneficiary, and the most distant in terms of institutional hierarchy from a centralized national system for receipt of REDD+ revenues.  Therefore, much of the discussion in this report focuses on the challenges of benefit distribution to rural stakeholders (households or communities), since if this can be achieved in a fair, equitable and transparent manner, the simpler forms of benefit distribution should also meet these principles.  However, this does not imply that the authors believe that benefits distributed to rural households or communities are necessarily the optimal form of benefit distribution in all cases.</w:t>
      </w:r>
    </w:p>
    <w:p w:rsidR="002D27C3" w:rsidRDefault="002D27C3" w:rsidP="00A256CB">
      <w:pPr>
        <w:spacing w:after="0" w:line="300" w:lineRule="atLeast"/>
        <w:jc w:val="both"/>
        <w:rPr>
          <w:rFonts w:ascii="Book Antiqua" w:hAnsi="Book Antiqua" w:cs="Arial"/>
          <w:color w:val="000000"/>
        </w:rPr>
      </w:pPr>
    </w:p>
    <w:p w:rsidR="002D27C3" w:rsidRDefault="002D27C3" w:rsidP="00A256CB">
      <w:pPr>
        <w:spacing w:after="0" w:line="300" w:lineRule="atLeast"/>
        <w:jc w:val="both"/>
        <w:rPr>
          <w:rFonts w:ascii="Book Antiqua" w:hAnsi="Book Antiqua" w:cs="Arial"/>
          <w:color w:val="000000"/>
        </w:rPr>
      </w:pPr>
      <w:r>
        <w:rPr>
          <w:rFonts w:ascii="Book Antiqua" w:hAnsi="Book Antiqua" w:cs="Arial"/>
          <w:color w:val="000000"/>
        </w:rPr>
        <w:t>It should also be noted that REDD+ benefit distribution needs to incorporate a gender perspective, to ensure that the needs of women, who frequently form a marginalized group in the forest sector, are taken into account, and that REDD+ can act as an impetus to improved gender equality.  Thus, benefits made to households and communities should include safeguards to ensure gender equality.</w:t>
      </w:r>
    </w:p>
    <w:p w:rsidR="00C5782C" w:rsidRPr="005B3882" w:rsidRDefault="00C5782C" w:rsidP="00A256CB">
      <w:pPr>
        <w:spacing w:after="0" w:line="300" w:lineRule="atLeast"/>
        <w:jc w:val="both"/>
        <w:rPr>
          <w:rFonts w:ascii="Book Antiqua" w:hAnsi="Book Antiqua" w:cs="Arial"/>
          <w:color w:val="000000"/>
        </w:rPr>
      </w:pPr>
    </w:p>
    <w:p w:rsidR="00351F2C" w:rsidRPr="00445F77" w:rsidRDefault="00480D3D" w:rsidP="002D0F33">
      <w:pPr>
        <w:pStyle w:val="Heading2"/>
        <w:numPr>
          <w:ilvl w:val="1"/>
          <w:numId w:val="97"/>
        </w:numPr>
        <w:tabs>
          <w:tab w:val="left" w:pos="567"/>
        </w:tabs>
        <w:spacing w:before="0"/>
        <w:ind w:left="450"/>
        <w:rPr>
          <w:rFonts w:ascii="Arial" w:hAnsi="Arial" w:cs="Arial"/>
          <w:sz w:val="24"/>
          <w:szCs w:val="24"/>
        </w:rPr>
      </w:pPr>
      <w:bookmarkStart w:id="32" w:name="_Toc252354723"/>
      <w:bookmarkStart w:id="33" w:name="BM5_1__forest_and_forest_lands"/>
      <w:r>
        <w:rPr>
          <w:rFonts w:ascii="Arial" w:hAnsi="Arial" w:cs="Arial"/>
          <w:sz w:val="24"/>
          <w:szCs w:val="24"/>
        </w:rPr>
        <w:t>REDD+</w:t>
      </w:r>
      <w:r w:rsidR="00351F2C" w:rsidRPr="00445F77">
        <w:rPr>
          <w:rFonts w:ascii="Arial" w:hAnsi="Arial" w:cs="Arial"/>
          <w:sz w:val="24"/>
          <w:szCs w:val="24"/>
        </w:rPr>
        <w:t xml:space="preserve"> Implementation and Benefit Sharing</w:t>
      </w:r>
      <w:bookmarkEnd w:id="32"/>
    </w:p>
    <w:p w:rsidR="00351F2C" w:rsidRPr="005B3882" w:rsidRDefault="00351F2C" w:rsidP="00A256CB">
      <w:pPr>
        <w:pStyle w:val="ListParagraph"/>
        <w:spacing w:after="0" w:line="300" w:lineRule="exact"/>
        <w:ind w:left="0"/>
        <w:jc w:val="both"/>
        <w:outlineLvl w:val="1"/>
        <w:rPr>
          <w:rFonts w:ascii="Book Antiqua" w:hAnsi="Book Antiqua" w:cs="Arial"/>
          <w:color w:val="000000"/>
          <w:lang w:val="en-GB"/>
        </w:rPr>
      </w:pPr>
      <w:bookmarkStart w:id="34" w:name="_Toc249078654"/>
      <w:bookmarkStart w:id="35" w:name="_Toc249079229"/>
      <w:bookmarkStart w:id="36" w:name="_Toc249079490"/>
      <w:r w:rsidRPr="005B3882">
        <w:rPr>
          <w:rFonts w:ascii="Book Antiqua" w:hAnsi="Book Antiqua" w:cs="Arial"/>
          <w:color w:val="000000"/>
          <w:lang w:val="en-GB"/>
        </w:rPr>
        <w:t xml:space="preserve">As depicted in Figure 1.1, above, a </w:t>
      </w:r>
      <w:r w:rsidR="00765C66">
        <w:rPr>
          <w:rFonts w:ascii="Book Antiqua" w:hAnsi="Book Antiqua" w:cs="Arial"/>
          <w:color w:val="000000"/>
          <w:lang w:val="en-GB"/>
        </w:rPr>
        <w:t>BDS</w:t>
      </w:r>
      <w:r w:rsidRPr="005B3882">
        <w:rPr>
          <w:rFonts w:ascii="Book Antiqua" w:hAnsi="Book Antiqua" w:cs="Arial"/>
          <w:color w:val="000000"/>
          <w:lang w:val="en-GB"/>
        </w:rPr>
        <w:t xml:space="preserve"> is only one component of a complete </w:t>
      </w:r>
      <w:r w:rsidR="00480D3D">
        <w:rPr>
          <w:rFonts w:ascii="Book Antiqua" w:hAnsi="Book Antiqua" w:cs="Arial"/>
          <w:color w:val="000000"/>
          <w:lang w:val="en-GB"/>
        </w:rPr>
        <w:t>REDD+</w:t>
      </w:r>
      <w:r w:rsidRPr="005B3882">
        <w:rPr>
          <w:rFonts w:ascii="Book Antiqua" w:hAnsi="Book Antiqua" w:cs="Arial"/>
          <w:color w:val="000000"/>
          <w:lang w:val="en-GB"/>
        </w:rPr>
        <w:t xml:space="preserve"> regime.  The elaboration of a national </w:t>
      </w:r>
      <w:r w:rsidR="00480D3D">
        <w:rPr>
          <w:rFonts w:ascii="Book Antiqua" w:hAnsi="Book Antiqua" w:cs="Arial"/>
          <w:color w:val="000000"/>
          <w:lang w:val="en-GB"/>
        </w:rPr>
        <w:t>REDD+</w:t>
      </w:r>
      <w:r w:rsidRPr="005B3882">
        <w:rPr>
          <w:rFonts w:ascii="Book Antiqua" w:hAnsi="Book Antiqua" w:cs="Arial"/>
          <w:color w:val="000000"/>
          <w:lang w:val="en-GB"/>
        </w:rPr>
        <w:t xml:space="preserve"> strategy (in Viet Nam, referred to as the National </w:t>
      </w:r>
      <w:r w:rsidR="00480D3D">
        <w:rPr>
          <w:rFonts w:ascii="Book Antiqua" w:hAnsi="Book Antiqua" w:cs="Arial"/>
          <w:color w:val="000000"/>
          <w:lang w:val="en-GB"/>
        </w:rPr>
        <w:t>REDD+</w:t>
      </w:r>
      <w:r w:rsidRPr="005B3882">
        <w:rPr>
          <w:rFonts w:ascii="Book Antiqua" w:hAnsi="Book Antiqua" w:cs="Arial"/>
          <w:color w:val="000000"/>
          <w:lang w:val="en-GB"/>
        </w:rPr>
        <w:t xml:space="preserve"> Programme), calculation of a Reference Emission Level (REL), and development of measurement and reporting capacities, are essential the other elements in such a regime.  Most of these elements present technical challenges, but these challenges are not unique to </w:t>
      </w:r>
      <w:r w:rsidR="00480D3D">
        <w:rPr>
          <w:rFonts w:ascii="Book Antiqua" w:hAnsi="Book Antiqua" w:cs="Arial"/>
          <w:color w:val="000000"/>
          <w:lang w:val="en-GB"/>
        </w:rPr>
        <w:t>REDD+</w:t>
      </w:r>
      <w:r w:rsidRPr="005B3882">
        <w:rPr>
          <w:rFonts w:ascii="Book Antiqua" w:hAnsi="Book Antiqua" w:cs="Arial"/>
          <w:color w:val="000000"/>
          <w:lang w:val="en-GB"/>
        </w:rPr>
        <w:t xml:space="preserve"> – they apply equally to sustainable forest management and forest conservation initiatives.  However, the </w:t>
      </w:r>
      <w:r w:rsidR="00765C66">
        <w:rPr>
          <w:rFonts w:ascii="Book Antiqua" w:hAnsi="Book Antiqua" w:cs="Arial"/>
          <w:color w:val="000000"/>
          <w:lang w:val="en-GB"/>
        </w:rPr>
        <w:t>BDS</w:t>
      </w:r>
      <w:r w:rsidRPr="005B3882">
        <w:rPr>
          <w:rFonts w:ascii="Book Antiqua" w:hAnsi="Book Antiqua" w:cs="Arial"/>
          <w:color w:val="000000"/>
          <w:lang w:val="en-GB"/>
        </w:rPr>
        <w:t xml:space="preserve"> represents a unique aspect of </w:t>
      </w:r>
      <w:r w:rsidR="00480D3D">
        <w:rPr>
          <w:rFonts w:ascii="Book Antiqua" w:hAnsi="Book Antiqua" w:cs="Arial"/>
          <w:color w:val="000000"/>
          <w:lang w:val="en-GB"/>
        </w:rPr>
        <w:t>REDD+</w:t>
      </w:r>
      <w:r w:rsidRPr="005B3882">
        <w:rPr>
          <w:rFonts w:ascii="Book Antiqua" w:hAnsi="Book Antiqua" w:cs="Arial"/>
          <w:color w:val="000000"/>
          <w:lang w:val="en-GB"/>
        </w:rPr>
        <w:t xml:space="preserve"> that integrates not only technical challenges, but also governance issues, and associated principles such as equity and transparency.</w:t>
      </w:r>
      <w:bookmarkEnd w:id="34"/>
      <w:bookmarkEnd w:id="35"/>
      <w:bookmarkEnd w:id="36"/>
    </w:p>
    <w:p w:rsidR="00351F2C" w:rsidRPr="005B3882" w:rsidRDefault="00351F2C" w:rsidP="00A256CB">
      <w:pPr>
        <w:pStyle w:val="ListParagraph"/>
        <w:spacing w:after="0" w:line="300" w:lineRule="exact"/>
        <w:ind w:left="0"/>
        <w:jc w:val="both"/>
        <w:outlineLvl w:val="1"/>
        <w:rPr>
          <w:rFonts w:ascii="Book Antiqua" w:hAnsi="Book Antiqua" w:cs="Arial"/>
          <w:color w:val="000000"/>
          <w:lang w:val="en-GB"/>
        </w:rPr>
      </w:pPr>
    </w:p>
    <w:p w:rsidR="00A15687" w:rsidRDefault="00351F2C" w:rsidP="00A256CB">
      <w:pPr>
        <w:autoSpaceDE w:val="0"/>
        <w:autoSpaceDN w:val="0"/>
        <w:adjustRightInd w:val="0"/>
        <w:spacing w:after="0" w:line="300" w:lineRule="atLeast"/>
        <w:jc w:val="both"/>
        <w:rPr>
          <w:rFonts w:ascii="Book Antiqua" w:hAnsi="Book Antiqua" w:cs="Arial"/>
        </w:rPr>
        <w:sectPr w:rsidR="00A15687" w:rsidSect="00F524A3">
          <w:headerReference w:type="even" r:id="rId13"/>
          <w:headerReference w:type="default" r:id="rId14"/>
          <w:footerReference w:type="even" r:id="rId15"/>
          <w:footerReference w:type="default" r:id="rId16"/>
          <w:headerReference w:type="first" r:id="rId17"/>
          <w:footerReference w:type="first" r:id="rId18"/>
          <w:pgSz w:w="11907" w:h="16840" w:code="9"/>
          <w:pgMar w:top="1440" w:right="1418" w:bottom="1440" w:left="1701" w:header="720" w:footer="720" w:gutter="0"/>
          <w:cols w:space="720"/>
          <w:docGrid w:linePitch="360"/>
        </w:sectPr>
      </w:pPr>
      <w:r w:rsidRPr="005B3882">
        <w:rPr>
          <w:rFonts w:ascii="Book Antiqua" w:hAnsi="Book Antiqua" w:cs="Arial"/>
          <w:color w:val="000000"/>
        </w:rPr>
        <w:t xml:space="preserve">Davis </w:t>
      </w:r>
      <w:r w:rsidRPr="005B3882">
        <w:rPr>
          <w:rFonts w:ascii="Book Antiqua" w:hAnsi="Book Antiqua" w:cs="Arial"/>
          <w:i/>
          <w:color w:val="000000"/>
        </w:rPr>
        <w:t>et al</w:t>
      </w:r>
      <w:r w:rsidRPr="005B3882">
        <w:rPr>
          <w:rFonts w:ascii="Book Antiqua" w:hAnsi="Book Antiqua" w:cs="Arial"/>
          <w:color w:val="000000"/>
        </w:rPr>
        <w:t>. (2009), in a review of 25 Readiness Plan Idea Notes from the FCPF, conclude that countries have paid insufficient attention to the apportionment of revenues among forest governance actors, and that most proposals made to date therefore lack clarity.  It is true that f</w:t>
      </w:r>
      <w:r w:rsidRPr="005B3882">
        <w:rPr>
          <w:rFonts w:ascii="Book Antiqua" w:hAnsi="Book Antiqua" w:cs="Arial"/>
        </w:rPr>
        <w:t xml:space="preserve">ew, if any examples of comprehensive REDD-compliant </w:t>
      </w:r>
      <w:r w:rsidR="00765C66">
        <w:rPr>
          <w:rFonts w:ascii="Book Antiqua" w:hAnsi="Book Antiqua" w:cs="Arial"/>
        </w:rPr>
        <w:t>BDS</w:t>
      </w:r>
      <w:r w:rsidRPr="005B3882">
        <w:rPr>
          <w:rFonts w:ascii="Book Antiqua" w:hAnsi="Book Antiqua" w:cs="Arial"/>
        </w:rPr>
        <w:t xml:space="preserve">s exist as yet.  The Ministry of Forestry in Indonesia has issued a Ministerial Decree (“Permenhut 36”) (Government of Indonesia, 2009), which specifies proportions of revenues to be shared among central, sub-national governments and local stakeholders for C-sequestration </w:t>
      </w:r>
      <w:r w:rsidR="0074733F">
        <w:rPr>
          <w:rFonts w:ascii="Book Antiqua" w:hAnsi="Book Antiqua" w:cs="Arial"/>
        </w:rPr>
        <w:t>Payment for Environmental Services (</w:t>
      </w:r>
      <w:r w:rsidRPr="005B3882">
        <w:rPr>
          <w:rFonts w:ascii="Book Antiqua" w:hAnsi="Book Antiqua" w:cs="Arial"/>
        </w:rPr>
        <w:t>PES</w:t>
      </w:r>
      <w:r w:rsidR="0074733F">
        <w:rPr>
          <w:rFonts w:ascii="Book Antiqua" w:hAnsi="Book Antiqua" w:cs="Arial"/>
        </w:rPr>
        <w:t>)</w:t>
      </w:r>
      <w:r w:rsidRPr="005B3882">
        <w:rPr>
          <w:rFonts w:ascii="Book Antiqua" w:hAnsi="Book Antiqua" w:cs="Arial"/>
        </w:rPr>
        <w:t xml:space="preserve"> projects targeting the voluntary market.  This is not a proposal for a </w:t>
      </w:r>
      <w:r w:rsidR="00480D3D">
        <w:rPr>
          <w:rFonts w:ascii="Book Antiqua" w:hAnsi="Book Antiqua" w:cs="Arial"/>
        </w:rPr>
        <w:t>REDD+</w:t>
      </w:r>
      <w:r w:rsidRPr="005B3882">
        <w:rPr>
          <w:rFonts w:ascii="Book Antiqua" w:hAnsi="Book Antiqua" w:cs="Arial"/>
        </w:rPr>
        <w:t xml:space="preserve"> </w:t>
      </w:r>
      <w:r w:rsidR="00765C66">
        <w:rPr>
          <w:rFonts w:ascii="Book Antiqua" w:hAnsi="Book Antiqua" w:cs="Arial"/>
        </w:rPr>
        <w:t>BDS</w:t>
      </w:r>
      <w:r w:rsidRPr="005B3882">
        <w:rPr>
          <w:rFonts w:ascii="Book Antiqua" w:hAnsi="Book Antiqua" w:cs="Arial"/>
        </w:rPr>
        <w:t xml:space="preserve">, but is instructive in that proportions to be shared vary </w:t>
      </w:r>
    </w:p>
    <w:p w:rsidR="003A6A8D" w:rsidRDefault="003A6A8D" w:rsidP="003A6A8D">
      <w:pPr>
        <w:spacing w:after="0" w:line="240" w:lineRule="auto"/>
        <w:ind w:left="720" w:firstLine="720"/>
        <w:jc w:val="center"/>
        <w:rPr>
          <w:rFonts w:ascii="Book Antiqua" w:hAnsi="Book Antiqua"/>
          <w:b/>
          <w:color w:val="000000"/>
        </w:rPr>
      </w:pPr>
      <w:r w:rsidRPr="00A15687">
        <w:rPr>
          <w:rFonts w:ascii="Book Antiqua" w:hAnsi="Book Antiqua"/>
          <w:b/>
          <w:color w:val="000000"/>
        </w:rPr>
        <w:lastRenderedPageBreak/>
        <w:t>Figure 1.3: R</w:t>
      </w:r>
      <w:r>
        <w:rPr>
          <w:rFonts w:ascii="Book Antiqua" w:hAnsi="Book Antiqua"/>
          <w:b/>
          <w:color w:val="000000"/>
        </w:rPr>
        <w:t>EDD+</w:t>
      </w:r>
      <w:r w:rsidRPr="00A15687">
        <w:rPr>
          <w:rFonts w:ascii="Book Antiqua" w:hAnsi="Book Antiqua"/>
          <w:b/>
          <w:color w:val="000000"/>
        </w:rPr>
        <w:t xml:space="preserve"> System </w:t>
      </w:r>
      <w:r>
        <w:rPr>
          <w:rFonts w:ascii="Book Antiqua" w:hAnsi="Book Antiqua"/>
          <w:b/>
          <w:color w:val="000000"/>
        </w:rPr>
        <w:t>i</w:t>
      </w:r>
      <w:r w:rsidRPr="00A15687">
        <w:rPr>
          <w:rFonts w:ascii="Book Antiqua" w:hAnsi="Book Antiqua"/>
          <w:b/>
          <w:color w:val="000000"/>
        </w:rPr>
        <w:t>n Viet Nam</w:t>
      </w:r>
    </w:p>
    <w:p w:rsidR="003A6A8D" w:rsidRDefault="003A6A8D" w:rsidP="00A256CB">
      <w:pPr>
        <w:autoSpaceDE w:val="0"/>
        <w:autoSpaceDN w:val="0"/>
        <w:adjustRightInd w:val="0"/>
        <w:spacing w:after="0" w:line="300" w:lineRule="atLeast"/>
        <w:jc w:val="both"/>
        <w:rPr>
          <w:rFonts w:ascii="Book Antiqua" w:hAnsi="Book Antiqua" w:cs="Arial"/>
        </w:rPr>
      </w:pPr>
    </w:p>
    <w:p w:rsidR="003A6A8D" w:rsidRDefault="003A6A8D" w:rsidP="00A256CB">
      <w:pPr>
        <w:autoSpaceDE w:val="0"/>
        <w:autoSpaceDN w:val="0"/>
        <w:adjustRightInd w:val="0"/>
        <w:spacing w:after="0" w:line="300" w:lineRule="atLeast"/>
        <w:jc w:val="both"/>
        <w:rPr>
          <w:rFonts w:ascii="Book Antiqua" w:hAnsi="Book Antiqua" w:cs="Arial"/>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Default="003A6A8D" w:rsidP="00A15687">
      <w:pPr>
        <w:spacing w:after="0" w:line="240" w:lineRule="auto"/>
        <w:ind w:left="720" w:firstLine="720"/>
        <w:jc w:val="center"/>
        <w:rPr>
          <w:rFonts w:ascii="Book Antiqua" w:hAnsi="Book Antiqua"/>
          <w:b/>
          <w:color w:val="000000"/>
        </w:rPr>
      </w:pPr>
    </w:p>
    <w:p w:rsidR="003A6A8D" w:rsidRPr="00A15687" w:rsidRDefault="00C47C3B" w:rsidP="00A15687">
      <w:pPr>
        <w:spacing w:after="0" w:line="240" w:lineRule="auto"/>
        <w:ind w:left="720" w:firstLine="720"/>
        <w:jc w:val="center"/>
        <w:rPr>
          <w:rFonts w:ascii="Book Antiqua" w:hAnsi="Book Antiqua"/>
          <w:b/>
          <w:color w:val="000000"/>
        </w:rPr>
      </w:pPr>
      <w:r>
        <w:rPr>
          <w:rFonts w:ascii="Book Antiqua" w:hAnsi="Book Antiqua"/>
          <w:b/>
          <w:noProof/>
          <w:color w:val="000000"/>
          <w:lang w:val="en-US"/>
        </w:rPr>
        <w:pict>
          <v:shape id="_x0000_s1730" type="#_x0000_t67" style="position:absolute;left:0;text-align:left;margin-left:229.65pt;margin-top:189.75pt;width:32.9pt;height:20.1pt;z-index:251678208" fillcolor="#4f81bd" strokecolor="#8db3e2" strokeweight="3pt">
            <v:shadow on="t" type="perspective" color="#243f60" opacity=".5" offset="1pt" offset2="-1pt"/>
            <v:textbox style="layout-flow:vertical-ideographic"/>
          </v:shape>
        </w:pict>
      </w:r>
      <w:r>
        <w:rPr>
          <w:rFonts w:ascii="Book Antiqua" w:hAnsi="Book Antiqua"/>
          <w:b/>
          <w:noProof/>
          <w:color w:val="000000"/>
          <w:lang w:val="en-US"/>
        </w:rPr>
        <w:pict>
          <v:shape id="_x0000_s1729" type="#_x0000_t67" style="position:absolute;left:0;text-align:left;margin-left:229.65pt;margin-top:132.8pt;width:32.9pt;height:20.1pt;z-index:251677184" fillcolor="#4f81bd" strokecolor="#8db3e2" strokeweight="3pt">
            <v:shadow on="t" type="perspective" color="#243f60" opacity=".5" offset="1pt" offset2="-1pt"/>
            <v:textbox style="layout-flow:vertical-ideographic"/>
          </v:shape>
        </w:pict>
      </w:r>
      <w:r>
        <w:rPr>
          <w:rFonts w:ascii="Book Antiqua" w:hAnsi="Book Antiqua"/>
          <w:b/>
          <w:noProof/>
          <w:color w:val="000000"/>
          <w:lang w:val="en-US"/>
        </w:rPr>
        <w:pict>
          <v:shape id="_x0000_s1728" type="#_x0000_t67" style="position:absolute;left:0;text-align:left;margin-left:229.65pt;margin-top:90.25pt;width:32.9pt;height:20.1pt;z-index:251676160" fillcolor="#4f81bd" strokecolor="#8db3e2" strokeweight="3pt">
            <v:shadow on="t" type="perspective" color="#243f60" opacity=".5" offset="1pt" offset2="-1pt"/>
            <v:textbox style="layout-flow:vertical-ideographic"/>
          </v:shape>
        </w:pict>
      </w:r>
      <w:r>
        <w:rPr>
          <w:rFonts w:ascii="Book Antiqua" w:hAnsi="Book Antiqua"/>
          <w:b/>
          <w:noProof/>
          <w:color w:val="000000"/>
          <w:lang w:val="en-US"/>
        </w:rPr>
        <w:pict>
          <v:shape id="_x0000_s1727" type="#_x0000_t67" style="position:absolute;left:0;text-align:left;margin-left:229.65pt;margin-top:33.7pt;width:32.9pt;height:20.1pt;z-index:251675136" fillcolor="#4f81bd" strokecolor="#8db3e2" strokeweight="3pt">
            <v:shadow on="t" type="perspective" color="#243f60" opacity=".5" offset="1pt" offset2="-1pt"/>
            <v:textbox style="layout-flow:vertical-ideographic"/>
          </v:shape>
        </w:pict>
      </w:r>
      <w:r>
        <w:rPr>
          <w:rFonts w:ascii="Book Antiqua" w:hAnsi="Book Antiqua"/>
          <w:b/>
          <w:noProof/>
          <w:color w:val="000000"/>
          <w:lang w:val="en-US"/>
        </w:rPr>
        <w:pict>
          <v:shape id="_x0000_s1726" type="#_x0000_t67" style="position:absolute;left:0;text-align:left;margin-left:229.65pt;margin-top:-22.45pt;width:32.9pt;height:20.1pt;z-index:251674112" fillcolor="#4f81bd" strokecolor="#8db3e2" strokeweight="3pt">
            <v:shadow on="t" type="perspective" color="#243f60" opacity=".5" offset="1pt" offset2="-1pt"/>
            <v:textbox style="layout-flow:vertical-ideographic"/>
          </v:shape>
        </w:pict>
      </w:r>
      <w:r>
        <w:rPr>
          <w:rFonts w:ascii="Book Antiqua" w:hAnsi="Book Antiqua"/>
          <w:b/>
          <w:noProof/>
          <w:color w:val="000000"/>
          <w:lang w:val="en-US"/>
        </w:rPr>
        <w:pict>
          <v:shape id="_x0000_s1725" type="#_x0000_t67" style="position:absolute;left:0;text-align:left;margin-left:229.65pt;margin-top:-64.55pt;width:32.9pt;height:20.1pt;z-index:251673088" fillcolor="#4f81bd" strokecolor="#8db3e2" strokeweight="3pt">
            <v:shadow on="t" type="perspective" color="#243f60" opacity=".5" offset="1pt" offset2="-1pt"/>
            <v:textbox style="layout-flow:vertical-ideographic"/>
          </v:shape>
        </w:pict>
      </w:r>
      <w:r>
        <w:rPr>
          <w:rFonts w:ascii="Book Antiqua" w:hAnsi="Book Antiqua"/>
          <w:b/>
          <w:noProof/>
          <w:color w:val="000000"/>
          <w:lang w:val="en-US"/>
        </w:rPr>
        <w:pict>
          <v:shape id="_x0000_s1724" type="#_x0000_t67" style="position:absolute;left:0;text-align:left;margin-left:229.65pt;margin-top:-121.15pt;width:32.9pt;height:20.1pt;z-index:251672064" fillcolor="#4f81bd" strokecolor="#8db3e2" strokeweight="3pt">
            <v:shadow on="t" type="perspective" color="#243f60" opacity=".5" offset="1pt" offset2="-1pt"/>
            <v:textbox style="layout-flow:vertical-ideographic"/>
          </v:shape>
        </w:pict>
      </w:r>
      <w:r>
        <w:rPr>
          <w:rFonts w:ascii="Book Antiqua" w:hAnsi="Book Antiqua"/>
          <w:b/>
          <w:noProof/>
          <w:color w:val="000000"/>
          <w:lang w:val="en-US"/>
        </w:rPr>
        <w:pict>
          <v:shape id="_x0000_s1723" type="#_x0000_t67" style="position:absolute;left:0;text-align:left;margin-left:229.65pt;margin-top:-163.65pt;width:32.9pt;height:20.1pt;z-index:251671040" fillcolor="#4f81bd" strokecolor="#8db3e2" strokeweight="3pt">
            <v:shadow on="t" type="perspective" color="#243f60" opacity=".5" offset="1pt" offset2="-1pt"/>
            <v:textbox style="layout-flow:vertical-ideographic"/>
          </v:shape>
        </w:pict>
      </w:r>
      <w:r>
        <w:rPr>
          <w:rFonts w:ascii="Book Antiqua" w:hAnsi="Book Antiqua"/>
          <w:b/>
          <w:noProof/>
          <w:color w:val="000000"/>
          <w:lang w:val="en-US"/>
        </w:rPr>
        <w:pict>
          <v:shape id="_x0000_s1721" type="#_x0000_t202" style="position:absolute;left:0;text-align:left;margin-left:32.1pt;margin-top:54.6pt;width:425.55pt;height:36.05pt;z-index:251668992;mso-height-percent:200;mso-height-percent:200;mso-width-relative:margin;mso-height-relative:margin">
            <v:textbox style="mso-fit-shape-to-text:t">
              <w:txbxContent>
                <w:p w:rsidR="00B4351F" w:rsidRPr="00C23B39" w:rsidRDefault="00B4351F" w:rsidP="003A6A8D">
                  <w:pPr>
                    <w:spacing w:after="0"/>
                    <w:rPr>
                      <w:sz w:val="20"/>
                      <w:szCs w:val="20"/>
                    </w:rPr>
                  </w:pPr>
                  <w:r w:rsidRPr="00C23B39">
                    <w:rPr>
                      <w:sz w:val="20"/>
                      <w:szCs w:val="20"/>
                    </w:rPr>
                    <w:t>6. Viet Nam’s performance report</w:t>
                  </w:r>
                  <w:r>
                    <w:rPr>
                      <w:sz w:val="20"/>
                      <w:szCs w:val="20"/>
                    </w:rPr>
                    <w:t xml:space="preserve"> compiled</w:t>
                  </w:r>
                  <w:r w:rsidRPr="00C23B39">
                    <w:rPr>
                      <w:sz w:val="20"/>
                      <w:szCs w:val="20"/>
                    </w:rPr>
                    <w:t>, comparing actual measures emissions with projects emissions under the national REL, submit</w:t>
                  </w:r>
                  <w:r>
                    <w:rPr>
                      <w:sz w:val="20"/>
                      <w:szCs w:val="20"/>
                    </w:rPr>
                    <w:t>ted</w:t>
                  </w:r>
                  <w:r w:rsidRPr="00C23B39">
                    <w:rPr>
                      <w:sz w:val="20"/>
                      <w:szCs w:val="20"/>
                    </w:rPr>
                    <w:t xml:space="preserve"> to UNFCCC</w:t>
                  </w:r>
                </w:p>
              </w:txbxContent>
            </v:textbox>
          </v:shape>
        </w:pict>
      </w:r>
      <w:r>
        <w:rPr>
          <w:rFonts w:ascii="Book Antiqua" w:hAnsi="Book Antiqua"/>
          <w:b/>
          <w:noProof/>
          <w:color w:val="000000"/>
          <w:lang w:val="en-US"/>
        </w:rPr>
        <w:pict>
          <v:shape id="_x0000_s1720" type="#_x0000_t202" style="position:absolute;left:0;text-align:left;margin-left:32.1pt;margin-top:-1.1pt;width:427.25pt;height:36.05pt;z-index:251667968;mso-height-percent:200;mso-height-percent:200;mso-width-relative:margin;mso-height-relative:margin">
            <v:textbox style="mso-fit-shape-to-text:t">
              <w:txbxContent>
                <w:p w:rsidR="00B4351F" w:rsidRPr="00C23B39" w:rsidRDefault="00B4351F" w:rsidP="003A6A8D">
                  <w:pPr>
                    <w:spacing w:after="0"/>
                    <w:rPr>
                      <w:sz w:val="20"/>
                      <w:szCs w:val="20"/>
                    </w:rPr>
                  </w:pPr>
                  <w:r w:rsidRPr="00C23B39">
                    <w:rPr>
                      <w:sz w:val="20"/>
                      <w:szCs w:val="20"/>
                    </w:rPr>
                    <w:t>5. At periods defined by the UNFCCC, agencies responsible for monitoring emissions undertake monitoring activities</w:t>
                  </w:r>
                </w:p>
              </w:txbxContent>
            </v:textbox>
          </v:shape>
        </w:pict>
      </w:r>
      <w:r>
        <w:rPr>
          <w:rFonts w:ascii="Book Antiqua" w:hAnsi="Book Antiqua"/>
          <w:b/>
          <w:noProof/>
          <w:color w:val="000000"/>
          <w:lang w:val="en-US"/>
        </w:rPr>
        <w:pict>
          <v:shape id="_x0000_s1719" type="#_x0000_t202" style="position:absolute;left:0;text-align:left;margin-left:32.1pt;margin-top:-142.75pt;width:425.55pt;height:22pt;z-index:251666944;mso-height-percent:200;mso-height-percent:200;mso-width-relative:margin;mso-height-relative:margin">
            <v:textbox style="mso-fit-shape-to-text:t">
              <w:txbxContent>
                <w:p w:rsidR="00B4351F" w:rsidRPr="00C23B39" w:rsidRDefault="00B4351F" w:rsidP="003A6A8D">
                  <w:pPr>
                    <w:spacing w:after="0"/>
                    <w:rPr>
                      <w:sz w:val="20"/>
                      <w:szCs w:val="20"/>
                    </w:rPr>
                  </w:pPr>
                  <w:r w:rsidRPr="00C23B39">
                    <w:rPr>
                      <w:sz w:val="20"/>
                      <w:szCs w:val="20"/>
                    </w:rPr>
                    <w:t xml:space="preserve">2. </w:t>
                  </w:r>
                  <w:r>
                    <w:rPr>
                      <w:sz w:val="20"/>
                      <w:szCs w:val="20"/>
                    </w:rPr>
                    <w:t>L</w:t>
                  </w:r>
                  <w:r w:rsidRPr="00C23B39">
                    <w:rPr>
                      <w:sz w:val="20"/>
                      <w:szCs w:val="20"/>
                    </w:rPr>
                    <w:t>ocal agencies prepare socio-economic development plans that mainstream REDD considerations</w:t>
                  </w:r>
                </w:p>
              </w:txbxContent>
            </v:textbox>
          </v:shape>
        </w:pict>
      </w:r>
      <w:r>
        <w:rPr>
          <w:rFonts w:ascii="Book Antiqua" w:hAnsi="Book Antiqua"/>
          <w:b/>
          <w:noProof/>
          <w:color w:val="000000"/>
          <w:lang w:val="en-US"/>
        </w:rPr>
        <w:pict>
          <v:shape id="_x0000_s1718" type="#_x0000_t202" style="position:absolute;left:0;text-align:left;margin-left:32.1pt;margin-top:-100.2pt;width:425.55pt;height:36.05pt;z-index:251665920;mso-height-percent:200;mso-height-percent:200;mso-width-relative:margin;mso-height-relative:margin">
            <v:textbox style="mso-fit-shape-to-text:t">
              <w:txbxContent>
                <w:p w:rsidR="00B4351F" w:rsidRPr="00C23B39" w:rsidRDefault="00B4351F" w:rsidP="003A6A8D">
                  <w:pPr>
                    <w:spacing w:after="0"/>
                    <w:rPr>
                      <w:sz w:val="20"/>
                      <w:szCs w:val="20"/>
                    </w:rPr>
                  </w:pPr>
                  <w:r w:rsidRPr="00C23B39">
                    <w:rPr>
                      <w:sz w:val="20"/>
                      <w:szCs w:val="20"/>
                    </w:rPr>
                    <w:t xml:space="preserve">3. </w:t>
                  </w:r>
                  <w:r>
                    <w:rPr>
                      <w:sz w:val="20"/>
                      <w:szCs w:val="20"/>
                    </w:rPr>
                    <w:t>Local</w:t>
                  </w:r>
                  <w:r w:rsidRPr="00C23B39">
                    <w:rPr>
                      <w:sz w:val="20"/>
                      <w:szCs w:val="20"/>
                    </w:rPr>
                    <w:t xml:space="preserve"> Peoples’ Committees determine locally appropriate benefit distribution proposals, following guidance from the National REDD Strategy, and prepared in a participatory manner.  </w:t>
                  </w:r>
                </w:p>
              </w:txbxContent>
            </v:textbox>
          </v:shape>
        </w:pict>
      </w:r>
      <w:r>
        <w:rPr>
          <w:rFonts w:ascii="Book Antiqua" w:hAnsi="Book Antiqua"/>
          <w:b/>
          <w:noProof/>
          <w:color w:val="000000"/>
          <w:lang w:val="en-US"/>
        </w:rPr>
        <w:pict>
          <v:shape id="_x0000_s1717" type="#_x0000_t202" style="position:absolute;left:0;text-align:left;margin-left:31.7pt;margin-top:-44pt;width:425.55pt;height:22pt;z-index:251664896;mso-height-percent:200;mso-height-percent:200;mso-width-relative:margin;mso-height-relative:margin">
            <v:textbox style="mso-fit-shape-to-text:t">
              <w:txbxContent>
                <w:p w:rsidR="00B4351F" w:rsidRPr="00C23B39" w:rsidRDefault="00B4351F" w:rsidP="003A6A8D">
                  <w:pPr>
                    <w:spacing w:after="0"/>
                    <w:rPr>
                      <w:sz w:val="20"/>
                      <w:szCs w:val="20"/>
                    </w:rPr>
                  </w:pPr>
                  <w:r w:rsidRPr="00C23B39">
                    <w:rPr>
                      <w:sz w:val="20"/>
                      <w:szCs w:val="20"/>
                    </w:rPr>
                    <w:t xml:space="preserve">4. Agencies defined in National REDD Programme monitor implementation of REDD actions </w:t>
                  </w:r>
                </w:p>
              </w:txbxContent>
            </v:textbox>
          </v:shape>
        </w:pict>
      </w:r>
      <w:r>
        <w:rPr>
          <w:rFonts w:ascii="Book Antiqua" w:hAnsi="Book Antiqua"/>
          <w:b/>
          <w:noProof/>
          <w:color w:val="000000"/>
          <w:lang w:val="en-US"/>
        </w:rPr>
        <w:pict>
          <v:shape id="_x0000_s1716" type="#_x0000_t202" style="position:absolute;left:0;text-align:left;margin-left:32.1pt;margin-top:111.2pt;width:425.55pt;height:22pt;z-index:251663872;mso-height-percent:200;mso-height-percent:200;mso-width-relative:margin;mso-height-relative:margin">
            <v:textbox style="mso-fit-shape-to-text:t">
              <w:txbxContent>
                <w:p w:rsidR="00B4351F" w:rsidRPr="00C23B39" w:rsidRDefault="00B4351F" w:rsidP="003A6A8D">
                  <w:pPr>
                    <w:spacing w:after="0"/>
                    <w:rPr>
                      <w:sz w:val="20"/>
                      <w:szCs w:val="20"/>
                    </w:rPr>
                  </w:pPr>
                  <w:r w:rsidRPr="00C23B39">
                    <w:rPr>
                      <w:sz w:val="20"/>
                      <w:szCs w:val="20"/>
                    </w:rPr>
                    <w:t xml:space="preserve">7. UNFCCC </w:t>
                  </w:r>
                  <w:r>
                    <w:rPr>
                      <w:sz w:val="20"/>
                      <w:szCs w:val="20"/>
                    </w:rPr>
                    <w:t>verifies</w:t>
                  </w:r>
                  <w:r w:rsidRPr="00C23B39">
                    <w:rPr>
                      <w:sz w:val="20"/>
                      <w:szCs w:val="20"/>
                    </w:rPr>
                    <w:t xml:space="preserve"> and certifies the number of carbon credits achieved</w:t>
                  </w:r>
                </w:p>
              </w:txbxContent>
            </v:textbox>
          </v:shape>
        </w:pict>
      </w:r>
      <w:r>
        <w:rPr>
          <w:rFonts w:ascii="Book Antiqua" w:hAnsi="Book Antiqua"/>
          <w:b/>
          <w:noProof/>
          <w:color w:val="000000"/>
          <w:lang w:val="en-US"/>
        </w:rPr>
        <w:pict>
          <v:shape id="_x0000_s1715" type="#_x0000_t202" style="position:absolute;left:0;text-align:left;margin-left:32.1pt;margin-top:-212.8pt;width:425.5pt;height:50.05pt;z-index:251662848;mso-height-percent:200;mso-height-percent:200;mso-width-relative:margin;mso-height-relative:margin">
            <v:textbox style="mso-next-textbox:#_x0000_s1715;mso-fit-shape-to-text:t">
              <w:txbxContent>
                <w:p w:rsidR="00B4351F" w:rsidRPr="00C23B39" w:rsidRDefault="00B4351F" w:rsidP="003A6A8D">
                  <w:pPr>
                    <w:pStyle w:val="ListParagraph"/>
                    <w:numPr>
                      <w:ilvl w:val="0"/>
                      <w:numId w:val="153"/>
                    </w:numPr>
                    <w:tabs>
                      <w:tab w:val="left" w:pos="180"/>
                    </w:tabs>
                    <w:spacing w:after="0"/>
                    <w:ind w:left="0" w:firstLine="0"/>
                    <w:rPr>
                      <w:sz w:val="20"/>
                      <w:szCs w:val="20"/>
                    </w:rPr>
                  </w:pPr>
                  <w:r w:rsidRPr="00C23B39">
                    <w:rPr>
                      <w:sz w:val="20"/>
                      <w:szCs w:val="20"/>
                    </w:rPr>
                    <w:t xml:space="preserve">National REDD Programme (Strategy) </w:t>
                  </w:r>
                  <w:r>
                    <w:rPr>
                      <w:sz w:val="20"/>
                      <w:szCs w:val="20"/>
                    </w:rPr>
                    <w:t>sets overall goals and plans,</w:t>
                  </w:r>
                  <w:r w:rsidRPr="00C23B39">
                    <w:rPr>
                      <w:sz w:val="20"/>
                      <w:szCs w:val="20"/>
                    </w:rPr>
                    <w:t xml:space="preserve"> establishes roles for Provincial and District agencies; monitoring roles, etc.</w:t>
                  </w:r>
                  <w:r>
                    <w:rPr>
                      <w:sz w:val="20"/>
                      <w:szCs w:val="20"/>
                    </w:rPr>
                    <w:t>, and</w:t>
                  </w:r>
                  <w:r w:rsidRPr="00C23B39">
                    <w:rPr>
                      <w:sz w:val="20"/>
                      <w:szCs w:val="20"/>
                    </w:rPr>
                    <w:t xml:space="preserve"> guidelines to be used in determining local benefit distribution </w:t>
                  </w:r>
                </w:p>
              </w:txbxContent>
            </v:textbox>
          </v:shape>
        </w:pict>
      </w:r>
    </w:p>
    <w:p w:rsidR="003A6A8D" w:rsidRDefault="00C47C3B" w:rsidP="00A15687">
      <w:r w:rsidRPr="00C47C3B">
        <w:rPr>
          <w:rFonts w:ascii="Book Antiqua" w:hAnsi="Book Antiqua"/>
          <w:b/>
          <w:noProof/>
          <w:color w:val="000000"/>
          <w:lang w:val="en-US"/>
        </w:rPr>
        <w:pict>
          <v:shapetype id="_x0000_t32" coordsize="21600,21600" o:spt="32" o:oned="t" path="m,l21600,21600e" filled="f">
            <v:path arrowok="t" fillok="f" o:connecttype="none"/>
            <o:lock v:ext="edit" shapetype="t"/>
          </v:shapetype>
          <v:shape id="_x0000_s1732" type="#_x0000_t32" style="position:absolute;margin-left:401.85pt;margin-top:184.2pt;width:136.35pt;height:0;z-index:251680256" o:connectortype="straight" strokeweight="3pt">
            <v:stroke dashstyle="dash"/>
          </v:shape>
        </w:pict>
      </w:r>
      <w:r w:rsidRPr="00C47C3B">
        <w:rPr>
          <w:rFonts w:ascii="Book Antiqua" w:hAnsi="Book Antiqua"/>
          <w:b/>
          <w:noProof/>
          <w:color w:val="000000"/>
          <w:lang w:val="en-US"/>
        </w:rPr>
        <w:pict>
          <v:shape id="_x0000_s1722" type="#_x0000_t202" style="position:absolute;margin-left:33pt;margin-top:141.35pt;width:406.7pt;height:36.05pt;z-index:251670016;mso-height-percent:200;mso-height-percent:200;mso-width-relative:margin;mso-height-relative:margin">
            <v:textbox style="mso-next-textbox:#_x0000_s1722;mso-fit-shape-to-text:t">
              <w:txbxContent>
                <w:p w:rsidR="00B4351F" w:rsidRPr="00C23B39" w:rsidRDefault="00B4351F" w:rsidP="003A6A8D">
                  <w:pPr>
                    <w:spacing w:after="0"/>
                    <w:rPr>
                      <w:sz w:val="20"/>
                      <w:szCs w:val="20"/>
                    </w:rPr>
                  </w:pPr>
                  <w:r w:rsidRPr="00C23B39">
                    <w:rPr>
                      <w:sz w:val="20"/>
                      <w:szCs w:val="20"/>
                    </w:rPr>
                    <w:t>8. Viet Nam is eligible to receive revenues corresponding with verified carbon credits through an international market mechanism, an international funding mechanism, or both</w:t>
                  </w:r>
                </w:p>
              </w:txbxContent>
            </v:textbox>
          </v:shape>
        </w:pict>
      </w:r>
      <w:r w:rsidRPr="00C47C3B">
        <w:rPr>
          <w:rFonts w:ascii="Book Antiqua" w:hAnsi="Book Antiqua"/>
          <w:b/>
          <w:noProof/>
          <w:color w:val="000000"/>
          <w:lang w:val="en-US"/>
        </w:rPr>
        <w:pict>
          <v:shape id="_x0000_s1731" type="#_x0000_t67" style="position:absolute;margin-left:467.2pt;margin-top:41.8pt;width:44.2pt;height:89.65pt;rotation:180;z-index:251679232" fillcolor="#76923c">
            <v:textbox style="layout-flow:vertical-ideographic"/>
          </v:shape>
        </w:pict>
      </w:r>
      <w:r w:rsidRPr="00C47C3B">
        <w:rPr>
          <w:rFonts w:ascii="Book Antiqua" w:hAnsi="Book Antiqua"/>
          <w:b/>
          <w:noProof/>
          <w:color w:val="000000"/>
          <w:lang w:val="en-US"/>
        </w:rPr>
        <w:pict>
          <v:shape id="_x0000_s1733" type="#_x0000_t202" style="position:absolute;margin-left:450.25pt;margin-top:133.4pt;width:111.95pt;height:50.8pt;z-index:251681280;mso-width-relative:margin;mso-height-relative:margin" stroked="f">
            <v:textbox>
              <w:txbxContent>
                <w:p w:rsidR="00B4351F" w:rsidRDefault="00B4351F" w:rsidP="003A6A8D">
                  <w:r w:rsidRPr="003B57DE">
                    <w:rPr>
                      <w:b/>
                      <w:sz w:val="28"/>
                      <w:szCs w:val="28"/>
                    </w:rPr>
                    <w:t>Planning and Implementation</w:t>
                  </w:r>
                </w:p>
              </w:txbxContent>
            </v:textbox>
          </v:shape>
        </w:pict>
      </w:r>
      <w:r w:rsidR="003A6A8D">
        <w:br w:type="page"/>
      </w:r>
    </w:p>
    <w:p w:rsidR="003A6A8D" w:rsidRDefault="00C47C3B" w:rsidP="00A15687">
      <w:r>
        <w:rPr>
          <w:noProof/>
          <w:lang w:val="en-US"/>
        </w:rPr>
        <w:lastRenderedPageBreak/>
        <w:pict>
          <v:shape id="_x0000_s1737" type="#_x0000_t202" style="position:absolute;margin-left:34.15pt;margin-top:-7.25pt;width:404.3pt;height:36.05pt;z-index:251685376;mso-height-percent:200;mso-height-percent:200;mso-width-relative:margin;mso-height-relative:margin">
            <v:textbox style="mso-next-textbox:#_x0000_s1737;mso-fit-shape-to-text:t">
              <w:txbxContent>
                <w:p w:rsidR="00B4351F" w:rsidRPr="00C23B39" w:rsidRDefault="00B4351F" w:rsidP="003A6A8D">
                  <w:pPr>
                    <w:spacing w:after="0"/>
                    <w:rPr>
                      <w:sz w:val="20"/>
                      <w:szCs w:val="20"/>
                    </w:rPr>
                  </w:pPr>
                  <w:r w:rsidRPr="00C23B39">
                    <w:rPr>
                      <w:sz w:val="20"/>
                      <w:szCs w:val="20"/>
                    </w:rPr>
                    <w:t>9. Viet Nam receives revenues into a National REDD Fund (stand alone fund, or sub-fund of an existing fund), overseen by a broad-based, multi-stakeholder governing body</w:t>
                  </w:r>
                </w:p>
              </w:txbxContent>
            </v:textbox>
          </v:shape>
        </w:pict>
      </w:r>
      <w:r>
        <w:rPr>
          <w:noProof/>
          <w:lang w:val="en-US"/>
        </w:rPr>
        <w:pict>
          <v:shape id="_x0000_s1757" type="#_x0000_t202" style="position:absolute;margin-left:443.8pt;margin-top:-14.65pt;width:113.55pt;height:43.45pt;z-index:251705856;mso-width-relative:margin;mso-height-relative:margin" stroked="f">
            <v:textbox>
              <w:txbxContent>
                <w:p w:rsidR="00B4351F" w:rsidRDefault="00B4351F" w:rsidP="003A6A8D">
                  <w:r w:rsidRPr="003B57DE">
                    <w:rPr>
                      <w:b/>
                      <w:sz w:val="28"/>
                      <w:szCs w:val="28"/>
                    </w:rPr>
                    <w:t>Benefit Distribution</w:t>
                  </w:r>
                </w:p>
              </w:txbxContent>
            </v:textbox>
          </v:shape>
        </w:pict>
      </w:r>
    </w:p>
    <w:p w:rsidR="00A15687" w:rsidRDefault="00C47C3B" w:rsidP="00A15687">
      <w:r>
        <w:rPr>
          <w:noProof/>
          <w:lang w:val="en-US"/>
        </w:rPr>
        <w:pict>
          <v:shape id="_x0000_s1756" type="#_x0000_t67" style="position:absolute;margin-left:465.05pt;margin-top:21.8pt;width:44.2pt;height:89.65pt;z-index:251704832" fillcolor="#76923c">
            <v:textbox style="layout-flow:vertical-ideographic"/>
          </v:shape>
        </w:pict>
      </w:r>
      <w:r>
        <w:rPr>
          <w:noProof/>
          <w:lang w:val="en-US"/>
        </w:rPr>
        <w:pict>
          <v:shape id="_x0000_s1755" type="#_x0000_t67" style="position:absolute;margin-left:215.5pt;margin-top:392.5pt;width:32.9pt;height:20.1pt;z-index:251703808" fillcolor="#4f81bd" strokecolor="#8db3e2" strokeweight="3pt">
            <v:shadow on="t" type="perspective" color="#243f60" opacity=".5" offset="1pt" offset2="-1pt"/>
            <v:textbox style="layout-flow:vertical-ideographic"/>
          </v:shape>
        </w:pict>
      </w:r>
      <w:r>
        <w:rPr>
          <w:noProof/>
          <w:lang w:val="en-US"/>
        </w:rPr>
        <w:pict>
          <v:shape id="_x0000_s1754" type="#_x0000_t67" style="position:absolute;margin-left:221.3pt;margin-top:335.95pt;width:32.9pt;height:20.1pt;z-index:251702784" fillcolor="#4f81bd" strokecolor="#8db3e2" strokeweight="3pt">
            <v:shadow on="t" type="perspective" color="#243f60" opacity=".5" offset="1pt" offset2="-1pt"/>
            <v:textbox style="layout-flow:vertical-ideographic"/>
          </v:shape>
        </w:pict>
      </w:r>
      <w:r>
        <w:rPr>
          <w:noProof/>
          <w:lang w:val="en-US"/>
        </w:rPr>
        <w:pict>
          <v:shape id="_x0000_s1753" type="#_x0000_t67" style="position:absolute;margin-left:221.3pt;margin-top:293.4pt;width:32.9pt;height:20.1pt;z-index:251701760" fillcolor="#4f81bd" strokecolor="#8db3e2" strokeweight="3pt">
            <v:shadow on="t" type="perspective" color="#243f60" opacity=".5" offset="1pt" offset2="-1pt"/>
            <v:textbox style="layout-flow:vertical-ideographic"/>
          </v:shape>
        </w:pict>
      </w:r>
      <w:r>
        <w:rPr>
          <w:noProof/>
          <w:lang w:val="en-US"/>
        </w:rPr>
        <w:pict>
          <v:shape id="_x0000_s1752" type="#_x0000_t67" style="position:absolute;margin-left:269.8pt;margin-top:226.4pt;width:29.5pt;height:29.95pt;rotation:813362fd;z-index:251700736" fillcolor="#4f81bd" strokecolor="#8db3e2" strokeweight="3pt">
            <v:shadow on="t" type="perspective" color="#243f60" opacity=".5" offset="1pt" offset2="-1pt"/>
            <v:textbox style="layout-flow:vertical-ideographic"/>
          </v:shape>
        </w:pict>
      </w:r>
      <w:r>
        <w:rPr>
          <w:noProof/>
          <w:lang w:val="en-US"/>
        </w:rPr>
        <w:pict>
          <v:shape id="_x0000_s1751" type="#_x0000_t67" style="position:absolute;margin-left:148.05pt;margin-top:236.4pt;width:23.45pt;height:20.1pt;rotation:-1024004fd;z-index:251699712" fillcolor="#4f81bd" strokecolor="#8db3e2" strokeweight="3pt">
            <v:shadow on="t" type="perspective" color="#243f60" opacity=".5" offset="1pt" offset2="-1pt"/>
            <v:textbox style="layout-flow:vertical-ideographic"/>
          </v:shape>
        </w:pict>
      </w:r>
      <w:r>
        <w:rPr>
          <w:noProof/>
          <w:lang w:val="en-US"/>
        </w:rPr>
        <w:pict>
          <v:shape id="_x0000_s1750" type="#_x0000_t67" style="position:absolute;margin-left:274.25pt;margin-top:167.05pt;width:26.25pt;height:23.45pt;rotation:-1093907fd;z-index:251698688" fillcolor="#4f81bd" strokecolor="#8db3e2" strokeweight="3pt">
            <v:shadow on="t" type="perspective" color="#243f60" opacity=".5" offset="1pt" offset2="-1pt"/>
            <v:textbox style="layout-flow:vertical-ideographic"/>
          </v:shape>
        </w:pict>
      </w:r>
      <w:r>
        <w:rPr>
          <w:noProof/>
          <w:lang w:val="en-US"/>
        </w:rPr>
        <w:pict>
          <v:shape id="_x0000_s1749" type="#_x0000_t67" style="position:absolute;margin-left:150.3pt;margin-top:166.65pt;width:23.45pt;height:23.4pt;rotation:1114005fd;z-index:251697664" fillcolor="#4f81bd" strokecolor="#8db3e2" strokeweight="3pt">
            <v:shadow on="t" type="perspective" color="#243f60" opacity=".5" offset="1pt" offset2="-1pt"/>
            <v:textbox style="layout-flow:vertical-ideographic"/>
          </v:shape>
        </w:pict>
      </w:r>
      <w:r>
        <w:rPr>
          <w:noProof/>
          <w:lang w:val="en-US"/>
        </w:rPr>
        <w:pict>
          <v:shape id="_x0000_s1748" type="#_x0000_t67" style="position:absolute;margin-left:229.45pt;margin-top:111.45pt;width:32.9pt;height:20.1pt;z-index:251696640" fillcolor="#4f81bd" strokecolor="#8db3e2" strokeweight="3pt">
            <v:shadow on="t" type="perspective" color="#243f60" opacity=".5" offset="1pt" offset2="-1pt"/>
            <v:textbox style="layout-flow:vertical-ideographic"/>
          </v:shape>
        </w:pict>
      </w:r>
      <w:r>
        <w:rPr>
          <w:noProof/>
          <w:lang w:val="en-US"/>
        </w:rPr>
        <w:pict>
          <v:shape id="_x0000_s1747" type="#_x0000_t67" style="position:absolute;margin-left:229.05pt;margin-top:54.85pt;width:32.9pt;height:20.1pt;z-index:251695616" fillcolor="#4f81bd" strokecolor="#8db3e2" strokeweight="3pt">
            <v:shadow on="t" type="perspective" color="#243f60" opacity=".5" offset="1pt" offset2="-1pt"/>
            <v:textbox style="layout-flow:vertical-ideographic"/>
          </v:shape>
        </w:pict>
      </w:r>
      <w:r>
        <w:rPr>
          <w:noProof/>
          <w:lang w:val="en-US"/>
        </w:rPr>
        <w:pict>
          <v:shape id="_x0000_s1746" type="#_x0000_t67" style="position:absolute;margin-left:229.05pt;margin-top:2.9pt;width:32.9pt;height:20.1pt;z-index:251694592" fillcolor="#4f81bd" strokecolor="#8db3e2" strokeweight="3pt">
            <v:shadow on="t" type="perspective" color="#243f60" opacity=".5" offset="1pt" offset2="-1pt"/>
            <v:textbox style="layout-flow:vertical-ideographic"/>
          </v:shape>
        </w:pict>
      </w:r>
      <w:r>
        <w:rPr>
          <w:noProof/>
          <w:lang w:val="en-US"/>
        </w:rPr>
        <w:pict>
          <v:shape id="_x0000_s1745" type="#_x0000_t202" style="position:absolute;margin-left:40.6pt;margin-top:412.6pt;width:410.2pt;height:34.45pt;z-index:251693568;mso-width-relative:margin;mso-height-relative:margin">
            <v:textbox>
              <w:txbxContent>
                <w:p w:rsidR="00B4351F" w:rsidRPr="00525540" w:rsidRDefault="00B4351F" w:rsidP="003A6A8D">
                  <w:pPr>
                    <w:spacing w:after="0"/>
                    <w:rPr>
                      <w:sz w:val="20"/>
                      <w:szCs w:val="20"/>
                    </w:rPr>
                  </w:pPr>
                  <w:r w:rsidRPr="00525540">
                    <w:rPr>
                      <w:sz w:val="20"/>
                      <w:szCs w:val="20"/>
                    </w:rPr>
                    <w:t>18. Staff of the National REDD Fund initiate independent external auditing of National, Provincial, and (if relevant) District REDD Funds</w:t>
                  </w:r>
                </w:p>
                <w:p w:rsidR="00B4351F" w:rsidRDefault="00B4351F" w:rsidP="003A6A8D"/>
              </w:txbxContent>
            </v:textbox>
          </v:shape>
        </w:pict>
      </w:r>
      <w:r>
        <w:rPr>
          <w:noProof/>
          <w:lang w:val="en-US"/>
        </w:rPr>
        <w:pict>
          <v:shape id="_x0000_s1744" type="#_x0000_t202" style="position:absolute;margin-left:41.4pt;margin-top:356.85pt;width:410.2pt;height:36.05pt;z-index:251692544;mso-height-percent:200;mso-height-percent:200;mso-width-relative:margin;mso-height-relative:margin">
            <v:textbox style="mso-fit-shape-to-text:t">
              <w:txbxContent>
                <w:p w:rsidR="00B4351F" w:rsidRPr="004F1C05" w:rsidRDefault="00B4351F" w:rsidP="003A6A8D">
                  <w:pPr>
                    <w:spacing w:after="0"/>
                    <w:rPr>
                      <w:sz w:val="20"/>
                      <w:szCs w:val="20"/>
                    </w:rPr>
                  </w:pPr>
                  <w:r w:rsidRPr="004F1C05">
                    <w:rPr>
                      <w:sz w:val="20"/>
                      <w:szCs w:val="20"/>
                    </w:rPr>
                    <w:t>16. Agencies responsible for providing recourse in the event of disputes undertake actions to ensure that all beneficiaries are able to register a complaint if desired</w:t>
                  </w:r>
                </w:p>
              </w:txbxContent>
            </v:textbox>
          </v:shape>
        </w:pict>
      </w:r>
      <w:r>
        <w:rPr>
          <w:noProof/>
          <w:lang w:val="en-US"/>
        </w:rPr>
        <w:pict>
          <v:shape id="_x0000_s1743" type="#_x0000_t202" style="position:absolute;margin-left:41.4pt;margin-top:314.4pt;width:412.65pt;height:22pt;z-index:251691520;mso-height-percent:200;mso-height-percent:200;mso-width-relative:margin;mso-height-relative:margin">
            <v:textbox style="mso-fit-shape-to-text:t">
              <w:txbxContent>
                <w:p w:rsidR="00B4351F" w:rsidRPr="004F1C05" w:rsidRDefault="00B4351F" w:rsidP="003A6A8D">
                  <w:pPr>
                    <w:spacing w:after="0"/>
                    <w:rPr>
                      <w:sz w:val="20"/>
                      <w:szCs w:val="20"/>
                    </w:rPr>
                  </w:pPr>
                  <w:r w:rsidRPr="004F1C05">
                    <w:rPr>
                      <w:sz w:val="20"/>
                      <w:szCs w:val="20"/>
                    </w:rPr>
                    <w:t>15. Agencies monitor disbursement activities</w:t>
                  </w:r>
                </w:p>
              </w:txbxContent>
            </v:textbox>
          </v:shape>
        </w:pict>
      </w:r>
      <w:r>
        <w:rPr>
          <w:noProof/>
          <w:lang w:val="en-US"/>
        </w:rPr>
        <w:pict>
          <v:shape id="_x0000_s1742" type="#_x0000_t202" style="position:absolute;margin-left:40.6pt;margin-top:256.5pt;width:412.65pt;height:36.9pt;z-index:251690496;mso-width-relative:margin;mso-height-relative:margin">
            <v:textbox>
              <w:txbxContent>
                <w:p w:rsidR="00B4351F" w:rsidRPr="004F1C05" w:rsidRDefault="00B4351F" w:rsidP="003A6A8D">
                  <w:pPr>
                    <w:spacing w:after="0"/>
                    <w:rPr>
                      <w:sz w:val="20"/>
                      <w:szCs w:val="20"/>
                    </w:rPr>
                  </w:pPr>
                  <w:r w:rsidRPr="004F1C05">
                    <w:rPr>
                      <w:sz w:val="20"/>
                      <w:szCs w:val="20"/>
                    </w:rPr>
                    <w:t>14. Provincial</w:t>
                  </w:r>
                  <w:r>
                    <w:rPr>
                      <w:sz w:val="20"/>
                      <w:szCs w:val="20"/>
                    </w:rPr>
                    <w:t>/</w:t>
                  </w:r>
                  <w:r w:rsidRPr="004F1C05">
                    <w:rPr>
                      <w:sz w:val="20"/>
                      <w:szCs w:val="20"/>
                    </w:rPr>
                    <w:t>District Fund staff (depending on Option 1 or 2) determine net revenues to be distributed to ultimate beneficiaries, and deliver payments or other benefits</w:t>
                  </w:r>
                </w:p>
              </w:txbxContent>
            </v:textbox>
          </v:shape>
        </w:pict>
      </w:r>
      <w:r>
        <w:rPr>
          <w:noProof/>
          <w:lang w:val="en-US"/>
        </w:rPr>
        <w:pict>
          <v:shape id="_x0000_s1741" type="#_x0000_t202" style="position:absolute;margin-left:235.7pt;margin-top:190.95pt;width:217.95pt;height:36.05pt;z-index:251689472;mso-height-percent:200;mso-height-percent:200;mso-width-relative:margin;mso-height-relative:margin">
            <v:textbox style="mso-fit-shape-to-text:t">
              <w:txbxContent>
                <w:p w:rsidR="00B4351F" w:rsidRPr="004F1C05" w:rsidRDefault="00B4351F" w:rsidP="003A6A8D">
                  <w:pPr>
                    <w:spacing w:after="0"/>
                    <w:ind w:left="90"/>
                    <w:rPr>
                      <w:sz w:val="20"/>
                      <w:szCs w:val="20"/>
                    </w:rPr>
                  </w:pPr>
                  <w:r w:rsidRPr="004F1C05">
                    <w:rPr>
                      <w:sz w:val="20"/>
                      <w:szCs w:val="20"/>
                    </w:rPr>
                    <w:t>13b. Provincial REDD Fund staff are responsible for disbursement to ultimate beneficiaries</w:t>
                  </w:r>
                </w:p>
              </w:txbxContent>
            </v:textbox>
          </v:shape>
        </w:pict>
      </w:r>
      <w:r>
        <w:rPr>
          <w:noProof/>
          <w:lang w:val="en-US"/>
        </w:rPr>
        <w:pict>
          <v:shape id="_x0000_s1740" type="#_x0000_t202" style="position:absolute;margin-left:5pt;margin-top:191.4pt;width:223.65pt;height:50.05pt;z-index:251688448;mso-height-percent:200;mso-height-percent:200;mso-width-relative:margin;mso-height-relative:margin">
            <v:textbox style="mso-fit-shape-to-text:t">
              <w:txbxContent>
                <w:p w:rsidR="00B4351F" w:rsidRPr="004F1C05" w:rsidRDefault="00B4351F" w:rsidP="003A6A8D">
                  <w:pPr>
                    <w:spacing w:after="0"/>
                    <w:rPr>
                      <w:sz w:val="20"/>
                      <w:szCs w:val="20"/>
                    </w:rPr>
                  </w:pPr>
                  <w:r w:rsidRPr="004F1C05">
                    <w:rPr>
                      <w:sz w:val="20"/>
                      <w:szCs w:val="20"/>
                    </w:rPr>
                    <w:t xml:space="preserve">13a. Provincial REDD Fund staff repeat steps </w:t>
                  </w:r>
                  <w:r>
                    <w:rPr>
                      <w:sz w:val="20"/>
                      <w:szCs w:val="20"/>
                    </w:rPr>
                    <w:t>10-12</w:t>
                  </w:r>
                  <w:r w:rsidRPr="004F1C05">
                    <w:rPr>
                      <w:sz w:val="20"/>
                      <w:szCs w:val="20"/>
                    </w:rPr>
                    <w:t xml:space="preserve"> to determine distribution of net REDD revenues to District Funds </w:t>
                  </w:r>
                </w:p>
              </w:txbxContent>
            </v:textbox>
          </v:shape>
        </w:pict>
      </w:r>
      <w:r>
        <w:rPr>
          <w:noProof/>
          <w:lang w:val="en-US"/>
        </w:rPr>
        <w:pict>
          <v:shape id="_x0000_s1739" type="#_x0000_t202" style="position:absolute;margin-left:34.5pt;margin-top:131.95pt;width:419.1pt;height:36.05pt;z-index:251687424;mso-height-percent:200;mso-height-percent:200;mso-width-relative:margin;mso-height-relative:margin">
            <v:textbox style="mso-fit-shape-to-text:t">
              <w:txbxContent>
                <w:p w:rsidR="00B4351F" w:rsidRPr="00C23B39" w:rsidRDefault="00B4351F" w:rsidP="003A6A8D">
                  <w:pPr>
                    <w:spacing w:after="0"/>
                    <w:rPr>
                      <w:sz w:val="20"/>
                      <w:szCs w:val="20"/>
                    </w:rPr>
                  </w:pPr>
                  <w:r w:rsidRPr="00C23B39">
                    <w:rPr>
                      <w:sz w:val="20"/>
                      <w:szCs w:val="20"/>
                    </w:rPr>
                    <w:t>12. Net revenues are distributed to Provincial REDD Funds (mirrored on the National Fund, and also with participatory governance structures), according to R</w:t>
                  </w:r>
                  <w:r w:rsidRPr="00C23B39">
                    <w:rPr>
                      <w:sz w:val="20"/>
                      <w:szCs w:val="20"/>
                      <w:vertAlign w:val="subscript"/>
                    </w:rPr>
                    <w:t>P</w:t>
                  </w:r>
                  <w:r w:rsidRPr="00C23B39">
                    <w:rPr>
                      <w:sz w:val="20"/>
                      <w:szCs w:val="20"/>
                    </w:rPr>
                    <w:t xml:space="preserve"> coefficients</w:t>
                  </w:r>
                </w:p>
              </w:txbxContent>
            </v:textbox>
          </v:shape>
        </w:pict>
      </w:r>
      <w:r>
        <w:rPr>
          <w:noProof/>
          <w:lang w:val="en-US"/>
        </w:rPr>
        <w:pict>
          <v:shape id="_x0000_s1738" type="#_x0000_t202" style="position:absolute;margin-left:35.3pt;margin-top:75.4pt;width:418.7pt;height:36.05pt;z-index:251686400;mso-height-percent:200;mso-height-percent:200;mso-width-relative:margin;mso-height-relative:margin">
            <v:textbox style="mso-fit-shape-to-text:t">
              <w:txbxContent>
                <w:p w:rsidR="00B4351F" w:rsidRPr="00C23B39" w:rsidRDefault="00B4351F" w:rsidP="003A6A8D">
                  <w:pPr>
                    <w:spacing w:after="0"/>
                    <w:rPr>
                      <w:sz w:val="20"/>
                      <w:szCs w:val="20"/>
                    </w:rPr>
                  </w:pPr>
                  <w:r w:rsidRPr="00C23B39">
                    <w:rPr>
                      <w:sz w:val="20"/>
                      <w:szCs w:val="20"/>
                    </w:rPr>
                    <w:t xml:space="preserve">11. Staff </w:t>
                  </w:r>
                  <w:r>
                    <w:rPr>
                      <w:sz w:val="20"/>
                      <w:szCs w:val="20"/>
                    </w:rPr>
                    <w:t>of</w:t>
                  </w:r>
                  <w:r w:rsidRPr="00C23B39">
                    <w:rPr>
                      <w:sz w:val="20"/>
                      <w:szCs w:val="20"/>
                    </w:rPr>
                    <w:t xml:space="preserve"> the National REDD Fund calculate implementations, transaction costs, and  opportunity costs incurred by the central government and subtract these amounts from the gross revenues</w:t>
                  </w:r>
                </w:p>
              </w:txbxContent>
            </v:textbox>
          </v:shape>
        </w:pict>
      </w:r>
      <w:r>
        <w:rPr>
          <w:noProof/>
          <w:lang w:val="en-US"/>
        </w:rPr>
        <w:pict>
          <v:shape id="_x0000_s1736" type="#_x0000_t202" style="position:absolute;margin-left:34.9pt;margin-top:23.45pt;width:418.3pt;height:36.05pt;z-index:251684352;mso-height-percent:200;mso-height-percent:200;mso-width-relative:margin;mso-height-relative:margin">
            <v:textbox style="mso-next-textbox:#_x0000_s1736;mso-fit-shape-to-text:t">
              <w:txbxContent>
                <w:p w:rsidR="00B4351F" w:rsidRPr="00C23B39" w:rsidRDefault="00B4351F" w:rsidP="003A6A8D">
                  <w:pPr>
                    <w:spacing w:after="0"/>
                    <w:rPr>
                      <w:sz w:val="20"/>
                      <w:szCs w:val="20"/>
                    </w:rPr>
                  </w:pPr>
                  <w:r>
                    <w:rPr>
                      <w:sz w:val="20"/>
                      <w:szCs w:val="20"/>
                    </w:rPr>
                    <w:t xml:space="preserve">10. </w:t>
                  </w:r>
                  <w:r w:rsidRPr="00C23B39">
                    <w:rPr>
                      <w:sz w:val="20"/>
                      <w:szCs w:val="20"/>
                    </w:rPr>
                    <w:t xml:space="preserve">Staff </w:t>
                  </w:r>
                  <w:r>
                    <w:rPr>
                      <w:sz w:val="20"/>
                      <w:szCs w:val="20"/>
                    </w:rPr>
                    <w:t>of</w:t>
                  </w:r>
                  <w:r w:rsidRPr="00C23B39">
                    <w:rPr>
                      <w:sz w:val="20"/>
                      <w:szCs w:val="20"/>
                    </w:rPr>
                    <w:t xml:space="preserve"> National REDD Fund calculate provincial shares of the total revenues based on provincial performance</w:t>
                  </w:r>
                </w:p>
              </w:txbxContent>
            </v:textbox>
          </v:shape>
        </w:pict>
      </w:r>
      <w:r>
        <w:rPr>
          <w:noProof/>
          <w:lang w:val="en-US"/>
        </w:rPr>
        <w:pict>
          <v:shape id="_x0000_s1735" type="#_x0000_t202" style="position:absolute;margin-left:87.25pt;margin-top:168.05pt;width:54.75pt;height:23.35pt;z-index:251683328;mso-width-relative:margin;mso-height-relative:margin" stroked="f">
            <v:textbox>
              <w:txbxContent>
                <w:p w:rsidR="00B4351F" w:rsidRPr="00153A0F" w:rsidRDefault="00B4351F" w:rsidP="003A6A8D">
                  <w:pPr>
                    <w:spacing w:after="0" w:line="240" w:lineRule="auto"/>
                    <w:rPr>
                      <w:sz w:val="20"/>
                      <w:szCs w:val="20"/>
                    </w:rPr>
                  </w:pPr>
                  <w:r w:rsidRPr="00153A0F">
                    <w:rPr>
                      <w:b/>
                      <w:sz w:val="20"/>
                      <w:szCs w:val="20"/>
                    </w:rPr>
                    <w:t>Option 1</w:t>
                  </w:r>
                </w:p>
              </w:txbxContent>
            </v:textbox>
          </v:shape>
        </w:pict>
      </w:r>
      <w:r>
        <w:rPr>
          <w:noProof/>
          <w:lang w:val="en-US"/>
        </w:rPr>
        <w:pict>
          <v:shape id="_x0000_s1734" type="#_x0000_t202" style="position:absolute;margin-left:313.05pt;margin-top:168.05pt;width:54.75pt;height:23.35pt;z-index:251682304;mso-width-relative:margin;mso-height-relative:margin" stroked="f">
            <v:textbox>
              <w:txbxContent>
                <w:p w:rsidR="00B4351F" w:rsidRPr="00153A0F" w:rsidRDefault="00B4351F" w:rsidP="003A6A8D">
                  <w:pPr>
                    <w:spacing w:after="0" w:line="240" w:lineRule="auto"/>
                    <w:rPr>
                      <w:sz w:val="20"/>
                      <w:szCs w:val="20"/>
                    </w:rPr>
                  </w:pPr>
                  <w:r w:rsidRPr="00153A0F">
                    <w:rPr>
                      <w:b/>
                      <w:sz w:val="20"/>
                      <w:szCs w:val="20"/>
                    </w:rPr>
                    <w:t xml:space="preserve">Option </w:t>
                  </w:r>
                  <w:r>
                    <w:rPr>
                      <w:b/>
                      <w:sz w:val="20"/>
                      <w:szCs w:val="20"/>
                    </w:rPr>
                    <w:t>2</w:t>
                  </w:r>
                </w:p>
              </w:txbxContent>
            </v:textbox>
          </v:shape>
        </w:pict>
      </w:r>
    </w:p>
    <w:p w:rsidR="003A6A8D" w:rsidRDefault="003A6A8D" w:rsidP="00A15687"/>
    <w:p w:rsidR="00A15687" w:rsidRDefault="00A15687" w:rsidP="00A256CB">
      <w:pPr>
        <w:autoSpaceDE w:val="0"/>
        <w:autoSpaceDN w:val="0"/>
        <w:adjustRightInd w:val="0"/>
        <w:spacing w:after="0" w:line="300" w:lineRule="atLeast"/>
        <w:jc w:val="both"/>
        <w:rPr>
          <w:rFonts w:ascii="Book Antiqua" w:hAnsi="Book Antiqua" w:cs="Arial"/>
        </w:rPr>
        <w:sectPr w:rsidR="00A15687" w:rsidSect="003A6A8D">
          <w:pgSz w:w="11907" w:h="16840" w:code="9"/>
          <w:pgMar w:top="1440" w:right="1411" w:bottom="1440" w:left="576" w:header="720" w:footer="720" w:gutter="0"/>
          <w:cols w:space="720"/>
          <w:docGrid w:linePitch="360"/>
        </w:sectPr>
      </w:pPr>
    </w:p>
    <w:p w:rsidR="00351F2C" w:rsidRPr="005B3882" w:rsidRDefault="00351F2C" w:rsidP="00A256CB">
      <w:pPr>
        <w:autoSpaceDE w:val="0"/>
        <w:autoSpaceDN w:val="0"/>
        <w:adjustRightInd w:val="0"/>
        <w:spacing w:after="0" w:line="300" w:lineRule="atLeast"/>
        <w:jc w:val="both"/>
        <w:rPr>
          <w:rFonts w:ascii="Book Antiqua" w:hAnsi="Book Antiqua" w:cs="Arial"/>
        </w:rPr>
      </w:pPr>
      <w:r w:rsidRPr="005B3882">
        <w:rPr>
          <w:rFonts w:ascii="Book Antiqua" w:hAnsi="Book Antiqua" w:cs="Arial"/>
        </w:rPr>
        <w:lastRenderedPageBreak/>
        <w:t xml:space="preserve">according to forest category.  For example, in the case of community-owned forest, up to 70% of the revenues accrue to the community, whereas in many other types of forest, such as production forests and protected forests, only 20% of the revenues are transferred to communities.  The process which led to the establishment of these proportions is not clear, and can therefore be interpreted to have been determined arbitrarily, which in turn might indicate that certain stakeholders might stand to benefit inequitably.  This approach to the establishment of a </w:t>
      </w:r>
      <w:r w:rsidR="00480D3D">
        <w:rPr>
          <w:rFonts w:ascii="Book Antiqua" w:hAnsi="Book Antiqua" w:cs="Arial"/>
        </w:rPr>
        <w:t>REDD+</w:t>
      </w:r>
      <w:r w:rsidRPr="005B3882">
        <w:rPr>
          <w:rFonts w:ascii="Book Antiqua" w:hAnsi="Book Antiqua" w:cs="Arial"/>
        </w:rPr>
        <w:t xml:space="preserve"> </w:t>
      </w:r>
      <w:r w:rsidR="00765C66">
        <w:rPr>
          <w:rFonts w:ascii="Book Antiqua" w:hAnsi="Book Antiqua" w:cs="Arial"/>
        </w:rPr>
        <w:t>BDS</w:t>
      </w:r>
      <w:r w:rsidRPr="005B3882">
        <w:rPr>
          <w:rFonts w:ascii="Book Antiqua" w:hAnsi="Book Antiqua" w:cs="Arial"/>
        </w:rPr>
        <w:t xml:space="preserve"> has been criticized, for example by Climate Update (May 11, 2009), as lacking clarity or a rational allocation of revenues to different entities.  It is evident that </w:t>
      </w:r>
      <w:r w:rsidR="00480D3D">
        <w:rPr>
          <w:rFonts w:ascii="Book Antiqua" w:hAnsi="Book Antiqua" w:cs="Arial"/>
        </w:rPr>
        <w:t>REDD+</w:t>
      </w:r>
      <w:r w:rsidRPr="005B3882">
        <w:rPr>
          <w:rFonts w:ascii="Book Antiqua" w:hAnsi="Book Antiqua" w:cs="Arial"/>
        </w:rPr>
        <w:t xml:space="preserve"> distribution schemes must make clear to stakeholders the formulae and principles that have been applied in determining how revenues are shared – a </w:t>
      </w:r>
      <w:r w:rsidRPr="005B3882">
        <w:rPr>
          <w:rFonts w:ascii="Book Antiqua" w:hAnsi="Book Antiqua" w:cs="Arial"/>
          <w:color w:val="000000"/>
        </w:rPr>
        <w:t xml:space="preserve">transparent and equitable </w:t>
      </w:r>
      <w:r w:rsidR="00765C66">
        <w:rPr>
          <w:rFonts w:ascii="Book Antiqua" w:hAnsi="Book Antiqua" w:cs="Arial"/>
          <w:color w:val="000000"/>
        </w:rPr>
        <w:t>BDS</w:t>
      </w:r>
      <w:r w:rsidRPr="005B3882">
        <w:rPr>
          <w:rFonts w:ascii="Book Antiqua" w:hAnsi="Book Antiqua" w:cs="Arial"/>
        </w:rPr>
        <w:t>.</w:t>
      </w:r>
    </w:p>
    <w:p w:rsidR="00351F2C" w:rsidRPr="005B3882" w:rsidRDefault="00351F2C" w:rsidP="00A256CB">
      <w:pPr>
        <w:autoSpaceDE w:val="0"/>
        <w:autoSpaceDN w:val="0"/>
        <w:adjustRightInd w:val="0"/>
        <w:spacing w:after="0" w:line="300" w:lineRule="atLeast"/>
        <w:jc w:val="both"/>
        <w:rPr>
          <w:rFonts w:ascii="Book Antiqua" w:hAnsi="Book Antiqua" w:cs="Arial"/>
        </w:rPr>
      </w:pPr>
    </w:p>
    <w:p w:rsidR="00351F2C" w:rsidRPr="005B3882" w:rsidRDefault="00480D3D" w:rsidP="00A256CB">
      <w:pPr>
        <w:autoSpaceDE w:val="0"/>
        <w:autoSpaceDN w:val="0"/>
        <w:adjustRightInd w:val="0"/>
        <w:spacing w:after="0" w:line="300" w:lineRule="atLeast"/>
        <w:jc w:val="both"/>
        <w:rPr>
          <w:rFonts w:ascii="Book Antiqua" w:hAnsi="Book Antiqua" w:cs="Arial"/>
          <w:color w:val="000000"/>
        </w:rPr>
      </w:pPr>
      <w:smartTag w:uri="urn:schemas-microsoft-com:office:smarttags" w:element="country-region">
        <w:smartTag w:uri="urn:schemas-microsoft-com:office:smarttags" w:element="place">
          <w:r>
            <w:rPr>
              <w:rFonts w:ascii="Book Antiqua" w:hAnsi="Book Antiqua" w:cs="Arial"/>
              <w:color w:val="000000"/>
            </w:rPr>
            <w:t>Viet Nam</w:t>
          </w:r>
        </w:smartTag>
      </w:smartTag>
      <w:r w:rsidR="00351F2C" w:rsidRPr="005B3882">
        <w:rPr>
          <w:rFonts w:ascii="Book Antiqua" w:hAnsi="Book Antiqua" w:cs="Arial"/>
          <w:color w:val="000000"/>
        </w:rPr>
        <w:t xml:space="preserve"> is well-placed to develop a REDD-compliant </w:t>
      </w:r>
      <w:r w:rsidR="00765C66">
        <w:rPr>
          <w:rFonts w:ascii="Book Antiqua" w:hAnsi="Book Antiqua" w:cs="Arial"/>
          <w:color w:val="000000"/>
        </w:rPr>
        <w:t>BDS</w:t>
      </w:r>
      <w:r w:rsidR="00351F2C" w:rsidRPr="005B3882">
        <w:rPr>
          <w:rFonts w:ascii="Book Antiqua" w:hAnsi="Book Antiqua" w:cs="Arial"/>
          <w:color w:val="000000"/>
        </w:rPr>
        <w:t xml:space="preserve"> as a result of many years’ experience in similar systems, such as the “661 Programme” (Government of Viet Nam, 1998), and the recent trial of</w:t>
      </w:r>
      <w:r w:rsidR="001B6D90">
        <w:rPr>
          <w:rFonts w:ascii="Book Antiqua" w:hAnsi="Book Antiqua" w:cs="Arial"/>
          <w:color w:val="000000"/>
        </w:rPr>
        <w:t xml:space="preserve"> </w:t>
      </w:r>
      <w:r w:rsidR="0074733F">
        <w:rPr>
          <w:rFonts w:ascii="Book Antiqua" w:hAnsi="Book Antiqua" w:cs="Arial"/>
          <w:color w:val="000000"/>
        </w:rPr>
        <w:t>Payment for Forest Environmental Services (</w:t>
      </w:r>
      <w:r w:rsidR="001B6D90">
        <w:rPr>
          <w:rFonts w:ascii="Book Antiqua" w:hAnsi="Book Antiqua" w:cs="Arial"/>
          <w:color w:val="000000"/>
        </w:rPr>
        <w:t>PFES</w:t>
      </w:r>
      <w:r w:rsidR="0074733F">
        <w:rPr>
          <w:rFonts w:ascii="Book Antiqua" w:hAnsi="Book Antiqua" w:cs="Arial"/>
          <w:color w:val="000000"/>
        </w:rPr>
        <w:t>)</w:t>
      </w:r>
      <w:r w:rsidR="00351F2C" w:rsidRPr="005B3882">
        <w:rPr>
          <w:rFonts w:ascii="Book Antiqua" w:hAnsi="Book Antiqua" w:cs="Arial"/>
          <w:color w:val="000000"/>
        </w:rPr>
        <w:t xml:space="preserve"> systems under “Decision 380” (Government of Viet Nam, 2008b) – see Chapter 2.  These and other initiatives have generated important lessons concerning the design of </w:t>
      </w:r>
      <w:r w:rsidR="00765C66">
        <w:rPr>
          <w:rFonts w:ascii="Book Antiqua" w:hAnsi="Book Antiqua" w:cs="Arial"/>
          <w:color w:val="000000"/>
        </w:rPr>
        <w:t>BDS</w:t>
      </w:r>
      <w:r w:rsidR="00351F2C" w:rsidRPr="005B3882">
        <w:rPr>
          <w:rFonts w:ascii="Book Antiqua" w:hAnsi="Book Antiqua" w:cs="Arial"/>
          <w:color w:val="000000"/>
        </w:rPr>
        <w:t xml:space="preserve">s.  However, the special characteristics of </w:t>
      </w:r>
      <w:r>
        <w:rPr>
          <w:rFonts w:ascii="Book Antiqua" w:hAnsi="Book Antiqua" w:cs="Arial"/>
          <w:color w:val="000000"/>
        </w:rPr>
        <w:t>REDD+</w:t>
      </w:r>
      <w:r w:rsidR="00351F2C" w:rsidRPr="005B3882">
        <w:rPr>
          <w:rFonts w:ascii="Book Antiqua" w:hAnsi="Book Antiqua" w:cs="Arial"/>
          <w:color w:val="000000"/>
        </w:rPr>
        <w:t xml:space="preserve"> need to be considered in interpreting those lessons for the design of a REDD-compliant system.  For example, payment to individual households is considered feasible in the context of</w:t>
      </w:r>
      <w:r w:rsidR="001B6D90">
        <w:rPr>
          <w:rFonts w:ascii="Book Antiqua" w:hAnsi="Book Antiqua" w:cs="Arial"/>
          <w:color w:val="000000"/>
        </w:rPr>
        <w:t xml:space="preserve"> PFES</w:t>
      </w:r>
      <w:r w:rsidR="00351F2C" w:rsidRPr="005B3882">
        <w:rPr>
          <w:rFonts w:ascii="Book Antiqua" w:hAnsi="Book Antiqua" w:cs="Arial"/>
          <w:color w:val="000000"/>
        </w:rPr>
        <w:t xml:space="preserve"> payments for water conservation, which are paid over a relatively compact area, where each household’s contribution to the total benefit can be determined in a relatively objective way. Applying the same principles over a much larger area, where the relative contribution of individual stakeholders is much more difficult to determine, is highly problematic.</w:t>
      </w:r>
    </w:p>
    <w:p w:rsidR="00351F2C" w:rsidRPr="005B3882" w:rsidRDefault="00351F2C" w:rsidP="00A256CB">
      <w:pPr>
        <w:autoSpaceDE w:val="0"/>
        <w:autoSpaceDN w:val="0"/>
        <w:adjustRightInd w:val="0"/>
        <w:spacing w:after="0" w:line="300" w:lineRule="atLeast"/>
        <w:jc w:val="both"/>
        <w:rPr>
          <w:rFonts w:ascii="Book Antiqua" w:hAnsi="Book Antiqua" w:cs="Arial"/>
          <w:color w:val="000000"/>
        </w:rPr>
      </w:pPr>
    </w:p>
    <w:p w:rsidR="00351F2C" w:rsidRPr="005B3882" w:rsidRDefault="00351F2C" w:rsidP="00A256CB">
      <w:pPr>
        <w:spacing w:after="0" w:line="300" w:lineRule="atLeast"/>
        <w:jc w:val="both"/>
        <w:rPr>
          <w:rFonts w:ascii="Book Antiqua" w:hAnsi="Book Antiqua" w:cs="Arial"/>
        </w:rPr>
      </w:pPr>
      <w:r w:rsidRPr="005B3882">
        <w:rPr>
          <w:rFonts w:ascii="Book Antiqua" w:hAnsi="Book Antiqua" w:cs="Arial"/>
        </w:rPr>
        <w:t xml:space="preserve">The International Working Group on Interim Financing for </w:t>
      </w:r>
      <w:r w:rsidR="00480D3D">
        <w:rPr>
          <w:rFonts w:ascii="Book Antiqua" w:hAnsi="Book Antiqua" w:cs="Arial"/>
        </w:rPr>
        <w:t>REDD+</w:t>
      </w:r>
      <w:r w:rsidRPr="005B3882">
        <w:rPr>
          <w:rFonts w:ascii="Book Antiqua" w:hAnsi="Book Antiqua" w:cs="Arial"/>
        </w:rPr>
        <w:t xml:space="preserve"> (IWG-IFR) has provided their vision of phasing of </w:t>
      </w:r>
      <w:r w:rsidR="00480D3D">
        <w:rPr>
          <w:rFonts w:ascii="Book Antiqua" w:hAnsi="Book Antiqua" w:cs="Arial"/>
        </w:rPr>
        <w:t>REDD+</w:t>
      </w:r>
      <w:r w:rsidRPr="005B3882">
        <w:rPr>
          <w:rFonts w:ascii="Book Antiqua" w:hAnsi="Book Antiqua" w:cs="Arial"/>
        </w:rPr>
        <w:t xml:space="preserve"> readiness.  This involves:</w:t>
      </w:r>
    </w:p>
    <w:p w:rsidR="00351F2C" w:rsidRPr="005B3882" w:rsidRDefault="00351F2C" w:rsidP="008227FD">
      <w:pPr>
        <w:numPr>
          <w:ilvl w:val="0"/>
          <w:numId w:val="112"/>
        </w:numPr>
        <w:spacing w:after="0" w:line="300" w:lineRule="atLeast"/>
        <w:ind w:left="360"/>
        <w:jc w:val="both"/>
        <w:rPr>
          <w:rFonts w:ascii="Book Antiqua" w:hAnsi="Book Antiqua" w:cs="Arial"/>
        </w:rPr>
      </w:pPr>
      <w:r w:rsidRPr="005B3882">
        <w:rPr>
          <w:rFonts w:ascii="Book Antiqua" w:hAnsi="Book Antiqua" w:cs="Arial"/>
        </w:rPr>
        <w:t xml:space="preserve">Phase 1: Initial </w:t>
      </w:r>
      <w:r w:rsidR="00480D3D">
        <w:rPr>
          <w:rFonts w:ascii="Book Antiqua" w:hAnsi="Book Antiqua" w:cs="Arial"/>
        </w:rPr>
        <w:t>REDD+</w:t>
      </w:r>
      <w:r w:rsidRPr="005B3882">
        <w:rPr>
          <w:rFonts w:ascii="Book Antiqua" w:hAnsi="Book Antiqua" w:cs="Arial"/>
        </w:rPr>
        <w:t xml:space="preserve"> readiness, comprises of </w:t>
      </w:r>
      <w:r w:rsidR="00480D3D">
        <w:rPr>
          <w:rFonts w:ascii="Book Antiqua" w:hAnsi="Book Antiqua" w:cs="Arial"/>
        </w:rPr>
        <w:t>REDD+</w:t>
      </w:r>
      <w:r w:rsidRPr="005B3882">
        <w:rPr>
          <w:rFonts w:ascii="Book Antiqua" w:hAnsi="Book Antiqua" w:cs="Arial"/>
        </w:rPr>
        <w:t xml:space="preserve"> strategy preparation through an inclusive multi-stakeholder consultation process, and initial investments in MRV capabilities</w:t>
      </w:r>
    </w:p>
    <w:p w:rsidR="00351F2C" w:rsidRPr="005B3882" w:rsidRDefault="00351F2C" w:rsidP="008227FD">
      <w:pPr>
        <w:numPr>
          <w:ilvl w:val="0"/>
          <w:numId w:val="112"/>
        </w:numPr>
        <w:spacing w:after="0" w:line="300" w:lineRule="atLeast"/>
        <w:ind w:left="360"/>
        <w:jc w:val="both"/>
        <w:rPr>
          <w:rFonts w:ascii="Book Antiqua" w:hAnsi="Book Antiqua" w:cs="Arial"/>
        </w:rPr>
      </w:pPr>
      <w:r w:rsidRPr="005B3882">
        <w:rPr>
          <w:rFonts w:ascii="Book Antiqua" w:hAnsi="Book Antiqua" w:cs="Arial"/>
        </w:rPr>
        <w:t xml:space="preserve">Phase 2: Implementation of enabling policies and measures according to the </w:t>
      </w:r>
      <w:r w:rsidR="00480D3D">
        <w:rPr>
          <w:rFonts w:ascii="Book Antiqua" w:hAnsi="Book Antiqua" w:cs="Arial"/>
        </w:rPr>
        <w:t>REDD+</w:t>
      </w:r>
      <w:r w:rsidRPr="005B3882">
        <w:rPr>
          <w:rFonts w:ascii="Book Antiqua" w:hAnsi="Book Antiqua" w:cs="Arial"/>
        </w:rPr>
        <w:t xml:space="preserve"> strategy leading to emissions reductions verifiable through proxy-based indicators</w:t>
      </w:r>
    </w:p>
    <w:p w:rsidR="00351F2C" w:rsidRPr="005B3882" w:rsidRDefault="00351F2C" w:rsidP="008227FD">
      <w:pPr>
        <w:numPr>
          <w:ilvl w:val="0"/>
          <w:numId w:val="112"/>
        </w:numPr>
        <w:spacing w:after="0" w:line="300" w:lineRule="atLeast"/>
        <w:ind w:left="360"/>
        <w:jc w:val="both"/>
        <w:rPr>
          <w:rFonts w:ascii="Book Antiqua" w:hAnsi="Book Antiqua" w:cs="Arial"/>
        </w:rPr>
      </w:pPr>
      <w:r w:rsidRPr="005B3882">
        <w:rPr>
          <w:rFonts w:ascii="Book Antiqua" w:hAnsi="Book Antiqua" w:cs="Arial"/>
        </w:rPr>
        <w:t>Phase 3: Participation in the UNFCCC compliance system (whether offsets, funds, or other mechanisms) enabled by IPCC-compliant MRV systems</w:t>
      </w:r>
    </w:p>
    <w:p w:rsidR="00351F2C" w:rsidRPr="005B3882" w:rsidRDefault="00351F2C" w:rsidP="00A256CB">
      <w:pPr>
        <w:spacing w:after="0" w:line="300" w:lineRule="atLeast"/>
        <w:jc w:val="both"/>
        <w:rPr>
          <w:rFonts w:ascii="Book Antiqua" w:hAnsi="Book Antiqua" w:cs="Arial"/>
        </w:rPr>
      </w:pPr>
    </w:p>
    <w:p w:rsidR="00351F2C" w:rsidRPr="005B3882" w:rsidRDefault="00351F2C" w:rsidP="00A256CB">
      <w:pPr>
        <w:pStyle w:val="ListParagraph"/>
        <w:spacing w:after="0" w:line="300" w:lineRule="exact"/>
        <w:ind w:left="0"/>
        <w:jc w:val="both"/>
        <w:outlineLvl w:val="1"/>
        <w:rPr>
          <w:rFonts w:ascii="Book Antiqua" w:hAnsi="Book Antiqua" w:cs="Arial"/>
          <w:color w:val="000000"/>
          <w:lang w:val="en-GB"/>
        </w:rPr>
      </w:pPr>
      <w:bookmarkStart w:id="37" w:name="_Toc249078655"/>
      <w:bookmarkStart w:id="38" w:name="_Toc249079491"/>
      <w:r w:rsidRPr="005B3882">
        <w:rPr>
          <w:rFonts w:ascii="Book Antiqua" w:hAnsi="Book Antiqua" w:cs="Arial"/>
          <w:color w:val="000000"/>
          <w:lang w:val="en-GB"/>
        </w:rPr>
        <w:t xml:space="preserve">The IWG-IFR is heavily focused on MRV, and refers to </w:t>
      </w:r>
      <w:r w:rsidR="00765C66">
        <w:rPr>
          <w:rFonts w:ascii="Book Antiqua" w:hAnsi="Book Antiqua" w:cs="Arial"/>
          <w:color w:val="000000"/>
          <w:lang w:val="en-GB"/>
        </w:rPr>
        <w:t>BDS</w:t>
      </w:r>
      <w:r w:rsidRPr="005B3882">
        <w:rPr>
          <w:rFonts w:ascii="Book Antiqua" w:hAnsi="Book Antiqua" w:cs="Arial"/>
          <w:color w:val="000000"/>
          <w:lang w:val="en-GB"/>
        </w:rPr>
        <w:t xml:space="preserve">s (termed “payment processing capacity”) in the context of “participation enablers”, which it anticipates will be undertaken during Phase 2.  However, it does note that these phases may differ from country to country, and in any case, proposes that proxy-based payments, which require “payment processing capacity”, would start as early as 2010.  The challenges of building capacity for Benefit Distribution should not be under-estimated, nor should capacity solutions be rushed.  One of the key conclusions of this report is that the development of a </w:t>
      </w:r>
      <w:r w:rsidR="00765C66">
        <w:rPr>
          <w:rFonts w:ascii="Book Antiqua" w:hAnsi="Book Antiqua" w:cs="Arial"/>
          <w:color w:val="000000"/>
          <w:lang w:val="en-GB"/>
        </w:rPr>
        <w:t>BDS</w:t>
      </w:r>
      <w:r w:rsidRPr="005B3882">
        <w:rPr>
          <w:rFonts w:ascii="Book Antiqua" w:hAnsi="Book Antiqua" w:cs="Arial"/>
          <w:color w:val="000000"/>
          <w:lang w:val="en-GB"/>
        </w:rPr>
        <w:t xml:space="preserve"> for </w:t>
      </w:r>
      <w:smartTag w:uri="urn:schemas-microsoft-com:office:smarttags" w:element="country-region">
        <w:smartTag w:uri="urn:schemas-microsoft-com:office:smarttags" w:element="place">
          <w:r w:rsidRPr="005B3882">
            <w:rPr>
              <w:rFonts w:ascii="Book Antiqua" w:hAnsi="Book Antiqua" w:cs="Arial"/>
              <w:color w:val="000000"/>
              <w:lang w:val="en-GB"/>
            </w:rPr>
            <w:t>Viet Nam</w:t>
          </w:r>
        </w:smartTag>
      </w:smartTag>
      <w:r w:rsidRPr="005B3882">
        <w:rPr>
          <w:rFonts w:ascii="Book Antiqua" w:hAnsi="Book Antiqua" w:cs="Arial"/>
          <w:color w:val="000000"/>
          <w:lang w:val="en-GB"/>
        </w:rPr>
        <w:t xml:space="preserve"> should start immediately, but should also be based on lessons derived from at least 2 years of pilot studies in several provinces.</w:t>
      </w:r>
      <w:bookmarkEnd w:id="37"/>
      <w:bookmarkEnd w:id="38"/>
      <w:r w:rsidRPr="005B3882">
        <w:rPr>
          <w:rFonts w:ascii="Book Antiqua" w:hAnsi="Book Antiqua" w:cs="Arial"/>
          <w:color w:val="000000"/>
          <w:lang w:val="en-GB"/>
        </w:rPr>
        <w:t xml:space="preserve"> </w:t>
      </w:r>
    </w:p>
    <w:p w:rsidR="00351F2C" w:rsidRPr="005B3882" w:rsidRDefault="00351F2C" w:rsidP="00A256CB">
      <w:pPr>
        <w:pStyle w:val="ListParagraph"/>
        <w:spacing w:after="0" w:line="300" w:lineRule="exact"/>
        <w:ind w:left="0"/>
        <w:jc w:val="both"/>
        <w:outlineLvl w:val="1"/>
        <w:rPr>
          <w:rFonts w:ascii="Book Antiqua" w:hAnsi="Book Antiqua" w:cs="Arial"/>
          <w:color w:val="000000"/>
          <w:lang w:val="en-GB"/>
        </w:rPr>
      </w:pPr>
    </w:p>
    <w:p w:rsidR="00351F2C" w:rsidRPr="005B3882" w:rsidRDefault="00351F2C" w:rsidP="00A256CB">
      <w:pPr>
        <w:pStyle w:val="ListParagraph"/>
        <w:spacing w:after="0" w:line="300" w:lineRule="exact"/>
        <w:ind w:left="0"/>
        <w:jc w:val="both"/>
        <w:outlineLvl w:val="1"/>
        <w:rPr>
          <w:rFonts w:ascii="Book Antiqua" w:hAnsi="Book Antiqua" w:cs="Arial"/>
          <w:color w:val="000000"/>
          <w:lang w:val="en-GB"/>
        </w:rPr>
      </w:pPr>
      <w:bookmarkStart w:id="39" w:name="_Toc249078656"/>
      <w:bookmarkStart w:id="40" w:name="_Toc249079231"/>
      <w:bookmarkStart w:id="41" w:name="_Toc249079492"/>
      <w:r w:rsidRPr="005B3882">
        <w:rPr>
          <w:rFonts w:ascii="Book Antiqua" w:hAnsi="Book Antiqua" w:cs="Arial"/>
          <w:color w:val="000000"/>
          <w:lang w:val="en-GB"/>
        </w:rPr>
        <w:lastRenderedPageBreak/>
        <w:t xml:space="preserve">These pilots would also generate lessons required for design and implementation of other elements of a comprehensive </w:t>
      </w:r>
      <w:r w:rsidR="00480D3D">
        <w:rPr>
          <w:rFonts w:ascii="Book Antiqua" w:hAnsi="Book Antiqua" w:cs="Arial"/>
          <w:color w:val="000000"/>
          <w:lang w:val="en-GB"/>
        </w:rPr>
        <w:t>REDD+</w:t>
      </w:r>
      <w:r w:rsidRPr="005B3882">
        <w:rPr>
          <w:rFonts w:ascii="Book Antiqua" w:hAnsi="Book Antiqua" w:cs="Arial"/>
          <w:color w:val="000000"/>
          <w:lang w:val="en-GB"/>
        </w:rPr>
        <w:t xml:space="preserve"> regime, which likewise require careful analysis.  The </w:t>
      </w:r>
      <w:r w:rsidR="00765C66">
        <w:rPr>
          <w:rFonts w:ascii="Book Antiqua" w:hAnsi="Book Antiqua" w:cs="Arial"/>
          <w:color w:val="000000"/>
          <w:lang w:val="en-GB"/>
        </w:rPr>
        <w:t>BDS</w:t>
      </w:r>
      <w:r w:rsidRPr="005B3882">
        <w:rPr>
          <w:rFonts w:ascii="Book Antiqua" w:hAnsi="Book Antiqua" w:cs="Arial"/>
          <w:color w:val="000000"/>
          <w:lang w:val="en-GB"/>
        </w:rPr>
        <w:t xml:space="preserve"> needs to be viewed in the context of an overall </w:t>
      </w:r>
      <w:r w:rsidR="00480D3D">
        <w:rPr>
          <w:rFonts w:ascii="Book Antiqua" w:hAnsi="Book Antiqua" w:cs="Arial"/>
          <w:color w:val="000000"/>
          <w:lang w:val="en-GB"/>
        </w:rPr>
        <w:t>REDD+</w:t>
      </w:r>
      <w:r w:rsidRPr="005B3882">
        <w:rPr>
          <w:rFonts w:ascii="Book Antiqua" w:hAnsi="Book Antiqua" w:cs="Arial"/>
          <w:color w:val="000000"/>
          <w:lang w:val="en-GB"/>
        </w:rPr>
        <w:t xml:space="preserve"> system (see Annex 2).  While there is no point in having a </w:t>
      </w:r>
      <w:r w:rsidR="00765C66">
        <w:rPr>
          <w:rFonts w:ascii="Book Antiqua" w:hAnsi="Book Antiqua" w:cs="Arial"/>
          <w:color w:val="000000"/>
          <w:lang w:val="en-GB"/>
        </w:rPr>
        <w:t>BDS</w:t>
      </w:r>
      <w:r w:rsidRPr="005B3882">
        <w:rPr>
          <w:rFonts w:ascii="Book Antiqua" w:hAnsi="Book Antiqua" w:cs="Arial"/>
          <w:color w:val="000000"/>
          <w:lang w:val="en-GB"/>
        </w:rPr>
        <w:t xml:space="preserve"> established until other </w:t>
      </w:r>
      <w:r w:rsidR="00480D3D">
        <w:rPr>
          <w:rFonts w:ascii="Book Antiqua" w:hAnsi="Book Antiqua" w:cs="Arial"/>
          <w:color w:val="000000"/>
          <w:lang w:val="en-GB"/>
        </w:rPr>
        <w:t>REDD+</w:t>
      </w:r>
      <w:r w:rsidRPr="005B3882">
        <w:rPr>
          <w:rFonts w:ascii="Book Antiqua" w:hAnsi="Book Antiqua" w:cs="Arial"/>
          <w:color w:val="000000"/>
          <w:lang w:val="en-GB"/>
        </w:rPr>
        <w:t xml:space="preserve"> elements are in place, allowing </w:t>
      </w:r>
      <w:r w:rsidR="00480D3D">
        <w:rPr>
          <w:rFonts w:ascii="Book Antiqua" w:hAnsi="Book Antiqua" w:cs="Arial"/>
          <w:color w:val="000000"/>
          <w:lang w:val="en-GB"/>
        </w:rPr>
        <w:t>REDD+</w:t>
      </w:r>
      <w:r w:rsidRPr="005B3882">
        <w:rPr>
          <w:rFonts w:ascii="Book Antiqua" w:hAnsi="Book Antiqua" w:cs="Arial"/>
          <w:color w:val="000000"/>
          <w:lang w:val="en-GB"/>
        </w:rPr>
        <w:t xml:space="preserve"> credits to be generated, the necessary institutional and policy changes take time to achieve, so an early start on such a challenging topic is justified.</w:t>
      </w:r>
      <w:bookmarkEnd w:id="39"/>
      <w:bookmarkEnd w:id="40"/>
      <w:bookmarkEnd w:id="41"/>
    </w:p>
    <w:p w:rsidR="00351F2C" w:rsidRPr="00445F77" w:rsidRDefault="00351F2C" w:rsidP="00A256CB">
      <w:pPr>
        <w:pStyle w:val="ListParagraph"/>
        <w:spacing w:after="0" w:line="300" w:lineRule="exact"/>
        <w:ind w:left="0"/>
        <w:jc w:val="both"/>
        <w:outlineLvl w:val="1"/>
        <w:rPr>
          <w:rFonts w:ascii="Arial" w:hAnsi="Arial" w:cs="Arial"/>
          <w:color w:val="000000"/>
          <w:sz w:val="24"/>
          <w:szCs w:val="24"/>
          <w:lang w:val="en-GB"/>
        </w:rPr>
      </w:pPr>
    </w:p>
    <w:p w:rsidR="00351F2C" w:rsidRPr="00445F77" w:rsidRDefault="009F174B" w:rsidP="009F174B">
      <w:pPr>
        <w:pStyle w:val="Heading2"/>
        <w:rPr>
          <w:rFonts w:ascii="Arial" w:hAnsi="Arial" w:cs="Arial"/>
          <w:sz w:val="24"/>
          <w:szCs w:val="24"/>
        </w:rPr>
      </w:pPr>
      <w:bookmarkStart w:id="42" w:name="_Toc252354724"/>
      <w:r w:rsidRPr="00445F77">
        <w:rPr>
          <w:rFonts w:ascii="Arial" w:hAnsi="Arial" w:cs="Arial"/>
          <w:sz w:val="24"/>
          <w:szCs w:val="24"/>
        </w:rPr>
        <w:t xml:space="preserve">1.3 </w:t>
      </w:r>
      <w:r w:rsidR="00351F2C" w:rsidRPr="00445F77">
        <w:rPr>
          <w:rFonts w:ascii="Arial" w:hAnsi="Arial" w:cs="Arial"/>
          <w:sz w:val="24"/>
          <w:szCs w:val="24"/>
        </w:rPr>
        <w:t xml:space="preserve">Forests in </w:t>
      </w:r>
      <w:smartTag w:uri="urn:schemas-microsoft-com:office:smarttags" w:element="country-region">
        <w:smartTag w:uri="urn:schemas-microsoft-com:office:smarttags" w:element="place">
          <w:r w:rsidR="00351F2C" w:rsidRPr="00445F77">
            <w:rPr>
              <w:rFonts w:ascii="Arial" w:hAnsi="Arial" w:cs="Arial"/>
              <w:sz w:val="24"/>
              <w:szCs w:val="24"/>
            </w:rPr>
            <w:t>Viet Nam</w:t>
          </w:r>
        </w:smartTag>
      </w:smartTag>
      <w:bookmarkEnd w:id="42"/>
    </w:p>
    <w:p w:rsidR="00351F2C" w:rsidRPr="005B3882" w:rsidRDefault="00351F2C" w:rsidP="00A256CB">
      <w:pPr>
        <w:spacing w:after="0" w:line="300" w:lineRule="exact"/>
        <w:jc w:val="both"/>
        <w:rPr>
          <w:rFonts w:ascii="Book Antiqua" w:hAnsi="Book Antiqua" w:cs="Arial"/>
        </w:rPr>
      </w:pPr>
      <w:smartTag w:uri="urn:schemas-microsoft-com:office:smarttags" w:element="country-region">
        <w:r w:rsidRPr="005B3882">
          <w:rPr>
            <w:rFonts w:ascii="Book Antiqua" w:hAnsi="Book Antiqua" w:cs="Arial"/>
          </w:rPr>
          <w:t>Viet Nam</w:t>
        </w:r>
      </w:smartTag>
      <w:r w:rsidRPr="005B3882">
        <w:rPr>
          <w:rFonts w:ascii="Book Antiqua" w:hAnsi="Book Antiqua" w:cs="Arial"/>
        </w:rPr>
        <w:t xml:space="preserve"> covers an area of 330,991 km</w:t>
      </w:r>
      <w:r w:rsidRPr="005B3882">
        <w:rPr>
          <w:rFonts w:ascii="Book Antiqua" w:hAnsi="Book Antiqua" w:cs="Arial"/>
          <w:vertAlign w:val="superscript"/>
        </w:rPr>
        <w:t>2</w:t>
      </w:r>
      <w:r w:rsidRPr="005B3882">
        <w:rPr>
          <w:rFonts w:ascii="Book Antiqua" w:hAnsi="Book Antiqua" w:cs="Arial"/>
        </w:rPr>
        <w:t xml:space="preserve">, with a complex topography characterized by mountains, high plateau, plains and rivers, of which the two most significant are the Red River and the </w:t>
      </w:r>
      <w:smartTag w:uri="urn:schemas-microsoft-com:office:smarttags" w:element="place">
        <w:r w:rsidRPr="005B3882">
          <w:rPr>
            <w:rFonts w:ascii="Book Antiqua" w:hAnsi="Book Antiqua" w:cs="Arial"/>
          </w:rPr>
          <w:t>Mekong</w:t>
        </w:r>
      </w:smartTag>
      <w:r w:rsidRPr="005B3882">
        <w:rPr>
          <w:rFonts w:ascii="Book Antiqua" w:hAnsi="Book Antiqua" w:cs="Arial"/>
        </w:rPr>
        <w:t xml:space="preserve">.  The climate is monsoonal, with an average temperature of 24-27°C and rainfall averaging 1,500-2,500 mm, falling predominantly in the rainy season from May to October. </w:t>
      </w:r>
    </w:p>
    <w:p w:rsidR="00351F2C" w:rsidRPr="005B3882" w:rsidRDefault="00351F2C" w:rsidP="00A256CB">
      <w:pPr>
        <w:spacing w:after="0" w:line="300" w:lineRule="exact"/>
        <w:jc w:val="both"/>
        <w:rPr>
          <w:rFonts w:ascii="Book Antiqua" w:hAnsi="Book Antiqua" w:cs="Arial"/>
        </w:rPr>
      </w:pPr>
    </w:p>
    <w:p w:rsidR="00351F2C" w:rsidRPr="005B3882" w:rsidRDefault="00351F2C" w:rsidP="00A256CB">
      <w:pPr>
        <w:spacing w:after="0" w:line="300" w:lineRule="exact"/>
        <w:jc w:val="both"/>
        <w:rPr>
          <w:rFonts w:ascii="Book Antiqua" w:hAnsi="Book Antiqua" w:cs="Arial"/>
        </w:rPr>
      </w:pPr>
      <w:r w:rsidRPr="005B3882">
        <w:rPr>
          <w:rFonts w:ascii="Book Antiqua" w:hAnsi="Book Antiqua" w:cs="Arial"/>
        </w:rPr>
        <w:t>Population density is the highest in South East Asia reaching up to 1,000 people km</w:t>
      </w:r>
      <w:r w:rsidRPr="005B3882">
        <w:rPr>
          <w:rFonts w:ascii="Book Antiqua" w:hAnsi="Book Antiqua" w:cs="Arial"/>
          <w:vertAlign w:val="superscript"/>
        </w:rPr>
        <w:t xml:space="preserve">-2 </w:t>
      </w:r>
      <w:r w:rsidRPr="005B3882">
        <w:rPr>
          <w:rFonts w:ascii="Book Antiqua" w:hAnsi="Book Antiqua" w:cs="Arial"/>
        </w:rPr>
        <w:t>in the Red River Delta (the average figure being 232 people km</w:t>
      </w:r>
      <w:r w:rsidRPr="005B3882">
        <w:rPr>
          <w:rFonts w:ascii="Book Antiqua" w:hAnsi="Book Antiqua" w:cs="Arial"/>
          <w:vertAlign w:val="superscript"/>
        </w:rPr>
        <w:t>-2</w:t>
      </w:r>
      <w:r w:rsidRPr="005B3882">
        <w:rPr>
          <w:rFonts w:ascii="Book Antiqua" w:hAnsi="Book Antiqua" w:cs="Arial"/>
        </w:rPr>
        <w:t xml:space="preserve">), though population density in the mountains is much lower.  About 80% of the population lives in rural areas, and 75% practice agriculture and forestry as their predominant livelihoods. </w:t>
      </w:r>
    </w:p>
    <w:p w:rsidR="00351F2C" w:rsidRPr="005B3882" w:rsidRDefault="00351F2C" w:rsidP="00A256CB">
      <w:pPr>
        <w:spacing w:after="0" w:line="300" w:lineRule="exact"/>
        <w:jc w:val="both"/>
        <w:rPr>
          <w:rFonts w:ascii="Book Antiqua" w:hAnsi="Book Antiqua" w:cs="Arial"/>
        </w:rPr>
      </w:pPr>
    </w:p>
    <w:p w:rsidR="00351F2C" w:rsidRPr="005B3882" w:rsidRDefault="00351F2C" w:rsidP="00A256CB">
      <w:pPr>
        <w:spacing w:after="0" w:line="300" w:lineRule="exact"/>
        <w:jc w:val="both"/>
        <w:rPr>
          <w:rFonts w:ascii="Book Antiqua" w:hAnsi="Book Antiqua" w:cs="Arial"/>
        </w:rPr>
      </w:pPr>
      <w:r w:rsidRPr="005B3882">
        <w:rPr>
          <w:rFonts w:ascii="Book Antiqua" w:hAnsi="Book Antiqua" w:cs="Arial"/>
        </w:rPr>
        <w:t>Since 1986 the government has pursued the "</w:t>
      </w:r>
      <w:r w:rsidRPr="005B3882">
        <w:rPr>
          <w:rFonts w:ascii="Book Antiqua" w:hAnsi="Book Antiqua" w:cs="Arial"/>
          <w:i/>
        </w:rPr>
        <w:t>doi moi</w:t>
      </w:r>
      <w:r w:rsidRPr="005B3882">
        <w:rPr>
          <w:rFonts w:ascii="Book Antiqua" w:hAnsi="Book Antiqua" w:cs="Arial"/>
        </w:rPr>
        <w:t>" policy of economic development, encompassing a combination of policy and institutional modifications associated with liberalization and reform.  This policy is credited with catalyzing dramatic economic development in the country with annual GDP growth during the 1990s and early 2000s ranging between 6% and 9% per year.</w:t>
      </w:r>
    </w:p>
    <w:p w:rsidR="00351F2C" w:rsidRPr="00445F77" w:rsidRDefault="00351F2C" w:rsidP="00A256CB">
      <w:pPr>
        <w:spacing w:after="0" w:line="300" w:lineRule="exact"/>
        <w:jc w:val="both"/>
        <w:rPr>
          <w:rFonts w:ascii="Arial" w:hAnsi="Arial" w:cs="Arial"/>
          <w:sz w:val="24"/>
          <w:szCs w:val="24"/>
        </w:rPr>
      </w:pPr>
    </w:p>
    <w:p w:rsidR="00351F2C" w:rsidRPr="00445F77" w:rsidRDefault="00351F2C" w:rsidP="00A256CB">
      <w:pPr>
        <w:pStyle w:val="Heading3"/>
        <w:rPr>
          <w:rFonts w:ascii="Arial" w:hAnsi="Arial" w:cs="Arial"/>
        </w:rPr>
      </w:pPr>
      <w:bookmarkStart w:id="43" w:name="_Toc249078658"/>
      <w:bookmarkStart w:id="44" w:name="_Toc249079233"/>
      <w:bookmarkStart w:id="45" w:name="_Toc249079494"/>
      <w:r w:rsidRPr="00445F77">
        <w:rPr>
          <w:rFonts w:ascii="Arial" w:hAnsi="Arial" w:cs="Arial"/>
        </w:rPr>
        <w:t>Forest area, forest types, and trends</w:t>
      </w:r>
      <w:bookmarkEnd w:id="43"/>
      <w:bookmarkEnd w:id="44"/>
      <w:bookmarkEnd w:id="45"/>
    </w:p>
    <w:p w:rsidR="00351F2C" w:rsidRPr="005B3882" w:rsidRDefault="00351F2C" w:rsidP="00A256CB">
      <w:pPr>
        <w:spacing w:after="0" w:line="300" w:lineRule="exact"/>
        <w:jc w:val="both"/>
        <w:rPr>
          <w:rFonts w:ascii="Book Antiqua" w:hAnsi="Book Antiqua" w:cs="Arial"/>
        </w:rPr>
      </w:pPr>
      <w:r w:rsidRPr="005B3882">
        <w:rPr>
          <w:rFonts w:ascii="Book Antiqua" w:hAnsi="Book Antiqua" w:cs="Arial"/>
        </w:rPr>
        <w:t xml:space="preserve">Land classified as “forest land” amounts to 19.2 million hectares, but of this only 13.1 million hectares are forested (2008 data), with the remainder consisting of denuded hillsides and barren lands.  Of the forested land, 10.3 million hectares are natural forests, and 2.8 million hectares are plantations. </w:t>
      </w:r>
      <w:smartTag w:uri="urn:schemas-microsoft-com:office:smarttags" w:element="place">
        <w:r w:rsidRPr="005B3882">
          <w:rPr>
            <w:rFonts w:ascii="Book Antiqua" w:hAnsi="Book Antiqua" w:cs="Arial"/>
          </w:rPr>
          <w:t>Forest</w:t>
        </w:r>
      </w:smartTag>
      <w:r w:rsidRPr="005B3882">
        <w:rPr>
          <w:rFonts w:ascii="Book Antiqua" w:hAnsi="Book Antiqua" w:cs="Arial"/>
        </w:rPr>
        <w:t xml:space="preserve"> land-use falls under three categories, namely special-use forests (mainly protected areas), 2.2 million hectares; protection forests, 5.7 million hectares; and production forests, 8.3 million hectares. </w:t>
      </w:r>
    </w:p>
    <w:bookmarkEnd w:id="33"/>
    <w:p w:rsidR="00351F2C" w:rsidRPr="005B3882" w:rsidRDefault="00351F2C" w:rsidP="00A256CB">
      <w:pPr>
        <w:spacing w:after="0" w:line="300" w:lineRule="exact"/>
        <w:jc w:val="both"/>
        <w:rPr>
          <w:rFonts w:ascii="Book Antiqua" w:hAnsi="Book Antiqua" w:cs="Arial"/>
        </w:rPr>
      </w:pPr>
    </w:p>
    <w:p w:rsidR="00351F2C" w:rsidRPr="005B3882" w:rsidRDefault="00351F2C" w:rsidP="00A256CB">
      <w:pPr>
        <w:spacing w:after="0" w:line="300" w:lineRule="exact"/>
        <w:jc w:val="both"/>
        <w:rPr>
          <w:rFonts w:ascii="Book Antiqua" w:hAnsi="Book Antiqua" w:cs="Arial"/>
        </w:rPr>
      </w:pPr>
      <w:r w:rsidRPr="005B3882">
        <w:rPr>
          <w:rFonts w:ascii="Book Antiqua" w:hAnsi="Book Antiqua" w:cs="Arial"/>
        </w:rPr>
        <w:t xml:space="preserve">Forests are unevenly distributed throughout </w:t>
      </w:r>
      <w:smartTag w:uri="urn:schemas-microsoft-com:office:smarttags" w:element="country-region">
        <w:r w:rsidRPr="005B3882">
          <w:rPr>
            <w:rFonts w:ascii="Book Antiqua" w:hAnsi="Book Antiqua" w:cs="Arial"/>
          </w:rPr>
          <w:t>Viet Nam</w:t>
        </w:r>
      </w:smartTag>
      <w:r w:rsidRPr="005B3882">
        <w:rPr>
          <w:rFonts w:ascii="Book Antiqua" w:hAnsi="Book Antiqua" w:cs="Arial"/>
        </w:rPr>
        <w:t xml:space="preserve">, ranging from 5% of the land area in the Mekong and Red River deltas to 35% in the north-central, and coastal couth central regions, and 56% in the </w:t>
      </w:r>
      <w:smartTag w:uri="urn:schemas-microsoft-com:office:smarttags" w:element="place">
        <w:r w:rsidRPr="005B3882">
          <w:rPr>
            <w:rFonts w:ascii="Book Antiqua" w:hAnsi="Book Antiqua" w:cs="Arial"/>
          </w:rPr>
          <w:t>Central Highlands</w:t>
        </w:r>
      </w:smartTag>
      <w:r w:rsidRPr="005B3882">
        <w:rPr>
          <w:rFonts w:ascii="Book Antiqua" w:hAnsi="Book Antiqua" w:cs="Arial"/>
        </w:rPr>
        <w:t xml:space="preserve">.  </w:t>
      </w:r>
      <w:smartTag w:uri="urn:schemas-microsoft-com:office:smarttags" w:element="place">
        <w:r w:rsidRPr="005B3882">
          <w:rPr>
            <w:rFonts w:ascii="Book Antiqua" w:hAnsi="Book Antiqua" w:cs="Arial"/>
          </w:rPr>
          <w:t>Forest</w:t>
        </w:r>
      </w:smartTag>
      <w:r w:rsidRPr="005B3882">
        <w:rPr>
          <w:rFonts w:ascii="Book Antiqua" w:hAnsi="Book Antiqua" w:cs="Arial"/>
        </w:rPr>
        <w:t xml:space="preserve"> types are diverse, and include pine forests, broad-leaved forests, mixed coniferous stands, moist and dry dipterocarp forests in the uplands; and lowland dipterocarp forests, mangroves, bamboos, and mixed stands of hardwoods and bamboos in lower areas, flats and wetlands. The quality of forest is also highly variable. </w:t>
      </w:r>
    </w:p>
    <w:p w:rsidR="00351F2C" w:rsidRPr="005B3882" w:rsidRDefault="00351F2C" w:rsidP="00A256CB">
      <w:pPr>
        <w:spacing w:after="0" w:line="300" w:lineRule="exact"/>
        <w:jc w:val="both"/>
        <w:outlineLvl w:val="1"/>
        <w:rPr>
          <w:rFonts w:ascii="Book Antiqua" w:hAnsi="Book Antiqua" w:cs="Arial"/>
        </w:rPr>
      </w:pPr>
    </w:p>
    <w:p w:rsidR="00351F2C" w:rsidRPr="005B3882" w:rsidRDefault="00351F2C" w:rsidP="00A256CB">
      <w:pPr>
        <w:spacing w:after="0" w:line="300" w:lineRule="exact"/>
        <w:jc w:val="both"/>
        <w:outlineLvl w:val="1"/>
        <w:rPr>
          <w:rFonts w:ascii="Book Antiqua" w:hAnsi="Book Antiqua" w:cs="Arial"/>
        </w:rPr>
      </w:pPr>
      <w:bookmarkStart w:id="46" w:name="_Toc249078659"/>
      <w:bookmarkStart w:id="47" w:name="_Toc249079234"/>
      <w:bookmarkStart w:id="48" w:name="_Toc249079495"/>
      <w:r w:rsidRPr="005B3882">
        <w:rPr>
          <w:rFonts w:ascii="Book Antiqua" w:hAnsi="Book Antiqua" w:cs="Arial"/>
        </w:rPr>
        <w:t xml:space="preserve">The history of changes in forest area in </w:t>
      </w:r>
      <w:smartTag w:uri="urn:schemas-microsoft-com:office:smarttags" w:element="country-region">
        <w:smartTag w:uri="urn:schemas-microsoft-com:office:smarttags" w:element="place">
          <w:r w:rsidRPr="005B3882">
            <w:rPr>
              <w:rFonts w:ascii="Book Antiqua" w:hAnsi="Book Antiqua" w:cs="Arial"/>
            </w:rPr>
            <w:t>Viet Nam</w:t>
          </w:r>
        </w:smartTag>
      </w:smartTag>
      <w:r w:rsidRPr="005B3882">
        <w:rPr>
          <w:rFonts w:ascii="Book Antiqua" w:hAnsi="Book Antiqua" w:cs="Arial"/>
        </w:rPr>
        <w:t xml:space="preserve"> is dramatic.  During the period of 1943 to 1983 about 50% of its forest was cleared during four decades of intensive utilization.  </w:t>
      </w:r>
      <w:smartTag w:uri="urn:schemas-microsoft-com:office:smarttags" w:element="place">
        <w:r w:rsidRPr="005B3882">
          <w:rPr>
            <w:rFonts w:ascii="Book Antiqua" w:hAnsi="Book Antiqua" w:cs="Arial"/>
          </w:rPr>
          <w:t>Forest</w:t>
        </w:r>
      </w:smartTag>
      <w:r w:rsidRPr="005B3882">
        <w:rPr>
          <w:rFonts w:ascii="Book Antiqua" w:hAnsi="Book Antiqua" w:cs="Arial"/>
        </w:rPr>
        <w:t xml:space="preserve"> coverage hit a minimum of about 27% around 1990.  However, between 1990 and 2000, </w:t>
      </w:r>
      <w:smartTag w:uri="urn:schemas-microsoft-com:office:smarttags" w:element="country-region">
        <w:smartTag w:uri="urn:schemas-microsoft-com:office:smarttags" w:element="place">
          <w:r w:rsidRPr="005B3882">
            <w:rPr>
              <w:rFonts w:ascii="Book Antiqua" w:hAnsi="Book Antiqua" w:cs="Arial"/>
            </w:rPr>
            <w:t>Viet Nam</w:t>
          </w:r>
        </w:smartTag>
      </w:smartTag>
      <w:r w:rsidRPr="005B3882">
        <w:rPr>
          <w:rFonts w:ascii="Book Antiqua" w:hAnsi="Book Antiqua" w:cs="Arial"/>
        </w:rPr>
        <w:t xml:space="preserve"> gained an average of 236,200 hectares of forest per year, equivalent to a </w:t>
      </w:r>
      <w:r w:rsidRPr="005B3882">
        <w:rPr>
          <w:rFonts w:ascii="Book Antiqua" w:hAnsi="Book Antiqua" w:cs="Arial"/>
        </w:rPr>
        <w:lastRenderedPageBreak/>
        <w:t>2.5% increase per year. Between 2000 and 2005, the rate of increase was about 2.1% per annum.  This resulted in percentage forest cover growing to 38.3%, or around 3,568,000 hectares by 2008.</w:t>
      </w:r>
      <w:bookmarkEnd w:id="46"/>
      <w:bookmarkEnd w:id="47"/>
      <w:bookmarkEnd w:id="48"/>
      <w:r w:rsidRPr="005B3882">
        <w:rPr>
          <w:rFonts w:ascii="Book Antiqua" w:hAnsi="Book Antiqua" w:cs="Arial"/>
        </w:rPr>
        <w:t xml:space="preserve">  </w:t>
      </w:r>
    </w:p>
    <w:p w:rsidR="00351F2C" w:rsidRPr="005B3882" w:rsidRDefault="00351F2C" w:rsidP="00A256CB">
      <w:pPr>
        <w:spacing w:after="0" w:line="300" w:lineRule="exact"/>
        <w:jc w:val="both"/>
        <w:outlineLvl w:val="1"/>
        <w:rPr>
          <w:rFonts w:ascii="Book Antiqua" w:hAnsi="Book Antiqua" w:cs="Arial"/>
        </w:rPr>
      </w:pPr>
    </w:p>
    <w:p w:rsidR="00351F2C" w:rsidRPr="005B3882" w:rsidRDefault="00351F2C" w:rsidP="00A256CB">
      <w:pPr>
        <w:spacing w:after="0" w:line="300" w:lineRule="exact"/>
        <w:jc w:val="both"/>
        <w:outlineLvl w:val="1"/>
        <w:rPr>
          <w:rFonts w:ascii="Book Antiqua" w:hAnsi="Book Antiqua" w:cs="Arial"/>
        </w:rPr>
      </w:pPr>
      <w:bookmarkStart w:id="49" w:name="_Toc249078660"/>
      <w:bookmarkStart w:id="50" w:name="_Toc249079235"/>
      <w:bookmarkStart w:id="51" w:name="_Toc249079496"/>
      <w:r w:rsidRPr="005B3882">
        <w:rPr>
          <w:rFonts w:ascii="Book Antiqua" w:hAnsi="Book Antiqua" w:cs="Arial"/>
        </w:rPr>
        <w:t>These figures indicate that Viet Nam has progressed to the far right-hand side of the forest transition curve (see Figure 1.</w:t>
      </w:r>
      <w:r w:rsidR="00AC12C1">
        <w:rPr>
          <w:rFonts w:ascii="Book Antiqua" w:hAnsi="Book Antiqua" w:cs="Arial"/>
        </w:rPr>
        <w:t>4</w:t>
      </w:r>
      <w:r w:rsidRPr="005B3882">
        <w:rPr>
          <w:rFonts w:ascii="Book Antiqua" w:hAnsi="Book Antiqua" w:cs="Arial"/>
        </w:rPr>
        <w:t xml:space="preserve">), with forest area increasing.  However, the national figures mask wide variations in the situation in different parts of the country.  In the </w:t>
      </w:r>
      <w:smartTag w:uri="urn:schemas-microsoft-com:office:smarttags" w:element="place">
        <w:r w:rsidRPr="005B3882">
          <w:rPr>
            <w:rFonts w:ascii="Book Antiqua" w:hAnsi="Book Antiqua" w:cs="Arial"/>
          </w:rPr>
          <w:t>Central Highlands</w:t>
        </w:r>
      </w:smartTag>
      <w:r w:rsidRPr="005B3882">
        <w:rPr>
          <w:rFonts w:ascii="Book Antiqua" w:hAnsi="Book Antiqua" w:cs="Arial"/>
        </w:rPr>
        <w:t>, deforestation (and forest degradation) continues to be the dominant land-use change.  In other parts of the country, for example, the north-central region, deforestation also continues, but at a much lower rate – a stable forest area has virtually been reached.</w:t>
      </w:r>
      <w:bookmarkEnd w:id="49"/>
      <w:bookmarkEnd w:id="50"/>
      <w:bookmarkEnd w:id="51"/>
    </w:p>
    <w:p w:rsidR="00351F2C" w:rsidRPr="005B3882" w:rsidRDefault="00C47C3B" w:rsidP="00A256CB">
      <w:pPr>
        <w:spacing w:before="100" w:beforeAutospacing="1" w:after="100" w:afterAutospacing="1" w:line="240" w:lineRule="auto"/>
        <w:jc w:val="center"/>
        <w:rPr>
          <w:rFonts w:ascii="Book Antiqua" w:hAnsi="Book Antiqua" w:cs="Arial"/>
          <w:b/>
        </w:rPr>
      </w:pPr>
      <w:r w:rsidRPr="00C47C3B">
        <w:rPr>
          <w:rFonts w:ascii="Book Antiqua" w:hAnsi="Book Antiqua" w:cs="Arial"/>
          <w:noProof/>
        </w:rPr>
        <w:pict>
          <v:shape id="_x0000_s1051" type="#_x0000_t202" style="position:absolute;left:0;text-align:left;margin-left:50.25pt;margin-top:46.15pt;width:378pt;height:226.1pt;z-index:251603456">
            <v:textbox style="mso-next-textbox:#_x0000_s1051">
              <w:txbxContent>
                <w:p w:rsidR="00B4351F" w:rsidRDefault="00B4351F" w:rsidP="00A256CB">
                  <w:pPr>
                    <w:jc w:val="center"/>
                  </w:pPr>
                  <w:r>
                    <w:rPr>
                      <w:noProof/>
                      <w:lang w:val="en-US"/>
                    </w:rPr>
                    <w:drawing>
                      <wp:inline distT="0" distB="0" distL="0" distR="0">
                        <wp:extent cx="4572000" cy="2781300"/>
                        <wp:effectExtent l="19050" t="0" r="0" b="0"/>
                        <wp:docPr id="20" name="Picture 2" descr="Forest transition curve 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est transition curve Vietnam.jpg"/>
                                <pic:cNvPicPr>
                                  <a:picLocks noChangeAspect="1" noChangeArrowheads="1"/>
                                </pic:cNvPicPr>
                              </pic:nvPicPr>
                              <pic:blipFill>
                                <a:blip r:embed="rId19"/>
                                <a:srcRect/>
                                <a:stretch>
                                  <a:fillRect/>
                                </a:stretch>
                              </pic:blipFill>
                              <pic:spPr bwMode="auto">
                                <a:xfrm>
                                  <a:off x="0" y="0"/>
                                  <a:ext cx="4572000" cy="2781300"/>
                                </a:xfrm>
                                <a:prstGeom prst="rect">
                                  <a:avLst/>
                                </a:prstGeom>
                                <a:noFill/>
                                <a:ln w="9525">
                                  <a:noFill/>
                                  <a:miter lim="800000"/>
                                  <a:headEnd/>
                                  <a:tailEnd/>
                                </a:ln>
                              </pic:spPr>
                            </pic:pic>
                          </a:graphicData>
                        </a:graphic>
                      </wp:inline>
                    </w:drawing>
                  </w:r>
                </w:p>
              </w:txbxContent>
            </v:textbox>
          </v:shape>
        </w:pict>
      </w:r>
      <w:r w:rsidR="00351F2C" w:rsidRPr="005B3882">
        <w:rPr>
          <w:rFonts w:ascii="Book Antiqua" w:hAnsi="Book Antiqua" w:cs="Arial"/>
          <w:b/>
        </w:rPr>
        <w:t>Figure 1.</w:t>
      </w:r>
      <w:r w:rsidR="00AC12C1">
        <w:rPr>
          <w:rFonts w:ascii="Book Antiqua" w:hAnsi="Book Antiqua" w:cs="Arial"/>
          <w:b/>
        </w:rPr>
        <w:t>4</w:t>
      </w:r>
      <w:r w:rsidR="00351F2C" w:rsidRPr="005B3882">
        <w:rPr>
          <w:rFonts w:ascii="Book Antiqua" w:hAnsi="Book Antiqua" w:cs="Arial"/>
          <w:b/>
        </w:rPr>
        <w:t>: Forest transition curve (adapted from Angelsen, 2007), with Viet Nam information added</w:t>
      </w:r>
    </w:p>
    <w:p w:rsidR="00351F2C" w:rsidRPr="00445F77" w:rsidRDefault="00351F2C" w:rsidP="00A256CB">
      <w:pPr>
        <w:spacing w:before="100" w:beforeAutospacing="1" w:after="100" w:afterAutospacing="1" w:line="240" w:lineRule="auto"/>
        <w:jc w:val="center"/>
        <w:rPr>
          <w:rFonts w:ascii="Arial" w:hAnsi="Arial" w:cs="Arial"/>
          <w:b/>
          <w:sz w:val="24"/>
          <w:szCs w:val="24"/>
        </w:rPr>
      </w:pPr>
    </w:p>
    <w:p w:rsidR="00351F2C" w:rsidRPr="00445F77" w:rsidRDefault="00351F2C" w:rsidP="00A256CB">
      <w:pPr>
        <w:spacing w:before="100" w:beforeAutospacing="1" w:after="100" w:afterAutospacing="1" w:line="240" w:lineRule="auto"/>
        <w:jc w:val="center"/>
        <w:rPr>
          <w:rFonts w:ascii="Arial" w:hAnsi="Arial" w:cs="Arial"/>
          <w:b/>
          <w:sz w:val="24"/>
          <w:szCs w:val="24"/>
        </w:rPr>
      </w:pPr>
    </w:p>
    <w:p w:rsidR="00351F2C" w:rsidRPr="00445F77" w:rsidRDefault="00351F2C" w:rsidP="00A256CB">
      <w:pPr>
        <w:spacing w:before="100" w:beforeAutospacing="1" w:after="100" w:afterAutospacing="1" w:line="240" w:lineRule="auto"/>
        <w:jc w:val="center"/>
        <w:rPr>
          <w:rFonts w:ascii="Arial" w:hAnsi="Arial" w:cs="Arial"/>
          <w:b/>
          <w:sz w:val="24"/>
          <w:szCs w:val="24"/>
        </w:rPr>
      </w:pPr>
    </w:p>
    <w:p w:rsidR="00351F2C" w:rsidRPr="00445F77" w:rsidRDefault="00351F2C" w:rsidP="00A256CB">
      <w:pPr>
        <w:spacing w:before="100" w:beforeAutospacing="1" w:after="100" w:afterAutospacing="1" w:line="240" w:lineRule="auto"/>
        <w:jc w:val="center"/>
        <w:rPr>
          <w:rFonts w:ascii="Arial" w:hAnsi="Arial" w:cs="Arial"/>
          <w:b/>
          <w:sz w:val="24"/>
          <w:szCs w:val="24"/>
        </w:rPr>
      </w:pPr>
    </w:p>
    <w:p w:rsidR="00351F2C" w:rsidRPr="00445F77" w:rsidRDefault="00351F2C" w:rsidP="00A256CB">
      <w:pPr>
        <w:spacing w:before="100" w:beforeAutospacing="1" w:after="100" w:afterAutospacing="1" w:line="240" w:lineRule="auto"/>
        <w:jc w:val="center"/>
        <w:rPr>
          <w:rFonts w:ascii="Arial" w:hAnsi="Arial" w:cs="Arial"/>
          <w:b/>
          <w:sz w:val="24"/>
          <w:szCs w:val="24"/>
        </w:rPr>
      </w:pPr>
    </w:p>
    <w:p w:rsidR="00351F2C" w:rsidRPr="00445F77" w:rsidRDefault="00351F2C" w:rsidP="00A256CB">
      <w:pPr>
        <w:spacing w:before="100" w:beforeAutospacing="1" w:after="100" w:afterAutospacing="1" w:line="240" w:lineRule="auto"/>
        <w:jc w:val="center"/>
        <w:rPr>
          <w:rFonts w:ascii="Arial" w:hAnsi="Arial" w:cs="Arial"/>
          <w:b/>
          <w:sz w:val="24"/>
          <w:szCs w:val="24"/>
        </w:rPr>
      </w:pPr>
    </w:p>
    <w:p w:rsidR="00351F2C" w:rsidRPr="00445F77" w:rsidRDefault="00351F2C" w:rsidP="00A256CB">
      <w:pPr>
        <w:spacing w:before="100" w:beforeAutospacing="1" w:after="100" w:afterAutospacing="1" w:line="240" w:lineRule="auto"/>
        <w:jc w:val="center"/>
        <w:rPr>
          <w:rFonts w:ascii="Arial" w:hAnsi="Arial" w:cs="Arial"/>
          <w:b/>
          <w:sz w:val="24"/>
          <w:szCs w:val="24"/>
        </w:rPr>
      </w:pPr>
    </w:p>
    <w:p w:rsidR="00351F2C" w:rsidRPr="00445F77" w:rsidRDefault="00351F2C" w:rsidP="00A256CB">
      <w:pPr>
        <w:spacing w:before="100" w:beforeAutospacing="1" w:after="100" w:afterAutospacing="1" w:line="240" w:lineRule="auto"/>
        <w:jc w:val="center"/>
        <w:rPr>
          <w:rFonts w:ascii="Arial" w:hAnsi="Arial" w:cs="Arial"/>
          <w:b/>
          <w:sz w:val="24"/>
          <w:szCs w:val="24"/>
        </w:rPr>
      </w:pPr>
    </w:p>
    <w:p w:rsidR="00351F2C" w:rsidRPr="00445F77" w:rsidRDefault="00351F2C" w:rsidP="00A256CB">
      <w:pPr>
        <w:spacing w:before="100" w:beforeAutospacing="1" w:after="100" w:afterAutospacing="1" w:line="240" w:lineRule="auto"/>
        <w:jc w:val="center"/>
        <w:rPr>
          <w:rFonts w:ascii="Arial" w:hAnsi="Arial" w:cs="Arial"/>
          <w:b/>
          <w:sz w:val="24"/>
          <w:szCs w:val="24"/>
        </w:rPr>
      </w:pPr>
    </w:p>
    <w:p w:rsidR="00903E2A" w:rsidRPr="00445F77" w:rsidRDefault="00903E2A" w:rsidP="00903E2A">
      <w:pPr>
        <w:pStyle w:val="Heading2"/>
        <w:tabs>
          <w:tab w:val="left" w:pos="450"/>
        </w:tabs>
        <w:spacing w:before="0" w:after="0"/>
        <w:jc w:val="both"/>
        <w:rPr>
          <w:rFonts w:ascii="Arial" w:hAnsi="Arial" w:cs="Arial"/>
          <w:sz w:val="24"/>
          <w:szCs w:val="24"/>
          <w:lang w:val="en-US"/>
        </w:rPr>
      </w:pPr>
      <w:bookmarkStart w:id="52" w:name="_Toc252354725"/>
      <w:r w:rsidRPr="00445F77">
        <w:rPr>
          <w:rFonts w:ascii="Arial" w:hAnsi="Arial" w:cs="Arial"/>
          <w:sz w:val="24"/>
          <w:szCs w:val="24"/>
          <w:lang w:val="en-US"/>
        </w:rPr>
        <w:t xml:space="preserve">Agencies and institutions responsible for socio-economic development planning and forest management in </w:t>
      </w:r>
      <w:smartTag w:uri="urn:schemas-microsoft-com:office:smarttags" w:element="country-region">
        <w:smartTag w:uri="urn:schemas-microsoft-com:office:smarttags" w:element="place">
          <w:r w:rsidRPr="00445F77">
            <w:rPr>
              <w:rFonts w:ascii="Arial" w:hAnsi="Arial" w:cs="Arial"/>
              <w:sz w:val="24"/>
              <w:szCs w:val="24"/>
              <w:lang w:val="en-US"/>
            </w:rPr>
            <w:t>Viet Nam</w:t>
          </w:r>
        </w:smartTag>
      </w:smartTag>
      <w:bookmarkEnd w:id="52"/>
    </w:p>
    <w:p w:rsidR="00903E2A" w:rsidRPr="00445F77" w:rsidRDefault="00903E2A" w:rsidP="00903E2A">
      <w:pPr>
        <w:pStyle w:val="Heading3"/>
        <w:spacing w:before="0" w:after="0"/>
        <w:rPr>
          <w:rFonts w:ascii="Arial" w:hAnsi="Arial" w:cs="Arial"/>
          <w:lang w:val="en-US"/>
        </w:rPr>
      </w:pPr>
    </w:p>
    <w:p w:rsidR="00903E2A" w:rsidRPr="00445F77" w:rsidRDefault="00903E2A" w:rsidP="00903E2A">
      <w:pPr>
        <w:pStyle w:val="Heading3"/>
        <w:spacing w:before="0" w:after="0"/>
        <w:rPr>
          <w:rFonts w:ascii="Arial" w:hAnsi="Arial" w:cs="Arial"/>
          <w:lang w:val="en-US"/>
        </w:rPr>
      </w:pPr>
      <w:r w:rsidRPr="00445F77">
        <w:rPr>
          <w:rFonts w:ascii="Arial" w:hAnsi="Arial" w:cs="Arial"/>
          <w:lang w:val="en-US"/>
        </w:rPr>
        <w:t>The state management system in Viet Nam</w:t>
      </w:r>
    </w:p>
    <w:p w:rsidR="00903E2A" w:rsidRPr="000F0314" w:rsidRDefault="00903E2A" w:rsidP="00903E2A">
      <w:pPr>
        <w:spacing w:after="0" w:line="300" w:lineRule="exact"/>
        <w:jc w:val="both"/>
        <w:rPr>
          <w:rFonts w:ascii="Book Antiqua" w:hAnsi="Book Antiqua" w:cs="Arial"/>
          <w:lang w:val="en-US"/>
        </w:rPr>
      </w:pPr>
      <w:r w:rsidRPr="000F0314">
        <w:rPr>
          <w:rFonts w:ascii="Book Antiqua" w:hAnsi="Book Antiqua" w:cs="Arial"/>
          <w:lang w:val="en-US"/>
        </w:rPr>
        <w:t xml:space="preserve">The current state management system of </w:t>
      </w:r>
      <w:smartTag w:uri="urn:schemas-microsoft-com:office:smarttags" w:element="place">
        <w:smartTag w:uri="urn:schemas-microsoft-com:office:smarttags" w:element="country-region">
          <w:r w:rsidRPr="000F0314">
            <w:rPr>
              <w:rFonts w:ascii="Book Antiqua" w:hAnsi="Book Antiqua" w:cs="Arial"/>
              <w:lang w:val="en-US"/>
            </w:rPr>
            <w:t>Viet Nam</w:t>
          </w:r>
        </w:smartTag>
      </w:smartTag>
      <w:r w:rsidRPr="000F0314">
        <w:rPr>
          <w:rFonts w:ascii="Book Antiqua" w:hAnsi="Book Antiqua" w:cs="Arial"/>
          <w:lang w:val="en-US"/>
        </w:rPr>
        <w:t xml:space="preserve"> includes four levels, namely central, provincial, district and communal.  At the central level, the National Assembly is the highest organ of state power.  The Government is the executive body of the National Assembly.  Members of GoV include 22 ministries and ministry-equivalent organizations.</w:t>
      </w:r>
    </w:p>
    <w:p w:rsidR="00903E2A" w:rsidRPr="000F0314" w:rsidRDefault="00903E2A" w:rsidP="00903E2A">
      <w:pPr>
        <w:spacing w:after="0" w:line="300" w:lineRule="exact"/>
        <w:jc w:val="both"/>
        <w:rPr>
          <w:rFonts w:ascii="Book Antiqua" w:hAnsi="Book Antiqua" w:cs="Arial"/>
          <w:lang w:val="en-US"/>
        </w:rPr>
      </w:pPr>
    </w:p>
    <w:p w:rsidR="00903E2A" w:rsidRPr="000F0314" w:rsidRDefault="00903E2A" w:rsidP="00903E2A">
      <w:pPr>
        <w:spacing w:after="0" w:line="300" w:lineRule="exact"/>
        <w:jc w:val="both"/>
        <w:rPr>
          <w:rFonts w:ascii="Book Antiqua" w:hAnsi="Book Antiqua" w:cs="Arial"/>
          <w:lang w:val="en-US"/>
        </w:rPr>
      </w:pPr>
      <w:r w:rsidRPr="000F0314">
        <w:rPr>
          <w:rFonts w:ascii="Book Antiqua" w:hAnsi="Book Antiqua" w:cs="Arial"/>
          <w:lang w:val="en-US"/>
        </w:rPr>
        <w:t xml:space="preserve">At the provincial level, the Provincial People’s Council is a provincial state body elected by and representing the local people.  The PPC is elected by the People's Council as an executive organ of provincial state administration.  PPC is responsible to implement the constitution, laws and formal orders of state organs at the central level and the resolutions of provincial People’s Council within the province for the sake of socio-economic development measures and national defense and security.  To assist PPC to realize its </w:t>
      </w:r>
      <w:r w:rsidRPr="000F0314">
        <w:rPr>
          <w:rFonts w:ascii="Book Antiqua" w:hAnsi="Book Antiqua" w:cs="Arial"/>
          <w:lang w:val="en-US"/>
        </w:rPr>
        <w:lastRenderedPageBreak/>
        <w:t>tasks, there are professional agencies, which are line departments of central level ministries or ministry-equivalent organizations.</w:t>
      </w:r>
    </w:p>
    <w:p w:rsidR="00903E2A" w:rsidRPr="000F0314" w:rsidRDefault="00903E2A" w:rsidP="00903E2A">
      <w:pPr>
        <w:spacing w:after="0"/>
        <w:jc w:val="both"/>
        <w:rPr>
          <w:rFonts w:ascii="Book Antiqua" w:hAnsi="Book Antiqua" w:cs="Arial"/>
          <w:lang w:val="en-US"/>
        </w:rPr>
      </w:pPr>
    </w:p>
    <w:p w:rsidR="00903E2A" w:rsidRPr="000F0314" w:rsidRDefault="00903E2A" w:rsidP="00903E2A">
      <w:pPr>
        <w:spacing w:after="0" w:line="300" w:lineRule="exact"/>
        <w:jc w:val="both"/>
        <w:rPr>
          <w:rFonts w:ascii="Book Antiqua" w:hAnsi="Book Antiqua" w:cs="Arial"/>
          <w:lang w:val="en-US"/>
        </w:rPr>
      </w:pPr>
      <w:r w:rsidRPr="000F0314">
        <w:rPr>
          <w:rFonts w:ascii="Book Antiqua" w:hAnsi="Book Antiqua" w:cs="Arial"/>
          <w:lang w:val="en-US"/>
        </w:rPr>
        <w:t xml:space="preserve">At the district level, District People’s Council is the highest state body in the district.  It is represented by District People’s Committee (DPC), which has the task of law execution within the district.  DPC is assisted by professional agencies.  </w:t>
      </w:r>
    </w:p>
    <w:p w:rsidR="00903E2A" w:rsidRPr="000F0314" w:rsidRDefault="00903E2A" w:rsidP="00903E2A">
      <w:pPr>
        <w:spacing w:after="0" w:line="300" w:lineRule="exact"/>
        <w:jc w:val="both"/>
        <w:rPr>
          <w:rFonts w:ascii="Book Antiqua" w:hAnsi="Book Antiqua" w:cs="Arial"/>
          <w:lang w:val="en-US"/>
        </w:rPr>
      </w:pPr>
      <w:r w:rsidRPr="000F0314">
        <w:rPr>
          <w:rFonts w:ascii="Book Antiqua" w:hAnsi="Book Antiqua" w:cs="Arial"/>
          <w:lang w:val="en-US"/>
        </w:rPr>
        <w:t>At the communal level, Communal People’s Committee (CPC) is the elected body of Communal People’s Council.  CPC is in charge of executing constitution laws, formal orders and resolutions from the superior state body or communal People’s Council.</w:t>
      </w:r>
    </w:p>
    <w:p w:rsidR="00903E2A" w:rsidRPr="00445F77" w:rsidRDefault="00903E2A" w:rsidP="00903E2A">
      <w:pPr>
        <w:pStyle w:val="Heading3"/>
        <w:spacing w:before="0" w:after="0"/>
        <w:rPr>
          <w:rFonts w:ascii="Arial" w:hAnsi="Arial" w:cs="Arial"/>
          <w:lang w:val="en-US"/>
        </w:rPr>
      </w:pPr>
    </w:p>
    <w:p w:rsidR="00903E2A" w:rsidRPr="00445F77" w:rsidRDefault="00903E2A" w:rsidP="00903E2A">
      <w:pPr>
        <w:pStyle w:val="Heading3"/>
        <w:spacing w:before="0" w:after="0"/>
        <w:rPr>
          <w:rFonts w:ascii="Arial" w:hAnsi="Arial" w:cs="Arial"/>
          <w:lang w:val="en-US"/>
        </w:rPr>
      </w:pPr>
      <w:r w:rsidRPr="00445F77">
        <w:rPr>
          <w:rFonts w:ascii="Arial" w:hAnsi="Arial" w:cs="Arial"/>
          <w:lang w:val="en-US"/>
        </w:rPr>
        <w:t>Socio-economic development planning in Viet Nam</w:t>
      </w:r>
    </w:p>
    <w:p w:rsidR="00903E2A" w:rsidRPr="000F0314" w:rsidRDefault="00903E2A" w:rsidP="00903E2A">
      <w:pPr>
        <w:spacing w:after="0" w:line="300" w:lineRule="exact"/>
        <w:jc w:val="both"/>
        <w:rPr>
          <w:rFonts w:ascii="Book Antiqua" w:hAnsi="Book Antiqua" w:cs="Arial"/>
          <w:lang w:val="en-US"/>
        </w:rPr>
      </w:pPr>
      <w:r w:rsidRPr="000F0314">
        <w:rPr>
          <w:rFonts w:ascii="Book Antiqua" w:hAnsi="Book Antiqua" w:cs="Arial"/>
          <w:lang w:val="en-US"/>
        </w:rPr>
        <w:t xml:space="preserve">The socio-economic development plan (SEDP) is a combination of plans from all sectors, including forest management. In general, all state agencies and levels of administration are responsible for the SEDP and budget plan preparation.  </w:t>
      </w:r>
      <w:r>
        <w:rPr>
          <w:rFonts w:ascii="Book Antiqua" w:hAnsi="Book Antiqua" w:cs="Arial"/>
          <w:lang w:val="en-US"/>
        </w:rPr>
        <w:t xml:space="preserve">The </w:t>
      </w:r>
      <w:r w:rsidRPr="000F0314">
        <w:rPr>
          <w:rFonts w:ascii="Book Antiqua" w:hAnsi="Book Antiqua" w:cs="Arial"/>
          <w:lang w:val="en-US"/>
        </w:rPr>
        <w:t>MPI and MoF and their line agencies at the local level take the lead in the process, including preparation of guidelines for plan preparation, providing needed support for the preparation of plans, synthesizing the plans and coordinating with concerned agencies in plan allocation.</w:t>
      </w:r>
    </w:p>
    <w:p w:rsidR="00903E2A" w:rsidRPr="000F0314" w:rsidRDefault="00903E2A" w:rsidP="00903E2A">
      <w:pPr>
        <w:spacing w:after="0" w:line="300" w:lineRule="exact"/>
        <w:jc w:val="both"/>
        <w:rPr>
          <w:rFonts w:ascii="Book Antiqua" w:hAnsi="Book Antiqua" w:cs="Arial"/>
          <w:lang w:val="en-US"/>
        </w:rPr>
      </w:pPr>
    </w:p>
    <w:p w:rsidR="00903E2A" w:rsidRPr="000F0314" w:rsidRDefault="00903E2A" w:rsidP="00903E2A">
      <w:pPr>
        <w:spacing w:after="0" w:line="300" w:lineRule="exact"/>
        <w:jc w:val="both"/>
        <w:rPr>
          <w:rFonts w:ascii="Book Antiqua" w:hAnsi="Book Antiqua" w:cs="Arial"/>
          <w:lang w:val="en-US"/>
        </w:rPr>
      </w:pPr>
      <w:r w:rsidRPr="000F0314">
        <w:rPr>
          <w:rFonts w:ascii="Book Antiqua" w:hAnsi="Book Antiqua" w:cs="Arial"/>
          <w:lang w:val="en-US"/>
        </w:rPr>
        <w:t>There are several bases for the preparation of the SEDP: (1) the national Strategy for Socio-Economic Development (the current strategy covers the 10 years 2001-2010), (2) socio-economic development master plans, (3) five year socio-economic development plans, and (4) a review of the current socio-economic situation.  Preparation of annual the SEDP takes around seven months, from June to December, with the following major benchmarks:</w:t>
      </w:r>
    </w:p>
    <w:p w:rsidR="00903E2A" w:rsidRPr="000F0314" w:rsidRDefault="00903E2A" w:rsidP="00903E2A">
      <w:pPr>
        <w:spacing w:after="0" w:line="300" w:lineRule="exact"/>
        <w:jc w:val="both"/>
        <w:rPr>
          <w:rFonts w:ascii="Book Antiqua" w:hAnsi="Book Antiqua" w:cs="Arial"/>
          <w:lang w:val="en-US"/>
        </w:rPr>
      </w:pPr>
    </w:p>
    <w:p w:rsidR="00903E2A" w:rsidRPr="000F0314" w:rsidRDefault="00903E2A" w:rsidP="00903E2A">
      <w:pPr>
        <w:numPr>
          <w:ilvl w:val="0"/>
          <w:numId w:val="33"/>
        </w:numPr>
        <w:tabs>
          <w:tab w:val="clear" w:pos="720"/>
          <w:tab w:val="num" w:pos="360"/>
        </w:tabs>
        <w:spacing w:after="0" w:line="300" w:lineRule="exact"/>
        <w:ind w:left="360"/>
        <w:jc w:val="both"/>
        <w:rPr>
          <w:rFonts w:ascii="Book Antiqua" w:hAnsi="Book Antiqua" w:cs="Arial"/>
          <w:lang w:val="en-US"/>
        </w:rPr>
      </w:pPr>
      <w:r w:rsidRPr="000F0314">
        <w:rPr>
          <w:rFonts w:ascii="Book Antiqua" w:hAnsi="Book Antiqua" w:cs="Arial"/>
          <w:i/>
          <w:lang w:val="en-US"/>
        </w:rPr>
        <w:t>June</w:t>
      </w:r>
      <w:r w:rsidRPr="000F0314">
        <w:rPr>
          <w:rFonts w:ascii="Book Antiqua" w:hAnsi="Book Antiqua" w:cs="Arial"/>
          <w:lang w:val="en-US"/>
        </w:rPr>
        <w:t xml:space="preserve">: GoV Directive is issued outlining the socio-economic objectives and tasks for the coming year and assigning the responsibilities to different agencies.  MPI and MoF prepare a guiding framework for all ministries, sectors, agencies and levels of state administration to prepare their SEDP and budget plan.  </w:t>
      </w:r>
    </w:p>
    <w:p w:rsidR="00903E2A" w:rsidRPr="000F0314" w:rsidRDefault="00903E2A" w:rsidP="00903E2A">
      <w:pPr>
        <w:numPr>
          <w:ilvl w:val="0"/>
          <w:numId w:val="33"/>
        </w:numPr>
        <w:tabs>
          <w:tab w:val="clear" w:pos="720"/>
          <w:tab w:val="num" w:pos="360"/>
        </w:tabs>
        <w:spacing w:after="0" w:line="300" w:lineRule="exact"/>
        <w:ind w:left="360"/>
        <w:jc w:val="both"/>
        <w:rPr>
          <w:rFonts w:ascii="Book Antiqua" w:hAnsi="Book Antiqua" w:cs="Arial"/>
          <w:lang w:val="en-US"/>
        </w:rPr>
      </w:pPr>
      <w:r w:rsidRPr="000F0314">
        <w:rPr>
          <w:rFonts w:ascii="Book Antiqua" w:hAnsi="Book Antiqua" w:cs="Arial"/>
          <w:i/>
          <w:lang w:val="en-US"/>
        </w:rPr>
        <w:t>June and July</w:t>
      </w:r>
      <w:r w:rsidRPr="000F0314">
        <w:rPr>
          <w:rFonts w:ascii="Book Antiqua" w:hAnsi="Book Antiqua" w:cs="Arial"/>
          <w:lang w:val="en-US"/>
        </w:rPr>
        <w:t xml:space="preserve">: Socio-economic and budget planning by all ministries, sectors, agencies and levels of state administration.  All communes and socio-economic sectors at the district level prepare their own SEDPs, and the budget required to implement these plans.  The workplans of the national target </w:t>
      </w:r>
      <w:r>
        <w:rPr>
          <w:rFonts w:ascii="Book Antiqua" w:hAnsi="Book Antiqua" w:cs="Arial"/>
          <w:lang w:val="en-US"/>
        </w:rPr>
        <w:t>programme</w:t>
      </w:r>
      <w:r w:rsidRPr="000F0314">
        <w:rPr>
          <w:rFonts w:ascii="Book Antiqua" w:hAnsi="Book Antiqua" w:cs="Arial"/>
          <w:lang w:val="en-US"/>
        </w:rPr>
        <w:t>s (see the discussion later) are also integrated in the SEDP of the concerned agencies/ level of administration.  All communal and sectoral plans at the district level are synthesized by the line agencies of MPI and MoF in the district.  District SEDPs and budget plans are compiled by line agencies of MPI and MoF at the provincial level.</w:t>
      </w:r>
    </w:p>
    <w:p w:rsidR="00903E2A" w:rsidRPr="000F0314" w:rsidRDefault="00903E2A" w:rsidP="00903E2A">
      <w:pPr>
        <w:numPr>
          <w:ilvl w:val="0"/>
          <w:numId w:val="33"/>
        </w:numPr>
        <w:tabs>
          <w:tab w:val="clear" w:pos="720"/>
          <w:tab w:val="num" w:pos="360"/>
        </w:tabs>
        <w:spacing w:after="0" w:line="300" w:lineRule="exact"/>
        <w:ind w:left="360"/>
        <w:jc w:val="both"/>
        <w:rPr>
          <w:rFonts w:ascii="Book Antiqua" w:hAnsi="Book Antiqua" w:cs="Arial"/>
          <w:lang w:val="en-US"/>
        </w:rPr>
      </w:pPr>
      <w:r w:rsidRPr="000F0314">
        <w:rPr>
          <w:rFonts w:ascii="Book Antiqua" w:hAnsi="Book Antiqua" w:cs="Arial"/>
          <w:i/>
          <w:lang w:val="en-US"/>
        </w:rPr>
        <w:t>August</w:t>
      </w:r>
      <w:r w:rsidRPr="000F0314">
        <w:rPr>
          <w:rFonts w:ascii="Book Antiqua" w:hAnsi="Book Antiqua" w:cs="Arial"/>
          <w:lang w:val="en-US"/>
        </w:rPr>
        <w:t xml:space="preserve">: MPI and MoF synthesize all the provincial SEDPs and budget plans and prepare the proposal for budget allocation.  </w:t>
      </w:r>
    </w:p>
    <w:p w:rsidR="00903E2A" w:rsidRPr="000F0314" w:rsidRDefault="00903E2A" w:rsidP="00903E2A">
      <w:pPr>
        <w:numPr>
          <w:ilvl w:val="0"/>
          <w:numId w:val="33"/>
        </w:numPr>
        <w:tabs>
          <w:tab w:val="clear" w:pos="720"/>
          <w:tab w:val="num" w:pos="360"/>
        </w:tabs>
        <w:spacing w:after="0" w:line="300" w:lineRule="exact"/>
        <w:ind w:left="360"/>
        <w:jc w:val="both"/>
        <w:rPr>
          <w:rFonts w:ascii="Book Antiqua" w:hAnsi="Book Antiqua" w:cs="Arial"/>
          <w:lang w:val="en-US"/>
        </w:rPr>
      </w:pPr>
      <w:r w:rsidRPr="000F0314">
        <w:rPr>
          <w:rFonts w:ascii="Book Antiqua" w:hAnsi="Book Antiqua" w:cs="Arial"/>
          <w:i/>
          <w:lang w:val="en-US"/>
        </w:rPr>
        <w:t>September</w:t>
      </w:r>
      <w:r w:rsidRPr="000F0314">
        <w:rPr>
          <w:rFonts w:ascii="Book Antiqua" w:hAnsi="Book Antiqua" w:cs="Arial"/>
          <w:lang w:val="en-US"/>
        </w:rPr>
        <w:t xml:space="preserve">: MPI and MoF send the SEDP and proposed budget plan to the GoV for review and submission to the National Assembly (NA) for approval.  </w:t>
      </w:r>
    </w:p>
    <w:p w:rsidR="00903E2A" w:rsidRPr="000F0314" w:rsidRDefault="00903E2A" w:rsidP="00903E2A">
      <w:pPr>
        <w:numPr>
          <w:ilvl w:val="0"/>
          <w:numId w:val="33"/>
        </w:numPr>
        <w:tabs>
          <w:tab w:val="clear" w:pos="720"/>
          <w:tab w:val="num" w:pos="360"/>
        </w:tabs>
        <w:spacing w:after="0" w:line="300" w:lineRule="exact"/>
        <w:ind w:left="360"/>
        <w:jc w:val="both"/>
        <w:rPr>
          <w:rFonts w:ascii="Book Antiqua" w:hAnsi="Book Antiqua" w:cs="Arial"/>
          <w:lang w:val="en-US"/>
        </w:rPr>
      </w:pPr>
      <w:r w:rsidRPr="000F0314">
        <w:rPr>
          <w:rFonts w:ascii="Book Antiqua" w:hAnsi="Book Antiqua" w:cs="Arial"/>
          <w:i/>
          <w:lang w:val="en-US"/>
        </w:rPr>
        <w:t>October and November</w:t>
      </w:r>
      <w:r w:rsidRPr="000F0314">
        <w:rPr>
          <w:rFonts w:ascii="Book Antiqua" w:hAnsi="Book Antiqua" w:cs="Arial"/>
          <w:lang w:val="en-US"/>
        </w:rPr>
        <w:t xml:space="preserve">: The NA meets and the SEDP and budget plan are approved by the NA.  </w:t>
      </w:r>
    </w:p>
    <w:p w:rsidR="00903E2A" w:rsidRPr="000F0314" w:rsidRDefault="00903E2A" w:rsidP="00903E2A">
      <w:pPr>
        <w:numPr>
          <w:ilvl w:val="0"/>
          <w:numId w:val="33"/>
        </w:numPr>
        <w:tabs>
          <w:tab w:val="clear" w:pos="720"/>
          <w:tab w:val="num" w:pos="360"/>
        </w:tabs>
        <w:spacing w:after="0" w:line="300" w:lineRule="exact"/>
        <w:ind w:left="360"/>
        <w:jc w:val="both"/>
        <w:rPr>
          <w:rFonts w:ascii="Book Antiqua" w:hAnsi="Book Antiqua" w:cs="Arial"/>
          <w:lang w:val="en-US"/>
        </w:rPr>
      </w:pPr>
      <w:r w:rsidRPr="000F0314">
        <w:rPr>
          <w:rFonts w:ascii="Book Antiqua" w:hAnsi="Book Antiqua" w:cs="Arial"/>
          <w:i/>
          <w:lang w:val="en-US"/>
        </w:rPr>
        <w:t>November</w:t>
      </w:r>
      <w:r w:rsidRPr="000F0314">
        <w:rPr>
          <w:rFonts w:ascii="Book Antiqua" w:hAnsi="Book Antiqua" w:cs="Arial"/>
          <w:lang w:val="en-US"/>
        </w:rPr>
        <w:t xml:space="preserve">: GoV allocates the SEDP and budget plan to different sectors, ministries, provinces and concerned agencies based on the NA’s determination.  MPI and MoF then provide guidance on the SEDP and budget plan.  </w:t>
      </w:r>
    </w:p>
    <w:p w:rsidR="00903E2A" w:rsidRPr="000F0314" w:rsidRDefault="00903E2A" w:rsidP="00903E2A">
      <w:pPr>
        <w:numPr>
          <w:ilvl w:val="0"/>
          <w:numId w:val="33"/>
        </w:numPr>
        <w:tabs>
          <w:tab w:val="clear" w:pos="720"/>
          <w:tab w:val="num" w:pos="360"/>
        </w:tabs>
        <w:spacing w:after="0" w:line="300" w:lineRule="exact"/>
        <w:ind w:left="360"/>
        <w:jc w:val="both"/>
        <w:rPr>
          <w:rFonts w:ascii="Book Antiqua" w:hAnsi="Book Antiqua" w:cs="Arial"/>
          <w:lang w:val="en-US"/>
        </w:rPr>
      </w:pPr>
      <w:r w:rsidRPr="000F0314">
        <w:rPr>
          <w:rFonts w:ascii="Book Antiqua" w:hAnsi="Book Antiqua" w:cs="Arial"/>
          <w:i/>
          <w:lang w:val="en-US"/>
        </w:rPr>
        <w:lastRenderedPageBreak/>
        <w:t>December</w:t>
      </w:r>
      <w:r w:rsidRPr="000F0314">
        <w:rPr>
          <w:rFonts w:ascii="Book Antiqua" w:hAnsi="Book Antiqua" w:cs="Arial"/>
          <w:lang w:val="en-US"/>
        </w:rPr>
        <w:t>: The SEDP and budget plan are allocated to lower levels of administration on the basis of the SEDP and budget plan assigned by the GoV and the guidance by MPI and MoF.  By 31 December, the SEDP and budget plan for the next year are allocated and clear to all agencies and levels of state management.</w:t>
      </w:r>
    </w:p>
    <w:p w:rsidR="00903E2A" w:rsidRPr="000F0314" w:rsidRDefault="00903E2A" w:rsidP="00903E2A">
      <w:pPr>
        <w:pStyle w:val="StyleHeading3NotLatinItalic"/>
        <w:spacing w:before="0" w:after="0" w:line="300" w:lineRule="exact"/>
        <w:rPr>
          <w:rFonts w:ascii="Book Antiqua" w:hAnsi="Book Antiqua" w:cs="Arial"/>
          <w:sz w:val="22"/>
          <w:szCs w:val="22"/>
          <w:lang w:val="en-US"/>
        </w:rPr>
      </w:pPr>
    </w:p>
    <w:p w:rsidR="00903E2A" w:rsidRPr="008F6D17" w:rsidRDefault="00903E2A" w:rsidP="00903E2A">
      <w:pPr>
        <w:pStyle w:val="StyleHeading3NotLatinItalic"/>
        <w:spacing w:before="0" w:after="0" w:line="300" w:lineRule="exact"/>
        <w:rPr>
          <w:rFonts w:ascii="Arial" w:hAnsi="Arial" w:cs="Arial"/>
          <w:b w:val="0"/>
          <w:color w:val="1F497D"/>
          <w:szCs w:val="24"/>
          <w:lang w:val="en-US"/>
        </w:rPr>
      </w:pPr>
      <w:r w:rsidRPr="008F6D17">
        <w:rPr>
          <w:rFonts w:ascii="Arial" w:hAnsi="Arial" w:cs="Arial"/>
          <w:b w:val="0"/>
          <w:color w:val="1F497D"/>
          <w:szCs w:val="24"/>
          <w:lang w:val="en-US"/>
        </w:rPr>
        <w:t>Forest management institutions in Viet Nam</w:t>
      </w:r>
    </w:p>
    <w:p w:rsidR="00903E2A" w:rsidRPr="000F0314" w:rsidRDefault="00903E2A" w:rsidP="00903E2A">
      <w:pPr>
        <w:spacing w:after="0" w:line="300" w:lineRule="exact"/>
        <w:jc w:val="both"/>
        <w:rPr>
          <w:rFonts w:ascii="Book Antiqua" w:hAnsi="Book Antiqua" w:cs="Arial"/>
          <w:lang w:val="en-US"/>
        </w:rPr>
      </w:pPr>
      <w:r w:rsidRPr="000F0314">
        <w:rPr>
          <w:rFonts w:ascii="Book Antiqua" w:hAnsi="Book Antiqua" w:cs="Arial"/>
          <w:lang w:val="en-US"/>
        </w:rPr>
        <w:t xml:space="preserve">The structure of state forest management in </w:t>
      </w:r>
      <w:smartTag w:uri="urn:schemas-microsoft-com:office:smarttags" w:element="place">
        <w:smartTag w:uri="urn:schemas-microsoft-com:office:smarttags" w:element="country-region">
          <w:r w:rsidRPr="000F0314">
            <w:rPr>
              <w:rFonts w:ascii="Book Antiqua" w:hAnsi="Book Antiqua" w:cs="Arial"/>
              <w:lang w:val="en-US"/>
            </w:rPr>
            <w:t>Viet Nam</w:t>
          </w:r>
        </w:smartTag>
      </w:smartTag>
      <w:r w:rsidRPr="000F0314">
        <w:rPr>
          <w:rFonts w:ascii="Book Antiqua" w:hAnsi="Book Antiqua" w:cs="Arial"/>
          <w:lang w:val="en-US"/>
        </w:rPr>
        <w:t xml:space="preserve"> is set up from central (national) to communal levels with functional agencies and administrative bodies of the state (see </w:t>
      </w:r>
      <w:r w:rsidR="00C47C3B">
        <w:fldChar w:fldCharType="begin"/>
      </w:r>
      <w:r w:rsidR="00C47C3B">
        <w:instrText xml:space="preserve"> REF _Ref246275939 \h  \* MERGEFORMAT </w:instrText>
      </w:r>
      <w:r w:rsidR="00C47C3B">
        <w:fldChar w:fldCharType="separate"/>
      </w:r>
      <w:r w:rsidR="00B4351F">
        <w:rPr>
          <w:b/>
          <w:bCs/>
          <w:lang w:val="en-US"/>
        </w:rPr>
        <w:t>Error! Reference source not found.</w:t>
      </w:r>
      <w:r w:rsidR="00C47C3B">
        <w:fldChar w:fldCharType="end"/>
      </w:r>
      <w:r w:rsidRPr="000F0314">
        <w:rPr>
          <w:rFonts w:ascii="Book Antiqua" w:hAnsi="Book Antiqua" w:cs="Arial"/>
          <w:lang w:val="en-US"/>
        </w:rPr>
        <w:t>).  At the national level, MARD, a</w:t>
      </w:r>
      <w:r>
        <w:rPr>
          <w:rFonts w:ascii="Book Antiqua" w:hAnsi="Book Antiqua" w:cs="Arial"/>
          <w:lang w:val="en-US"/>
        </w:rPr>
        <w:t>s part of</w:t>
      </w:r>
      <w:r w:rsidRPr="000F0314">
        <w:rPr>
          <w:rFonts w:ascii="Book Antiqua" w:hAnsi="Book Antiqua" w:cs="Arial"/>
          <w:lang w:val="en-US"/>
        </w:rPr>
        <w:t xml:space="preserve"> the GoV, is responsible </w:t>
      </w:r>
      <w:r>
        <w:rPr>
          <w:rFonts w:ascii="Book Antiqua" w:hAnsi="Book Antiqua" w:cs="Arial"/>
          <w:lang w:val="en-US"/>
        </w:rPr>
        <w:t>for</w:t>
      </w:r>
      <w:r w:rsidRPr="000F0314">
        <w:rPr>
          <w:rFonts w:ascii="Book Antiqua" w:hAnsi="Book Antiqua" w:cs="Arial"/>
          <w:lang w:val="en-US"/>
        </w:rPr>
        <w:t xml:space="preserve"> management of forest resources</w:t>
      </w:r>
      <w:r w:rsidRPr="000F0314">
        <w:rPr>
          <w:rStyle w:val="FootnoteReference"/>
          <w:rFonts w:ascii="Book Antiqua" w:hAnsi="Book Antiqua" w:cs="Arial"/>
          <w:lang w:val="en-US"/>
        </w:rPr>
        <w:footnoteReference w:id="3"/>
      </w:r>
      <w:r w:rsidRPr="000F0314">
        <w:rPr>
          <w:rFonts w:ascii="Book Antiqua" w:hAnsi="Book Antiqua" w:cs="Arial"/>
          <w:lang w:val="en-US"/>
        </w:rPr>
        <w:t>. Within MARD, two departments are in charge of forestry issues; Department of Forestry (DoF) and Forest Protection Department (FPD)</w:t>
      </w:r>
      <w:r w:rsidRPr="000F0314">
        <w:rPr>
          <w:rStyle w:val="FootnoteReference"/>
          <w:rFonts w:ascii="Book Antiqua" w:hAnsi="Book Antiqua" w:cs="Arial"/>
          <w:lang w:val="en-US"/>
        </w:rPr>
        <w:footnoteReference w:id="4"/>
      </w:r>
      <w:r w:rsidRPr="000F0314">
        <w:rPr>
          <w:rFonts w:ascii="Book Antiqua" w:hAnsi="Book Antiqua" w:cs="Arial"/>
          <w:lang w:val="en-US"/>
        </w:rPr>
        <w:t xml:space="preserve">:  </w:t>
      </w:r>
    </w:p>
    <w:p w:rsidR="00903E2A" w:rsidRPr="000F0314" w:rsidRDefault="00903E2A" w:rsidP="00903E2A">
      <w:pPr>
        <w:spacing w:after="0" w:line="300" w:lineRule="exact"/>
        <w:jc w:val="both"/>
        <w:rPr>
          <w:rFonts w:ascii="Book Antiqua" w:hAnsi="Book Antiqua" w:cs="Arial"/>
          <w:lang w:val="en-US"/>
        </w:rPr>
      </w:pPr>
    </w:p>
    <w:p w:rsidR="00903E2A" w:rsidRPr="000F0314" w:rsidRDefault="00903E2A" w:rsidP="00903E2A">
      <w:pPr>
        <w:numPr>
          <w:ilvl w:val="0"/>
          <w:numId w:val="34"/>
        </w:numPr>
        <w:tabs>
          <w:tab w:val="clear" w:pos="720"/>
          <w:tab w:val="num" w:pos="360"/>
        </w:tabs>
        <w:spacing w:after="0" w:line="300" w:lineRule="exact"/>
        <w:ind w:left="360"/>
        <w:jc w:val="both"/>
        <w:rPr>
          <w:rFonts w:ascii="Book Antiqua" w:hAnsi="Book Antiqua" w:cs="Arial"/>
          <w:lang w:val="en-US"/>
        </w:rPr>
      </w:pPr>
      <w:r w:rsidRPr="000F0314">
        <w:rPr>
          <w:rFonts w:ascii="Book Antiqua" w:hAnsi="Book Antiqua" w:cs="Arial"/>
          <w:lang w:val="en-US"/>
        </w:rPr>
        <w:t xml:space="preserve">DoF is responsible for forest management, utilization and development.  Within DoF, there are three technical divisions responsible for forest management, forest development, and forest utilization.  DoF is based in </w:t>
      </w:r>
      <w:smartTag w:uri="urn:schemas-microsoft-com:office:smarttags" w:element="City">
        <w:r w:rsidRPr="000F0314">
          <w:rPr>
            <w:rFonts w:ascii="Book Antiqua" w:hAnsi="Book Antiqua" w:cs="Arial"/>
            <w:lang w:val="en-US"/>
          </w:rPr>
          <w:t>Hanoi</w:t>
        </w:r>
      </w:smartTag>
      <w:r w:rsidRPr="000F0314">
        <w:rPr>
          <w:rFonts w:ascii="Book Antiqua" w:hAnsi="Book Antiqua" w:cs="Arial"/>
          <w:lang w:val="en-US"/>
        </w:rPr>
        <w:t xml:space="preserve"> and has one representative office in </w:t>
      </w:r>
      <w:smartTag w:uri="urn:schemas-microsoft-com:office:smarttags" w:element="City">
        <w:smartTag w:uri="urn:schemas-microsoft-com:office:smarttags" w:element="place">
          <w:r w:rsidRPr="000F0314">
            <w:rPr>
              <w:rFonts w:ascii="Book Antiqua" w:hAnsi="Book Antiqua" w:cs="Arial"/>
              <w:lang w:val="en-US"/>
            </w:rPr>
            <w:t>Ho Chi Minh City</w:t>
          </w:r>
        </w:smartTag>
      </w:smartTag>
      <w:r w:rsidRPr="000F0314">
        <w:rPr>
          <w:rStyle w:val="FootnoteReference"/>
          <w:rFonts w:ascii="Book Antiqua" w:hAnsi="Book Antiqua" w:cs="Arial"/>
          <w:lang w:val="en-US"/>
        </w:rPr>
        <w:footnoteReference w:id="5"/>
      </w:r>
      <w:r w:rsidRPr="000F0314">
        <w:rPr>
          <w:rFonts w:ascii="Book Antiqua" w:hAnsi="Book Antiqua" w:cs="Arial"/>
          <w:lang w:val="en-US"/>
        </w:rPr>
        <w:t>.</w:t>
      </w:r>
    </w:p>
    <w:p w:rsidR="00903E2A" w:rsidRPr="000F0314" w:rsidRDefault="00903E2A" w:rsidP="00903E2A">
      <w:pPr>
        <w:numPr>
          <w:ilvl w:val="0"/>
          <w:numId w:val="34"/>
        </w:numPr>
        <w:tabs>
          <w:tab w:val="clear" w:pos="720"/>
          <w:tab w:val="num" w:pos="360"/>
        </w:tabs>
        <w:spacing w:after="0" w:line="300" w:lineRule="exact"/>
        <w:ind w:left="360"/>
        <w:jc w:val="both"/>
        <w:rPr>
          <w:rFonts w:ascii="Book Antiqua" w:hAnsi="Book Antiqua" w:cs="Arial"/>
          <w:lang w:val="en-US"/>
        </w:rPr>
      </w:pPr>
      <w:r w:rsidRPr="000F0314">
        <w:rPr>
          <w:rFonts w:ascii="Book Antiqua" w:hAnsi="Book Antiqua" w:cs="Arial"/>
          <w:lang w:val="en-US"/>
        </w:rPr>
        <w:t xml:space="preserve">FPD is in charge of forest protection and forest law enforcement.  Technical divisions within FPD include division of forest protection, division of nature conservation, division of legal inspection, and a special task force.  FPD headquarters in </w:t>
      </w:r>
      <w:smartTag w:uri="urn:schemas-microsoft-com:office:smarttags" w:element="City">
        <w:smartTag w:uri="urn:schemas-microsoft-com:office:smarttags" w:element="place">
          <w:r w:rsidRPr="000F0314">
            <w:rPr>
              <w:rFonts w:ascii="Book Antiqua" w:hAnsi="Book Antiqua" w:cs="Arial"/>
              <w:lang w:val="en-US"/>
            </w:rPr>
            <w:t>Hanoi</w:t>
          </w:r>
        </w:smartTag>
      </w:smartTag>
      <w:r w:rsidRPr="000F0314">
        <w:rPr>
          <w:rFonts w:ascii="Book Antiqua" w:hAnsi="Book Antiqua" w:cs="Arial"/>
          <w:lang w:val="en-US"/>
        </w:rPr>
        <w:t xml:space="preserve"> and has three regional offices</w:t>
      </w:r>
      <w:r w:rsidRPr="000F0314">
        <w:rPr>
          <w:rStyle w:val="FootnoteReference"/>
          <w:rFonts w:ascii="Book Antiqua" w:hAnsi="Book Antiqua" w:cs="Arial"/>
          <w:lang w:val="en-US"/>
        </w:rPr>
        <w:footnoteReference w:id="6"/>
      </w:r>
      <w:r w:rsidRPr="000F0314">
        <w:rPr>
          <w:rFonts w:ascii="Book Antiqua" w:hAnsi="Book Antiqua" w:cs="Arial"/>
          <w:lang w:val="en-US"/>
        </w:rPr>
        <w:t>.</w:t>
      </w:r>
    </w:p>
    <w:p w:rsidR="00903E2A" w:rsidRDefault="00903E2A" w:rsidP="00903E2A">
      <w:pPr>
        <w:spacing w:after="0" w:line="300" w:lineRule="exact"/>
        <w:jc w:val="both"/>
        <w:rPr>
          <w:rFonts w:ascii="Book Antiqua" w:hAnsi="Book Antiqua" w:cs="Arial"/>
        </w:rPr>
      </w:pPr>
    </w:p>
    <w:p w:rsidR="00903E2A" w:rsidRPr="007C38DB" w:rsidRDefault="00903E2A" w:rsidP="00903E2A">
      <w:pPr>
        <w:spacing w:after="0" w:line="300" w:lineRule="exact"/>
        <w:jc w:val="both"/>
        <w:rPr>
          <w:rFonts w:ascii="Book Antiqua" w:hAnsi="Book Antiqua" w:cs="Arial"/>
        </w:rPr>
      </w:pPr>
      <w:r w:rsidRPr="007C38DB">
        <w:rPr>
          <w:rFonts w:ascii="Book Antiqua" w:hAnsi="Book Antiqua" w:cs="Arial"/>
        </w:rPr>
        <w:t>At the provincial level, the DARD – the line agency of MARD and a member of PPC – is in charge of forestry issues in the province.  The sub-department of forestry and sub-department of forest protection – the line agencies of DoF and FPD – are under DARD.</w:t>
      </w:r>
    </w:p>
    <w:p w:rsidR="00903E2A" w:rsidRPr="007C38DB" w:rsidRDefault="00903E2A" w:rsidP="00903E2A">
      <w:pPr>
        <w:spacing w:after="0" w:line="300" w:lineRule="exact"/>
        <w:jc w:val="both"/>
        <w:rPr>
          <w:rFonts w:ascii="Book Antiqua" w:hAnsi="Book Antiqua" w:cs="Arial"/>
        </w:rPr>
      </w:pPr>
    </w:p>
    <w:p w:rsidR="00903E2A" w:rsidRPr="007C38DB" w:rsidRDefault="00903E2A" w:rsidP="00903E2A">
      <w:pPr>
        <w:spacing w:after="0" w:line="300" w:lineRule="exact"/>
        <w:jc w:val="both"/>
        <w:rPr>
          <w:rFonts w:ascii="Book Antiqua" w:hAnsi="Book Antiqua" w:cs="Arial"/>
        </w:rPr>
      </w:pPr>
      <w:r w:rsidRPr="007C38DB">
        <w:rPr>
          <w:rFonts w:ascii="Book Antiqua" w:hAnsi="Book Antiqua" w:cs="Arial"/>
        </w:rPr>
        <w:t>At the district level, the economic division (or the agricultural division in some cases) is responsible for forest management, utilization and development.  The district FPU is independent of the economic division and reports directly to sub-FPD at the provincial level.</w:t>
      </w:r>
    </w:p>
    <w:p w:rsidR="00903E2A" w:rsidRPr="007C38DB" w:rsidRDefault="00903E2A" w:rsidP="00903E2A">
      <w:pPr>
        <w:spacing w:after="0" w:line="300" w:lineRule="exact"/>
        <w:jc w:val="both"/>
        <w:rPr>
          <w:rFonts w:ascii="Book Antiqua" w:hAnsi="Book Antiqua" w:cs="Arial"/>
        </w:rPr>
      </w:pPr>
    </w:p>
    <w:p w:rsidR="00903E2A" w:rsidRPr="000F0314" w:rsidRDefault="00903E2A" w:rsidP="00903E2A">
      <w:pPr>
        <w:spacing w:after="0" w:line="300" w:lineRule="exact"/>
        <w:jc w:val="both"/>
        <w:rPr>
          <w:rFonts w:ascii="Book Antiqua" w:hAnsi="Book Antiqua" w:cs="Arial"/>
        </w:rPr>
      </w:pPr>
      <w:r w:rsidRPr="007C38DB">
        <w:rPr>
          <w:rFonts w:ascii="Book Antiqua" w:hAnsi="Book Antiqua" w:cs="Arial"/>
        </w:rPr>
        <w:t>At the commune level, there is one agriculture and forestry official based in CPC.  This person is supported by field level forest protection agent from the district FPU.</w:t>
      </w:r>
      <w:r>
        <w:rPr>
          <w:rFonts w:ascii="Book Antiqua" w:hAnsi="Book Antiqua" w:cs="Arial"/>
        </w:rPr>
        <w:t xml:space="preserve">  </w:t>
      </w:r>
      <w:r w:rsidRPr="000F0314">
        <w:rPr>
          <w:rFonts w:ascii="Book Antiqua" w:hAnsi="Book Antiqua" w:cs="Arial"/>
        </w:rPr>
        <w:t xml:space="preserve">At the field level, the national forest resources (around 13.1 million ha) are currently being managed by eight major groups of actors (see </w:t>
      </w:r>
      <w:fldSimple w:instr=" REF _Ref243390706 \h  \* MERGEFORMAT ">
        <w:r w:rsidR="00B4351F" w:rsidRPr="000F0314">
          <w:rPr>
            <w:rFonts w:ascii="Book Antiqua" w:hAnsi="Book Antiqua" w:cs="Arial"/>
          </w:rPr>
          <w:t xml:space="preserve">Table </w:t>
        </w:r>
        <w:r w:rsidR="00B4351F" w:rsidRPr="000F0314">
          <w:rPr>
            <w:rFonts w:ascii="Book Antiqua" w:hAnsi="Book Antiqua" w:cs="Arial"/>
            <w:noProof/>
          </w:rPr>
          <w:t>4</w:t>
        </w:r>
        <w:r w:rsidR="00B4351F" w:rsidRPr="000F0314">
          <w:rPr>
            <w:rFonts w:ascii="Book Antiqua" w:hAnsi="Book Antiqua" w:cs="Arial"/>
            <w:noProof/>
          </w:rPr>
          <w:noBreakHyphen/>
        </w:r>
        <w:r w:rsidR="00B4351F">
          <w:rPr>
            <w:rFonts w:ascii="Book Antiqua" w:hAnsi="Book Antiqua" w:cs="Arial"/>
            <w:noProof/>
          </w:rPr>
          <w:t>2</w:t>
        </w:r>
      </w:fldSimple>
      <w:r w:rsidRPr="000F0314">
        <w:rPr>
          <w:rFonts w:ascii="Book Antiqua" w:hAnsi="Book Antiqua" w:cs="Arial"/>
        </w:rPr>
        <w:t>). Details on each group follow:</w:t>
      </w:r>
    </w:p>
    <w:p w:rsidR="00903E2A" w:rsidRPr="000F0314" w:rsidRDefault="00903E2A" w:rsidP="00903E2A">
      <w:pPr>
        <w:spacing w:after="0" w:line="300" w:lineRule="exact"/>
        <w:jc w:val="both"/>
        <w:rPr>
          <w:rFonts w:ascii="Book Antiqua" w:hAnsi="Book Antiqua" w:cs="Arial"/>
        </w:rPr>
      </w:pPr>
    </w:p>
    <w:p w:rsidR="00903E2A" w:rsidRPr="0092792E" w:rsidRDefault="00903E2A" w:rsidP="00903E2A">
      <w:pPr>
        <w:pStyle w:val="ListParagraph"/>
        <w:numPr>
          <w:ilvl w:val="0"/>
          <w:numId w:val="116"/>
        </w:numPr>
        <w:spacing w:after="0" w:line="300" w:lineRule="exact"/>
        <w:ind w:left="360"/>
        <w:jc w:val="both"/>
        <w:rPr>
          <w:rFonts w:ascii="Arial" w:hAnsi="Arial" w:cs="Arial"/>
          <w:sz w:val="24"/>
          <w:szCs w:val="24"/>
        </w:rPr>
      </w:pPr>
      <w:r w:rsidRPr="007C38DB">
        <w:rPr>
          <w:rFonts w:ascii="Book Antiqua" w:hAnsi="Book Antiqua" w:cs="Arial"/>
          <w:u w:val="single"/>
        </w:rPr>
        <w:t>State-owned companies</w:t>
      </w:r>
      <w:r w:rsidRPr="007C38DB">
        <w:rPr>
          <w:rFonts w:ascii="Book Antiqua" w:hAnsi="Book Antiqua" w:cs="Arial"/>
        </w:rPr>
        <w:t xml:space="preserve">: SOCs are set up and owned by the state. Forests under management of SOCs are mostly for production purposes.  SOCs may also be responsible for management of protected forest.  Although SOCs have recently undergone a </w:t>
      </w:r>
      <w:r>
        <w:rPr>
          <w:rFonts w:ascii="Book Antiqua" w:hAnsi="Book Antiqua" w:cs="Arial"/>
        </w:rPr>
        <w:t xml:space="preserve">reform </w:t>
      </w:r>
      <w:r w:rsidRPr="007C38DB">
        <w:rPr>
          <w:rFonts w:ascii="Book Antiqua" w:hAnsi="Book Antiqua" w:cs="Arial"/>
        </w:rPr>
        <w:t>process</w:t>
      </w:r>
      <w:r w:rsidRPr="000F0314">
        <w:rPr>
          <w:rStyle w:val="FootnoteReference"/>
          <w:rFonts w:ascii="Book Antiqua" w:hAnsi="Book Antiqua" w:cs="Arial"/>
        </w:rPr>
        <w:footnoteReference w:id="7"/>
      </w:r>
      <w:r w:rsidRPr="007C38DB">
        <w:rPr>
          <w:rFonts w:ascii="Book Antiqua" w:hAnsi="Book Antiqua" w:cs="Arial"/>
        </w:rPr>
        <w:t xml:space="preserve"> and have had to return a part of the forest area formerly </w:t>
      </w:r>
      <w:r w:rsidRPr="007C38DB">
        <w:rPr>
          <w:rFonts w:ascii="Book Antiqua" w:hAnsi="Book Antiqua" w:cs="Arial"/>
        </w:rPr>
        <w:lastRenderedPageBreak/>
        <w:t xml:space="preserve">under their management to the state for allocation to the other stakeholders, they still play a very important role. In many provinces, particularly in the Central </w:t>
      </w:r>
      <w:r w:rsidR="0092792E">
        <w:rPr>
          <w:rFonts w:ascii="Book Antiqua" w:hAnsi="Book Antiqua" w:cs="Arial"/>
        </w:rPr>
        <w:t xml:space="preserve"> </w:t>
      </w:r>
    </w:p>
    <w:p w:rsidR="0092792E" w:rsidRPr="007C38DB" w:rsidRDefault="0092792E" w:rsidP="0092792E">
      <w:pPr>
        <w:pStyle w:val="ListParagraph"/>
        <w:spacing w:after="0" w:line="300" w:lineRule="exact"/>
        <w:ind w:left="0"/>
        <w:jc w:val="both"/>
        <w:rPr>
          <w:rFonts w:ascii="Arial" w:hAnsi="Arial" w:cs="Arial"/>
          <w:sz w:val="24"/>
          <w:szCs w:val="24"/>
        </w:rPr>
      </w:pPr>
    </w:p>
    <w:p w:rsidR="00903E2A" w:rsidRPr="000F0314" w:rsidRDefault="00903E2A" w:rsidP="00903E2A">
      <w:pPr>
        <w:pStyle w:val="Caption"/>
        <w:keepNext/>
        <w:spacing w:before="120" w:after="120"/>
        <w:jc w:val="center"/>
        <w:rPr>
          <w:rFonts w:ascii="Book Antiqua" w:hAnsi="Book Antiqua" w:cs="Arial"/>
          <w:noProof/>
          <w:sz w:val="22"/>
          <w:szCs w:val="22"/>
        </w:rPr>
      </w:pPr>
      <w:r w:rsidRPr="000F0314">
        <w:rPr>
          <w:rFonts w:ascii="Book Antiqua" w:hAnsi="Book Antiqua" w:cs="Arial"/>
          <w:sz w:val="22"/>
          <w:szCs w:val="22"/>
        </w:rPr>
        <w:t>Figure 4</w:t>
      </w:r>
      <w:r w:rsidRPr="000F0314">
        <w:rPr>
          <w:rFonts w:ascii="Book Antiqua" w:hAnsi="Book Antiqua" w:cs="Arial"/>
          <w:sz w:val="22"/>
          <w:szCs w:val="22"/>
        </w:rPr>
        <w:noBreakHyphen/>
      </w:r>
      <w:r w:rsidR="00C47C3B" w:rsidRPr="000F0314">
        <w:rPr>
          <w:rFonts w:ascii="Book Antiqua" w:hAnsi="Book Antiqua" w:cs="Arial"/>
          <w:sz w:val="22"/>
          <w:szCs w:val="22"/>
        </w:rPr>
        <w:fldChar w:fldCharType="begin"/>
      </w:r>
      <w:r w:rsidRPr="000F0314">
        <w:rPr>
          <w:rFonts w:ascii="Book Antiqua" w:hAnsi="Book Antiqua" w:cs="Arial"/>
          <w:sz w:val="22"/>
          <w:szCs w:val="22"/>
        </w:rPr>
        <w:instrText xml:space="preserve"> SEQ Figure \* ARABIC \s 1 </w:instrText>
      </w:r>
      <w:r w:rsidR="00C47C3B" w:rsidRPr="000F0314">
        <w:rPr>
          <w:rFonts w:ascii="Book Antiqua" w:hAnsi="Book Antiqua" w:cs="Arial"/>
          <w:sz w:val="22"/>
          <w:szCs w:val="22"/>
        </w:rPr>
        <w:fldChar w:fldCharType="separate"/>
      </w:r>
      <w:r w:rsidR="00B4351F">
        <w:rPr>
          <w:rFonts w:ascii="Book Antiqua" w:hAnsi="Book Antiqua" w:cs="Arial"/>
          <w:noProof/>
          <w:sz w:val="22"/>
          <w:szCs w:val="22"/>
        </w:rPr>
        <w:t>3</w:t>
      </w:r>
      <w:r w:rsidR="00C47C3B" w:rsidRPr="000F0314">
        <w:rPr>
          <w:rFonts w:ascii="Book Antiqua" w:hAnsi="Book Antiqua" w:cs="Arial"/>
          <w:sz w:val="22"/>
          <w:szCs w:val="22"/>
        </w:rPr>
        <w:fldChar w:fldCharType="end"/>
      </w:r>
      <w:r w:rsidRPr="000F0314">
        <w:rPr>
          <w:rFonts w:ascii="Book Antiqua" w:hAnsi="Book Antiqua" w:cs="Arial"/>
          <w:noProof/>
          <w:sz w:val="22"/>
          <w:szCs w:val="22"/>
        </w:rPr>
        <w:t xml:space="preserve">: Structure of forest management institutions in </w:t>
      </w:r>
      <w:smartTag w:uri="urn:schemas-microsoft-com:office:smarttags" w:element="country-region">
        <w:smartTag w:uri="urn:schemas-microsoft-com:office:smarttags" w:element="place">
          <w:r w:rsidRPr="000F0314">
            <w:rPr>
              <w:rFonts w:ascii="Book Antiqua" w:hAnsi="Book Antiqua" w:cs="Arial"/>
              <w:noProof/>
              <w:sz w:val="22"/>
              <w:szCs w:val="22"/>
            </w:rPr>
            <w:t>Viet Nam</w:t>
          </w:r>
        </w:smartTag>
      </w:smartTag>
    </w:p>
    <w:p w:rsidR="00903E2A" w:rsidRPr="00445F77" w:rsidRDefault="000D756D" w:rsidP="00903E2A">
      <w:pPr>
        <w:spacing w:before="240" w:after="240"/>
        <w:jc w:val="center"/>
        <w:rPr>
          <w:rFonts w:ascii="Arial" w:hAnsi="Arial" w:cs="Arial"/>
          <w:sz w:val="24"/>
          <w:szCs w:val="24"/>
        </w:rPr>
      </w:pPr>
      <w:r>
        <w:rPr>
          <w:rFonts w:ascii="Arial" w:hAnsi="Arial" w:cs="Arial"/>
          <w:noProof/>
          <w:sz w:val="24"/>
          <w:szCs w:val="24"/>
          <w:lang w:val="en-US"/>
        </w:rPr>
        <w:drawing>
          <wp:inline distT="0" distB="0" distL="0" distR="0">
            <wp:extent cx="5172075" cy="53149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72075" cy="5314950"/>
                    </a:xfrm>
                    <a:prstGeom prst="rect">
                      <a:avLst/>
                    </a:prstGeom>
                    <a:noFill/>
                    <a:ln w="9525">
                      <a:noFill/>
                      <a:miter lim="800000"/>
                      <a:headEnd/>
                      <a:tailEnd/>
                    </a:ln>
                  </pic:spPr>
                </pic:pic>
              </a:graphicData>
            </a:graphic>
          </wp:inline>
        </w:drawing>
      </w:r>
    </w:p>
    <w:p w:rsidR="00903E2A" w:rsidRPr="000F0314" w:rsidRDefault="00903E2A" w:rsidP="00903E2A">
      <w:pPr>
        <w:spacing w:after="0" w:line="300" w:lineRule="exact"/>
        <w:jc w:val="both"/>
        <w:rPr>
          <w:rFonts w:ascii="Book Antiqua" w:hAnsi="Book Antiqua" w:cs="Arial"/>
        </w:rPr>
      </w:pPr>
    </w:p>
    <w:p w:rsidR="00903E2A" w:rsidRPr="000F0314" w:rsidRDefault="00903E2A" w:rsidP="00903E2A">
      <w:pPr>
        <w:spacing w:after="0" w:line="300" w:lineRule="exact"/>
        <w:ind w:left="360"/>
        <w:jc w:val="both"/>
        <w:rPr>
          <w:rFonts w:ascii="Book Antiqua" w:hAnsi="Book Antiqua" w:cs="Arial"/>
        </w:rPr>
      </w:pPr>
      <w:r w:rsidRPr="007C38DB">
        <w:rPr>
          <w:rFonts w:ascii="Book Antiqua" w:hAnsi="Book Antiqua" w:cs="Arial"/>
        </w:rPr>
        <w:t xml:space="preserve">and Southern parts of the country, SOCs not only manage the forest areas allocated to them but also involve in </w:t>
      </w:r>
      <w:r>
        <w:rPr>
          <w:rFonts w:ascii="Book Antiqua" w:hAnsi="Book Antiqua" w:cs="Arial"/>
        </w:rPr>
        <w:t>managing</w:t>
      </w:r>
      <w:r w:rsidRPr="007C38DB">
        <w:rPr>
          <w:rFonts w:ascii="Book Antiqua" w:hAnsi="Book Antiqua" w:cs="Arial"/>
        </w:rPr>
        <w:t xml:space="preserve"> the forest formerly under their management,</w:t>
      </w:r>
      <w:r>
        <w:rPr>
          <w:rFonts w:ascii="Book Antiqua" w:hAnsi="Book Antiqua" w:cs="Arial"/>
        </w:rPr>
        <w:t xml:space="preserve"> </w:t>
      </w:r>
      <w:r w:rsidRPr="000F0314">
        <w:rPr>
          <w:rFonts w:ascii="Book Antiqua" w:hAnsi="Book Antiqua" w:cs="Arial"/>
        </w:rPr>
        <w:t xml:space="preserve">which ‘informally’ competes with the district and commune level forestry officials that have the responsibility. Under national forestry </w:t>
      </w:r>
      <w:r>
        <w:rPr>
          <w:rFonts w:ascii="Book Antiqua" w:hAnsi="Book Antiqua" w:cs="Arial"/>
        </w:rPr>
        <w:t>programme</w:t>
      </w:r>
      <w:r w:rsidRPr="000F0314">
        <w:rPr>
          <w:rFonts w:ascii="Book Antiqua" w:hAnsi="Book Antiqua" w:cs="Arial"/>
        </w:rPr>
        <w:t xml:space="preserve">s (e.g. </w:t>
      </w:r>
      <w:r w:rsidR="003A6A8D">
        <w:rPr>
          <w:rFonts w:ascii="Book Antiqua" w:hAnsi="Book Antiqua" w:cs="Arial"/>
        </w:rPr>
        <w:t>661</w:t>
      </w:r>
      <w:r w:rsidRPr="000F0314">
        <w:rPr>
          <w:rFonts w:ascii="Book Antiqua" w:hAnsi="Book Antiqua" w:cs="Arial"/>
        </w:rPr>
        <w:t xml:space="preserve"> </w:t>
      </w:r>
      <w:r>
        <w:rPr>
          <w:rFonts w:ascii="Book Antiqua" w:hAnsi="Book Antiqua" w:cs="Arial"/>
        </w:rPr>
        <w:t>Programme</w:t>
      </w:r>
      <w:r w:rsidRPr="000F0314">
        <w:rPr>
          <w:rFonts w:ascii="Book Antiqua" w:hAnsi="Book Antiqua" w:cs="Arial"/>
        </w:rPr>
        <w:t xml:space="preserve"> – see discussion later), SOCs can also receive budget from the state to contract local people for protecting their forest.</w:t>
      </w:r>
    </w:p>
    <w:p w:rsidR="00903E2A" w:rsidRPr="000F0314" w:rsidRDefault="00903E2A" w:rsidP="00903E2A">
      <w:pPr>
        <w:numPr>
          <w:ilvl w:val="0"/>
          <w:numId w:val="35"/>
        </w:numPr>
        <w:spacing w:after="0" w:line="300" w:lineRule="exact"/>
        <w:ind w:left="360"/>
        <w:jc w:val="both"/>
        <w:rPr>
          <w:rFonts w:ascii="Book Antiqua" w:hAnsi="Book Antiqua" w:cs="Arial"/>
        </w:rPr>
      </w:pPr>
      <w:r w:rsidRPr="000F0314">
        <w:rPr>
          <w:rFonts w:ascii="Book Antiqua" w:hAnsi="Book Antiqua" w:cs="Arial"/>
          <w:u w:val="single"/>
        </w:rPr>
        <w:t>Protected area management boards</w:t>
      </w:r>
      <w:r w:rsidRPr="000F0314">
        <w:rPr>
          <w:rFonts w:ascii="Book Antiqua" w:hAnsi="Book Antiqua" w:cs="Arial"/>
        </w:rPr>
        <w:t xml:space="preserve">: This group includes PFMBs and PAMBs. They are </w:t>
      </w:r>
      <w:r>
        <w:rPr>
          <w:rFonts w:ascii="Book Antiqua" w:hAnsi="Book Antiqua" w:cs="Arial"/>
        </w:rPr>
        <w:t xml:space="preserve">both </w:t>
      </w:r>
      <w:r w:rsidRPr="000F0314">
        <w:rPr>
          <w:rFonts w:ascii="Book Antiqua" w:hAnsi="Book Antiqua" w:cs="Arial"/>
        </w:rPr>
        <w:t xml:space="preserve">state organizations and receive funding from the state (mostly from provincial governments) for managing their forests. PFMBs have the task to manage forest areas that are classified for protection purposes and PAMBs focus on managing the conservation forests (e.g. </w:t>
      </w:r>
      <w:r>
        <w:rPr>
          <w:rFonts w:ascii="Book Antiqua" w:hAnsi="Book Antiqua" w:cs="Arial"/>
        </w:rPr>
        <w:t xml:space="preserve">SUFs, </w:t>
      </w:r>
      <w:r w:rsidRPr="000F0314">
        <w:rPr>
          <w:rFonts w:ascii="Book Antiqua" w:hAnsi="Book Antiqua" w:cs="Arial"/>
        </w:rPr>
        <w:t xml:space="preserve">forest areas designated as having high values of </w:t>
      </w:r>
      <w:r w:rsidRPr="000F0314">
        <w:rPr>
          <w:rFonts w:ascii="Book Antiqua" w:hAnsi="Book Antiqua" w:cs="Arial"/>
        </w:rPr>
        <w:lastRenderedPageBreak/>
        <w:t>biodiversity or cultural significance</w:t>
      </w:r>
      <w:r>
        <w:rPr>
          <w:rFonts w:ascii="Book Antiqua" w:hAnsi="Book Antiqua" w:cs="Arial"/>
        </w:rPr>
        <w:t>, including National Parks</w:t>
      </w:r>
      <w:r w:rsidRPr="000F0314">
        <w:rPr>
          <w:rFonts w:ascii="Book Antiqua" w:hAnsi="Book Antiqua" w:cs="Arial"/>
        </w:rPr>
        <w:t xml:space="preserve">). Similar to SOCs, PFMBs and </w:t>
      </w:r>
      <w:r>
        <w:rPr>
          <w:rFonts w:ascii="Book Antiqua" w:hAnsi="Book Antiqua" w:cs="Arial"/>
        </w:rPr>
        <w:t xml:space="preserve">Although land allocation in SUF’s is not permitted, </w:t>
      </w:r>
      <w:r w:rsidRPr="000F0314">
        <w:rPr>
          <w:rFonts w:ascii="Book Antiqua" w:hAnsi="Book Antiqua" w:cs="Arial"/>
        </w:rPr>
        <w:t xml:space="preserve">PAMBs are able to contract local households to protect their forests under national forestry </w:t>
      </w:r>
      <w:r>
        <w:rPr>
          <w:rFonts w:ascii="Book Antiqua" w:hAnsi="Book Antiqua" w:cs="Arial"/>
        </w:rPr>
        <w:t>programme</w:t>
      </w:r>
      <w:r w:rsidRPr="000F0314">
        <w:rPr>
          <w:rFonts w:ascii="Book Antiqua" w:hAnsi="Book Antiqua" w:cs="Arial"/>
        </w:rPr>
        <w:t>s.</w:t>
      </w:r>
    </w:p>
    <w:p w:rsidR="00903E2A" w:rsidRPr="000F0314" w:rsidRDefault="00903E2A" w:rsidP="00903E2A">
      <w:pPr>
        <w:numPr>
          <w:ilvl w:val="0"/>
          <w:numId w:val="35"/>
        </w:numPr>
        <w:spacing w:after="0" w:line="300" w:lineRule="exact"/>
        <w:ind w:left="360"/>
        <w:jc w:val="both"/>
        <w:rPr>
          <w:rFonts w:ascii="Book Antiqua" w:hAnsi="Book Antiqua" w:cs="Arial"/>
        </w:rPr>
      </w:pPr>
      <w:r w:rsidRPr="000F0314">
        <w:rPr>
          <w:rFonts w:ascii="Book Antiqua" w:hAnsi="Book Antiqua" w:cs="Arial"/>
          <w:u w:val="single"/>
        </w:rPr>
        <w:t>Other economic entities</w:t>
      </w:r>
      <w:r w:rsidRPr="000F0314">
        <w:rPr>
          <w:rFonts w:ascii="Book Antiqua" w:hAnsi="Book Antiqua" w:cs="Arial"/>
        </w:rPr>
        <w:t>: main actor in this group mainly refers to joint-venture companies working in forestry field. They are in charge of safe-guarding the protection forests and commercializing the production forests allocated to them.</w:t>
      </w:r>
    </w:p>
    <w:p w:rsidR="00903E2A" w:rsidRPr="000F0314" w:rsidRDefault="00903E2A" w:rsidP="00903E2A">
      <w:pPr>
        <w:numPr>
          <w:ilvl w:val="0"/>
          <w:numId w:val="35"/>
        </w:numPr>
        <w:spacing w:after="0" w:line="300" w:lineRule="exact"/>
        <w:ind w:left="360"/>
        <w:jc w:val="both"/>
        <w:rPr>
          <w:rFonts w:ascii="Book Antiqua" w:hAnsi="Book Antiqua" w:cs="Arial"/>
        </w:rPr>
      </w:pPr>
      <w:r w:rsidRPr="000F0314">
        <w:rPr>
          <w:rFonts w:ascii="Book Antiqua" w:hAnsi="Book Antiqua" w:cs="Arial"/>
          <w:u w:val="single"/>
        </w:rPr>
        <w:t>Individual households</w:t>
      </w:r>
      <w:r w:rsidRPr="000F0314">
        <w:rPr>
          <w:rFonts w:ascii="Book Antiqua" w:hAnsi="Book Antiqua" w:cs="Arial"/>
        </w:rPr>
        <w:t>: Individual households managing forest classified in this group are those who received forest land from the state along with forest land use title. They are different from households protecting forest under contract with SOCs, PFMBs or PAMBs as mentioned above, who receive cash payment for the protection work but do not have title to the forest land.</w:t>
      </w:r>
    </w:p>
    <w:p w:rsidR="00903E2A" w:rsidRPr="000F0314" w:rsidRDefault="00903E2A" w:rsidP="00903E2A">
      <w:pPr>
        <w:numPr>
          <w:ilvl w:val="0"/>
          <w:numId w:val="35"/>
        </w:numPr>
        <w:spacing w:after="0" w:line="300" w:lineRule="exact"/>
        <w:ind w:left="360"/>
        <w:jc w:val="both"/>
        <w:rPr>
          <w:rFonts w:ascii="Book Antiqua" w:hAnsi="Book Antiqua" w:cs="Arial"/>
        </w:rPr>
      </w:pPr>
      <w:r w:rsidRPr="000F0314">
        <w:rPr>
          <w:rFonts w:ascii="Book Antiqua" w:hAnsi="Book Antiqua" w:cs="Arial"/>
          <w:u w:val="single"/>
        </w:rPr>
        <w:t>Communities</w:t>
      </w:r>
      <w:r w:rsidRPr="000F0314">
        <w:rPr>
          <w:rFonts w:ascii="Book Antiqua" w:hAnsi="Book Antiqua" w:cs="Arial"/>
        </w:rPr>
        <w:t xml:space="preserve">: Although various forms of community-based forest management have traditionally been practiced by ethnic minority groups all over the country, this group refers to communities receiving forest land from the state with official land use title. Such titles in theory guarantee the legal recognition of the rights and benefits of the community members with regard to the forest resources. </w:t>
      </w:r>
    </w:p>
    <w:p w:rsidR="00903E2A" w:rsidRPr="000F0314" w:rsidRDefault="00903E2A" w:rsidP="00903E2A">
      <w:pPr>
        <w:numPr>
          <w:ilvl w:val="0"/>
          <w:numId w:val="35"/>
        </w:numPr>
        <w:spacing w:after="0" w:line="300" w:lineRule="exact"/>
        <w:ind w:left="360"/>
        <w:jc w:val="both"/>
        <w:rPr>
          <w:rFonts w:ascii="Book Antiqua" w:hAnsi="Book Antiqua" w:cs="Arial"/>
        </w:rPr>
      </w:pPr>
      <w:r w:rsidRPr="000F0314">
        <w:rPr>
          <w:rFonts w:ascii="Book Antiqua" w:hAnsi="Book Antiqua" w:cs="Arial"/>
          <w:u w:val="single"/>
        </w:rPr>
        <w:t>Other organizations</w:t>
      </w:r>
      <w:r w:rsidRPr="000F0314">
        <w:rPr>
          <w:rFonts w:ascii="Book Antiqua" w:hAnsi="Book Antiqua" w:cs="Arial"/>
        </w:rPr>
        <w:t xml:space="preserve">: actors in this group are mostly mass organizations (e.g. Youth Union, Women’s </w:t>
      </w:r>
      <w:smartTag w:uri="urn:schemas-microsoft-com:office:smarttags" w:element="place">
        <w:r w:rsidRPr="000F0314">
          <w:rPr>
            <w:rFonts w:ascii="Book Antiqua" w:hAnsi="Book Antiqua" w:cs="Arial"/>
          </w:rPr>
          <w:t>Union</w:t>
        </w:r>
      </w:smartTag>
      <w:r w:rsidRPr="000F0314">
        <w:rPr>
          <w:rFonts w:ascii="Book Antiqua" w:hAnsi="Book Antiqua" w:cs="Arial"/>
        </w:rPr>
        <w:t xml:space="preserve">, and Farmers’ Association) that receive forest from the state for management. They also have land use title to this forest land. </w:t>
      </w:r>
    </w:p>
    <w:p w:rsidR="00903E2A" w:rsidRPr="000F0314" w:rsidRDefault="00903E2A" w:rsidP="00903E2A">
      <w:pPr>
        <w:numPr>
          <w:ilvl w:val="0"/>
          <w:numId w:val="35"/>
        </w:numPr>
        <w:spacing w:after="0" w:line="300" w:lineRule="exact"/>
        <w:ind w:left="360"/>
        <w:jc w:val="both"/>
        <w:rPr>
          <w:rFonts w:ascii="Book Antiqua" w:hAnsi="Book Antiqua" w:cs="Arial"/>
          <w:lang w:val="en-US"/>
        </w:rPr>
      </w:pPr>
      <w:r w:rsidRPr="000F0314">
        <w:rPr>
          <w:rFonts w:ascii="Book Antiqua" w:hAnsi="Book Antiqua" w:cs="Arial"/>
          <w:u w:val="single"/>
          <w:lang w:val="en-US"/>
        </w:rPr>
        <w:t>The armed forces</w:t>
      </w:r>
      <w:r w:rsidRPr="000F0314">
        <w:rPr>
          <w:rFonts w:ascii="Book Antiqua" w:hAnsi="Book Antiqua" w:cs="Arial"/>
          <w:lang w:val="en-US"/>
        </w:rPr>
        <w:t>: The armed forces are mostly in charge of forest areas used for national security purposes.</w:t>
      </w:r>
    </w:p>
    <w:p w:rsidR="00903E2A" w:rsidRPr="000F0314" w:rsidRDefault="00903E2A" w:rsidP="00903E2A">
      <w:pPr>
        <w:numPr>
          <w:ilvl w:val="0"/>
          <w:numId w:val="35"/>
        </w:numPr>
        <w:spacing w:after="0" w:line="300" w:lineRule="exact"/>
        <w:ind w:left="360"/>
        <w:jc w:val="both"/>
        <w:rPr>
          <w:rFonts w:ascii="Book Antiqua" w:hAnsi="Book Antiqua" w:cs="Arial"/>
          <w:lang w:val="en-US"/>
        </w:rPr>
      </w:pPr>
      <w:r w:rsidRPr="000F0314">
        <w:rPr>
          <w:rFonts w:ascii="Book Antiqua" w:hAnsi="Book Antiqua" w:cs="Arial"/>
          <w:u w:val="single"/>
          <w:lang w:val="en-US"/>
        </w:rPr>
        <w:t>Communal people’s committees</w:t>
      </w:r>
      <w:r w:rsidRPr="000F0314">
        <w:rPr>
          <w:rFonts w:ascii="Book Antiqua" w:hAnsi="Book Antiqua" w:cs="Arial"/>
          <w:lang w:val="en-US"/>
        </w:rPr>
        <w:t xml:space="preserve">: CPCs serve as temporary custodians of forest areas that were formerly managed by </w:t>
      </w:r>
      <w:r w:rsidR="003A6A8D">
        <w:rPr>
          <w:rFonts w:ascii="Book Antiqua" w:hAnsi="Book Antiqua" w:cs="Arial"/>
          <w:lang w:val="en-US"/>
        </w:rPr>
        <w:t>SOC</w:t>
      </w:r>
      <w:r w:rsidRPr="000F0314">
        <w:rPr>
          <w:rFonts w:ascii="Book Antiqua" w:hAnsi="Book Antiqua" w:cs="Arial"/>
          <w:lang w:val="en-US"/>
        </w:rPr>
        <w:t>s and which are in the process of being allocated to other stakeholders (e.g. households or communities). CPCs therefore do not have full tenure rights to the forest areas under their management. In practice, such areas often turn into informal “open access” zones, as many CPCs do not have sufficient staff to take care of the forest.</w:t>
      </w:r>
    </w:p>
    <w:p w:rsidR="00351F2C" w:rsidRPr="002D0F33" w:rsidRDefault="00351F2C" w:rsidP="00A256CB">
      <w:pPr>
        <w:pStyle w:val="Heading4"/>
        <w:rPr>
          <w:rFonts w:ascii="Arial" w:hAnsi="Arial" w:cs="Arial"/>
          <w:b w:val="0"/>
          <w:color w:val="1F497D"/>
          <w:sz w:val="24"/>
          <w:szCs w:val="24"/>
        </w:rPr>
      </w:pPr>
      <w:smartTag w:uri="urn:schemas-microsoft-com:office:smarttags" w:element="place">
        <w:r w:rsidRPr="002D0F33">
          <w:rPr>
            <w:rFonts w:ascii="Arial" w:hAnsi="Arial" w:cs="Arial"/>
            <w:b w:val="0"/>
            <w:color w:val="1F497D"/>
            <w:sz w:val="24"/>
            <w:szCs w:val="24"/>
          </w:rPr>
          <w:t>Forest</w:t>
        </w:r>
      </w:smartTag>
      <w:r w:rsidRPr="002D0F33">
        <w:rPr>
          <w:rFonts w:ascii="Arial" w:hAnsi="Arial" w:cs="Arial"/>
          <w:b w:val="0"/>
          <w:color w:val="1F497D"/>
          <w:sz w:val="24"/>
          <w:szCs w:val="24"/>
        </w:rPr>
        <w:t xml:space="preserve"> tenure</w:t>
      </w:r>
    </w:p>
    <w:p w:rsidR="00351F2C" w:rsidRPr="005B3882" w:rsidRDefault="00351F2C" w:rsidP="00A256CB">
      <w:pPr>
        <w:autoSpaceDE w:val="0"/>
        <w:autoSpaceDN w:val="0"/>
        <w:adjustRightInd w:val="0"/>
        <w:spacing w:after="0" w:line="280" w:lineRule="exact"/>
        <w:jc w:val="both"/>
        <w:rPr>
          <w:rFonts w:ascii="Book Antiqua" w:hAnsi="Book Antiqua" w:cs="Arial"/>
          <w:color w:val="000000"/>
        </w:rPr>
      </w:pPr>
      <w:r w:rsidRPr="005B3882">
        <w:rPr>
          <w:rFonts w:ascii="Book Antiqua" w:hAnsi="Book Antiqua" w:cs="Arial"/>
          <w:color w:val="000000"/>
        </w:rPr>
        <w:t>According to the Constitution of the Socialist Republic of Viet Nam, all forest resources (including land, trees and wildlife) are under the ownership of the people.  The State manages forest resources and legally entrusts the management of forest to specific actors. At present, eight major groups of stakeholders are involved in forest activities (</w:t>
      </w:r>
      <w:r w:rsidR="006730F6">
        <w:rPr>
          <w:rFonts w:ascii="Book Antiqua" w:hAnsi="Book Antiqua" w:cs="Arial"/>
          <w:color w:val="000000"/>
        </w:rPr>
        <w:t>Nguyen,</w:t>
      </w:r>
      <w:r w:rsidR="006730F6" w:rsidRPr="005B3882">
        <w:rPr>
          <w:rFonts w:ascii="Book Antiqua" w:hAnsi="Book Antiqua" w:cs="Arial"/>
          <w:color w:val="000000"/>
        </w:rPr>
        <w:t xml:space="preserve"> </w:t>
      </w:r>
      <w:r w:rsidRPr="005B3882">
        <w:rPr>
          <w:rFonts w:ascii="Book Antiqua" w:hAnsi="Book Antiqua" w:cs="Arial"/>
          <w:color w:val="000000"/>
        </w:rPr>
        <w:t>2006):</w:t>
      </w:r>
    </w:p>
    <w:p w:rsidR="00351F2C" w:rsidRPr="005B3882" w:rsidRDefault="00351F2C" w:rsidP="0056739A">
      <w:pPr>
        <w:pStyle w:val="ListParagraph"/>
        <w:numPr>
          <w:ilvl w:val="0"/>
          <w:numId w:val="75"/>
        </w:numPr>
        <w:autoSpaceDE w:val="0"/>
        <w:autoSpaceDN w:val="0"/>
        <w:adjustRightInd w:val="0"/>
        <w:spacing w:after="0" w:line="280" w:lineRule="exact"/>
        <w:contextualSpacing w:val="0"/>
        <w:jc w:val="both"/>
        <w:rPr>
          <w:rFonts w:ascii="Book Antiqua" w:hAnsi="Book Antiqua" w:cs="Arial"/>
          <w:color w:val="000000"/>
        </w:rPr>
      </w:pPr>
      <w:r w:rsidRPr="005B3882">
        <w:rPr>
          <w:rFonts w:ascii="Book Antiqua" w:hAnsi="Book Antiqua" w:cs="Arial"/>
          <w:color w:val="000000"/>
        </w:rPr>
        <w:t xml:space="preserve">State enterprises, mostly </w:t>
      </w:r>
      <w:r w:rsidR="003A6A8D">
        <w:rPr>
          <w:rFonts w:ascii="Book Antiqua" w:hAnsi="Book Antiqua" w:cs="Arial"/>
          <w:color w:val="000000"/>
        </w:rPr>
        <w:t>SOCs</w:t>
      </w:r>
      <w:r w:rsidRPr="005B3882">
        <w:rPr>
          <w:rFonts w:ascii="Book Antiqua" w:hAnsi="Book Antiqua" w:cs="Arial"/>
          <w:color w:val="000000"/>
        </w:rPr>
        <w:t>;</w:t>
      </w:r>
    </w:p>
    <w:p w:rsidR="00351F2C" w:rsidRPr="005B3882" w:rsidRDefault="00351F2C" w:rsidP="0056739A">
      <w:pPr>
        <w:pStyle w:val="ListParagraph"/>
        <w:numPr>
          <w:ilvl w:val="0"/>
          <w:numId w:val="75"/>
        </w:numPr>
        <w:autoSpaceDE w:val="0"/>
        <w:autoSpaceDN w:val="0"/>
        <w:adjustRightInd w:val="0"/>
        <w:spacing w:after="0" w:line="280" w:lineRule="exact"/>
        <w:contextualSpacing w:val="0"/>
        <w:jc w:val="both"/>
        <w:rPr>
          <w:rFonts w:ascii="Book Antiqua" w:hAnsi="Book Antiqua" w:cs="Arial"/>
          <w:color w:val="000000"/>
        </w:rPr>
      </w:pPr>
      <w:r w:rsidRPr="005B3882">
        <w:rPr>
          <w:rFonts w:ascii="Book Antiqua" w:hAnsi="Book Antiqua" w:cs="Arial"/>
          <w:color w:val="000000"/>
        </w:rPr>
        <w:t>Joint venture enterprises;</w:t>
      </w:r>
    </w:p>
    <w:p w:rsidR="00351F2C" w:rsidRPr="005B3882" w:rsidRDefault="00351F2C" w:rsidP="0056739A">
      <w:pPr>
        <w:pStyle w:val="ListParagraph"/>
        <w:numPr>
          <w:ilvl w:val="0"/>
          <w:numId w:val="75"/>
        </w:numPr>
        <w:autoSpaceDE w:val="0"/>
        <w:autoSpaceDN w:val="0"/>
        <w:adjustRightInd w:val="0"/>
        <w:spacing w:after="0" w:line="280" w:lineRule="exact"/>
        <w:contextualSpacing w:val="0"/>
        <w:jc w:val="both"/>
        <w:rPr>
          <w:rFonts w:ascii="Book Antiqua" w:hAnsi="Book Antiqua" w:cs="Arial"/>
          <w:color w:val="000000"/>
        </w:rPr>
      </w:pPr>
      <w:r w:rsidRPr="005B3882">
        <w:rPr>
          <w:rFonts w:ascii="Book Antiqua" w:hAnsi="Book Antiqua" w:cs="Arial"/>
          <w:color w:val="000000"/>
        </w:rPr>
        <w:t>Individual households;</w:t>
      </w:r>
    </w:p>
    <w:p w:rsidR="00351F2C" w:rsidRPr="005B3882" w:rsidRDefault="00351F2C" w:rsidP="0056739A">
      <w:pPr>
        <w:pStyle w:val="ListParagraph"/>
        <w:numPr>
          <w:ilvl w:val="0"/>
          <w:numId w:val="75"/>
        </w:numPr>
        <w:autoSpaceDE w:val="0"/>
        <w:autoSpaceDN w:val="0"/>
        <w:adjustRightInd w:val="0"/>
        <w:spacing w:after="0" w:line="280" w:lineRule="exact"/>
        <w:contextualSpacing w:val="0"/>
        <w:jc w:val="both"/>
        <w:rPr>
          <w:rFonts w:ascii="Book Antiqua" w:hAnsi="Book Antiqua" w:cs="Arial"/>
          <w:color w:val="000000"/>
        </w:rPr>
      </w:pPr>
      <w:r w:rsidRPr="005B3882">
        <w:rPr>
          <w:rFonts w:ascii="Book Antiqua" w:hAnsi="Book Antiqua" w:cs="Arial"/>
          <w:color w:val="000000"/>
        </w:rPr>
        <w:t>Management boards for protection forest (</w:t>
      </w:r>
      <w:r w:rsidR="001A3F68">
        <w:rPr>
          <w:rFonts w:ascii="Book Antiqua" w:hAnsi="Book Antiqua" w:cs="Arial"/>
          <w:color w:val="000000"/>
        </w:rPr>
        <w:t>PFMB</w:t>
      </w:r>
      <w:r w:rsidRPr="005B3882">
        <w:rPr>
          <w:rFonts w:ascii="Book Antiqua" w:hAnsi="Book Antiqua" w:cs="Arial"/>
          <w:color w:val="000000"/>
        </w:rPr>
        <w:t>s);</w:t>
      </w:r>
    </w:p>
    <w:p w:rsidR="00351F2C" w:rsidRPr="005B3882" w:rsidRDefault="00351F2C" w:rsidP="0056739A">
      <w:pPr>
        <w:pStyle w:val="ListParagraph"/>
        <w:numPr>
          <w:ilvl w:val="0"/>
          <w:numId w:val="75"/>
        </w:numPr>
        <w:autoSpaceDE w:val="0"/>
        <w:autoSpaceDN w:val="0"/>
        <w:adjustRightInd w:val="0"/>
        <w:spacing w:after="0" w:line="280" w:lineRule="exact"/>
        <w:contextualSpacing w:val="0"/>
        <w:jc w:val="both"/>
        <w:rPr>
          <w:rFonts w:ascii="Book Antiqua" w:hAnsi="Book Antiqua" w:cs="Arial"/>
          <w:color w:val="000000"/>
        </w:rPr>
      </w:pPr>
      <w:r w:rsidRPr="005B3882">
        <w:rPr>
          <w:rFonts w:ascii="Book Antiqua" w:hAnsi="Book Antiqua" w:cs="Arial"/>
          <w:color w:val="000000"/>
        </w:rPr>
        <w:t>Management boards for special-use forest (</w:t>
      </w:r>
      <w:r w:rsidR="001A3F68">
        <w:rPr>
          <w:rFonts w:ascii="Book Antiqua" w:hAnsi="Book Antiqua" w:cs="Arial"/>
          <w:color w:val="000000"/>
        </w:rPr>
        <w:t>PAMB</w:t>
      </w:r>
      <w:r w:rsidRPr="005B3882">
        <w:rPr>
          <w:rFonts w:ascii="Book Antiqua" w:hAnsi="Book Antiqua" w:cs="Arial"/>
          <w:color w:val="000000"/>
        </w:rPr>
        <w:t>s);</w:t>
      </w:r>
    </w:p>
    <w:p w:rsidR="00351F2C" w:rsidRPr="005B3882" w:rsidRDefault="00351F2C" w:rsidP="0056739A">
      <w:pPr>
        <w:pStyle w:val="ListParagraph"/>
        <w:numPr>
          <w:ilvl w:val="0"/>
          <w:numId w:val="75"/>
        </w:numPr>
        <w:autoSpaceDE w:val="0"/>
        <w:autoSpaceDN w:val="0"/>
        <w:adjustRightInd w:val="0"/>
        <w:spacing w:after="0" w:line="280" w:lineRule="exact"/>
        <w:contextualSpacing w:val="0"/>
        <w:jc w:val="both"/>
        <w:rPr>
          <w:rFonts w:ascii="Book Antiqua" w:hAnsi="Book Antiqua" w:cs="Arial"/>
          <w:color w:val="000000"/>
        </w:rPr>
      </w:pPr>
      <w:r w:rsidRPr="005B3882">
        <w:rPr>
          <w:rFonts w:ascii="Book Antiqua" w:hAnsi="Book Antiqua" w:cs="Arial"/>
          <w:color w:val="000000"/>
        </w:rPr>
        <w:t>Army units;</w:t>
      </w:r>
    </w:p>
    <w:p w:rsidR="00351F2C" w:rsidRPr="005B3882" w:rsidRDefault="00351F2C" w:rsidP="0056739A">
      <w:pPr>
        <w:pStyle w:val="ListParagraph"/>
        <w:numPr>
          <w:ilvl w:val="0"/>
          <w:numId w:val="75"/>
        </w:numPr>
        <w:autoSpaceDE w:val="0"/>
        <w:autoSpaceDN w:val="0"/>
        <w:adjustRightInd w:val="0"/>
        <w:spacing w:after="0" w:line="280" w:lineRule="exact"/>
        <w:contextualSpacing w:val="0"/>
        <w:jc w:val="both"/>
        <w:rPr>
          <w:rFonts w:ascii="Book Antiqua" w:hAnsi="Book Antiqua" w:cs="Arial"/>
          <w:color w:val="000000"/>
        </w:rPr>
      </w:pPr>
      <w:r w:rsidRPr="005B3882">
        <w:rPr>
          <w:rFonts w:ascii="Book Antiqua" w:hAnsi="Book Antiqua" w:cs="Arial"/>
          <w:color w:val="000000"/>
        </w:rPr>
        <w:t>People’s committees (PCs), mostly at the commune level (CPCs).</w:t>
      </w:r>
    </w:p>
    <w:p w:rsidR="00351F2C" w:rsidRPr="005B3882" w:rsidRDefault="00351F2C" w:rsidP="0056739A">
      <w:pPr>
        <w:pStyle w:val="ListParagraph"/>
        <w:numPr>
          <w:ilvl w:val="0"/>
          <w:numId w:val="75"/>
        </w:numPr>
        <w:autoSpaceDE w:val="0"/>
        <w:autoSpaceDN w:val="0"/>
        <w:adjustRightInd w:val="0"/>
        <w:spacing w:after="0" w:line="280" w:lineRule="exact"/>
        <w:contextualSpacing w:val="0"/>
        <w:jc w:val="both"/>
        <w:rPr>
          <w:rFonts w:ascii="Book Antiqua" w:hAnsi="Book Antiqua" w:cs="Arial"/>
          <w:color w:val="000000"/>
        </w:rPr>
      </w:pPr>
      <w:r w:rsidRPr="005B3882">
        <w:rPr>
          <w:rFonts w:ascii="Book Antiqua" w:hAnsi="Book Antiqua" w:cs="Arial"/>
          <w:color w:val="000000"/>
        </w:rPr>
        <w:t>Collectives, such as groups of households and communities;</w:t>
      </w:r>
    </w:p>
    <w:p w:rsidR="00351F2C" w:rsidRPr="005B3882" w:rsidRDefault="00351F2C" w:rsidP="00A256CB">
      <w:pPr>
        <w:autoSpaceDE w:val="0"/>
        <w:autoSpaceDN w:val="0"/>
        <w:adjustRightInd w:val="0"/>
        <w:spacing w:after="0" w:line="280" w:lineRule="exact"/>
        <w:jc w:val="both"/>
        <w:rPr>
          <w:rFonts w:ascii="Book Antiqua" w:hAnsi="Book Antiqua" w:cs="Arial"/>
          <w:color w:val="000000"/>
        </w:rPr>
      </w:pPr>
    </w:p>
    <w:p w:rsidR="00351F2C" w:rsidRPr="005B3882" w:rsidRDefault="00351F2C" w:rsidP="00A256CB">
      <w:pPr>
        <w:autoSpaceDE w:val="0"/>
        <w:autoSpaceDN w:val="0"/>
        <w:adjustRightInd w:val="0"/>
        <w:spacing w:after="0" w:line="280" w:lineRule="exact"/>
        <w:jc w:val="both"/>
        <w:rPr>
          <w:rFonts w:ascii="Book Antiqua" w:hAnsi="Book Antiqua" w:cs="Arial"/>
        </w:rPr>
      </w:pPr>
      <w:r w:rsidRPr="005B3882">
        <w:rPr>
          <w:rFonts w:ascii="Book Antiqua" w:hAnsi="Book Antiqua" w:cs="Arial"/>
        </w:rPr>
        <w:t>These eight stakeholder groups are represented in three forest tenure arrangements:</w:t>
      </w:r>
    </w:p>
    <w:p w:rsidR="00351F2C" w:rsidRPr="005B3882" w:rsidRDefault="00351F2C" w:rsidP="008227FD">
      <w:pPr>
        <w:pStyle w:val="ListParagraph"/>
        <w:numPr>
          <w:ilvl w:val="0"/>
          <w:numId w:val="111"/>
        </w:numPr>
        <w:autoSpaceDE w:val="0"/>
        <w:autoSpaceDN w:val="0"/>
        <w:adjustRightInd w:val="0"/>
        <w:spacing w:after="0" w:line="280" w:lineRule="exact"/>
        <w:ind w:left="360"/>
        <w:contextualSpacing w:val="0"/>
        <w:jc w:val="both"/>
        <w:rPr>
          <w:rFonts w:ascii="Book Antiqua" w:hAnsi="Book Antiqua" w:cs="Arial"/>
        </w:rPr>
      </w:pPr>
      <w:r w:rsidRPr="005B3882">
        <w:rPr>
          <w:rFonts w:ascii="Book Antiqua" w:hAnsi="Book Antiqua" w:cs="Arial"/>
        </w:rPr>
        <w:t xml:space="preserve">Private tenure: This applies to the first three stakeholder groups listed above, and is the most common form of tenure. </w:t>
      </w:r>
      <w:smartTag w:uri="urn:schemas-microsoft-com:office:smarttags" w:element="place">
        <w:r w:rsidRPr="005B3882">
          <w:rPr>
            <w:rFonts w:ascii="Book Antiqua" w:hAnsi="Book Antiqua" w:cs="Arial"/>
          </w:rPr>
          <w:t>Forest</w:t>
        </w:r>
      </w:smartTag>
      <w:r w:rsidRPr="005B3882">
        <w:rPr>
          <w:rFonts w:ascii="Book Antiqua" w:hAnsi="Book Antiqua" w:cs="Arial"/>
        </w:rPr>
        <w:t xml:space="preserve"> is allocated to its tenure-holder for long-term management (typically 50 years). Most forest tenure holders under this arrangement are entitled to a legal land-use certificate.</w:t>
      </w:r>
    </w:p>
    <w:p w:rsidR="00351F2C" w:rsidRPr="005B3882" w:rsidRDefault="00351F2C" w:rsidP="008227FD">
      <w:pPr>
        <w:pStyle w:val="ListParagraph"/>
        <w:numPr>
          <w:ilvl w:val="0"/>
          <w:numId w:val="111"/>
        </w:numPr>
        <w:autoSpaceDE w:val="0"/>
        <w:autoSpaceDN w:val="0"/>
        <w:adjustRightInd w:val="0"/>
        <w:spacing w:after="0" w:line="280" w:lineRule="exact"/>
        <w:ind w:left="360"/>
        <w:contextualSpacing w:val="0"/>
        <w:jc w:val="both"/>
        <w:rPr>
          <w:rFonts w:ascii="Book Antiqua" w:hAnsi="Book Antiqua" w:cs="Arial"/>
        </w:rPr>
      </w:pPr>
      <w:r w:rsidRPr="005B3882">
        <w:rPr>
          <w:rFonts w:ascii="Book Antiqua" w:hAnsi="Book Antiqua" w:cs="Arial"/>
        </w:rPr>
        <w:lastRenderedPageBreak/>
        <w:t>State tenure: This applies to groups 4-7 in the list above.  Forests are typically allocated for an unspecified period. For special-use or protection forests, the tenure holders are entitled to receive State budget for its management.</w:t>
      </w:r>
    </w:p>
    <w:p w:rsidR="00351F2C" w:rsidRPr="005B3882" w:rsidRDefault="00351F2C" w:rsidP="008227FD">
      <w:pPr>
        <w:pStyle w:val="ListParagraph"/>
        <w:numPr>
          <w:ilvl w:val="0"/>
          <w:numId w:val="111"/>
        </w:numPr>
        <w:autoSpaceDE w:val="0"/>
        <w:autoSpaceDN w:val="0"/>
        <w:adjustRightInd w:val="0"/>
        <w:spacing w:after="0" w:line="280" w:lineRule="exact"/>
        <w:ind w:left="360"/>
        <w:contextualSpacing w:val="0"/>
        <w:jc w:val="both"/>
        <w:rPr>
          <w:rFonts w:ascii="Book Antiqua" w:hAnsi="Book Antiqua" w:cs="Arial"/>
        </w:rPr>
      </w:pPr>
      <w:r w:rsidRPr="005B3882">
        <w:rPr>
          <w:rFonts w:ascii="Book Antiqua" w:hAnsi="Book Antiqua" w:cs="Arial"/>
        </w:rPr>
        <w:t>Common tenure: This arrangement is found in forest managed by collectives that are legally recognized by the State (the final stakeholder group in the list above). Currently, only a small area of forest falls under the common tenure arrangements.</w:t>
      </w:r>
    </w:p>
    <w:p w:rsidR="00351F2C" w:rsidRPr="005B3882" w:rsidRDefault="00351F2C" w:rsidP="00A256CB">
      <w:pPr>
        <w:autoSpaceDE w:val="0"/>
        <w:autoSpaceDN w:val="0"/>
        <w:adjustRightInd w:val="0"/>
        <w:spacing w:after="0" w:line="280" w:lineRule="exact"/>
        <w:jc w:val="both"/>
        <w:rPr>
          <w:rFonts w:ascii="Book Antiqua" w:hAnsi="Book Antiqua" w:cs="Arial"/>
        </w:rPr>
      </w:pPr>
    </w:p>
    <w:p w:rsidR="00351F2C" w:rsidRPr="005B3882" w:rsidRDefault="00351F2C" w:rsidP="00A256CB">
      <w:pPr>
        <w:autoSpaceDE w:val="0"/>
        <w:autoSpaceDN w:val="0"/>
        <w:adjustRightInd w:val="0"/>
        <w:spacing w:after="0" w:line="280" w:lineRule="exact"/>
        <w:jc w:val="both"/>
        <w:rPr>
          <w:rFonts w:ascii="Book Antiqua" w:hAnsi="Book Antiqua" w:cs="Arial"/>
        </w:rPr>
      </w:pPr>
      <w:r w:rsidRPr="005B3882">
        <w:rPr>
          <w:rFonts w:ascii="Book Antiqua" w:hAnsi="Book Antiqua" w:cs="Arial"/>
        </w:rPr>
        <w:t>In addition to these three types of tenure, forest contracting applies when a State rights holder signs a contract with an organization, household, group of households or village to protect the forest. The rights of tenure remain with the contractor. The contractee is entitled to cash remuneration for protecting the contracted forest area. Contracts are usually for one year and renewable based on the satisfactory performance of the contractee.</w:t>
      </w:r>
    </w:p>
    <w:p w:rsidR="00351F2C" w:rsidRPr="005B3882" w:rsidRDefault="00351F2C" w:rsidP="00A256CB">
      <w:pPr>
        <w:autoSpaceDE w:val="0"/>
        <w:autoSpaceDN w:val="0"/>
        <w:adjustRightInd w:val="0"/>
        <w:spacing w:after="0" w:line="280" w:lineRule="exact"/>
        <w:jc w:val="both"/>
        <w:rPr>
          <w:rFonts w:ascii="Book Antiqua" w:hAnsi="Book Antiqua" w:cs="Arial"/>
        </w:rPr>
      </w:pPr>
    </w:p>
    <w:p w:rsidR="00351F2C" w:rsidRPr="005B3882" w:rsidRDefault="00351F2C" w:rsidP="00A256CB">
      <w:pPr>
        <w:autoSpaceDE w:val="0"/>
        <w:autoSpaceDN w:val="0"/>
        <w:adjustRightInd w:val="0"/>
        <w:spacing w:after="0" w:line="280" w:lineRule="exact"/>
        <w:jc w:val="both"/>
        <w:rPr>
          <w:rFonts w:ascii="Book Antiqua" w:hAnsi="Book Antiqua" w:cs="Arial"/>
          <w:color w:val="000000"/>
        </w:rPr>
      </w:pPr>
      <w:r w:rsidRPr="005B3882">
        <w:rPr>
          <w:rFonts w:ascii="Book Antiqua" w:hAnsi="Book Antiqua" w:cs="Arial"/>
        </w:rPr>
        <w:t xml:space="preserve">Overlapping forest tenure arrangements frequently occur in practice; for example, a forest area may formally be under the State tenure, but in practice is considered to be under common tenure.  This may result from a lack of attention to local traditions and the legitimate interests of different stakeholders.  </w:t>
      </w:r>
      <w:r w:rsidRPr="005B3882">
        <w:rPr>
          <w:rFonts w:ascii="Book Antiqua" w:hAnsi="Book Antiqua" w:cs="Arial"/>
          <w:color w:val="000000"/>
        </w:rPr>
        <w:t xml:space="preserve">State enterprises, individual households, and People’s Committees are the three largest tenure holders (Figure </w:t>
      </w:r>
      <w:r w:rsidR="00B641CE" w:rsidRPr="005B3882">
        <w:rPr>
          <w:rFonts w:ascii="Book Antiqua" w:hAnsi="Book Antiqua" w:cs="Arial"/>
          <w:color w:val="000000"/>
        </w:rPr>
        <w:t>1</w:t>
      </w:r>
      <w:r w:rsidRPr="005B3882">
        <w:rPr>
          <w:rFonts w:ascii="Book Antiqua" w:hAnsi="Book Antiqua" w:cs="Arial"/>
          <w:color w:val="000000"/>
        </w:rPr>
        <w:t>.</w:t>
      </w:r>
      <w:r w:rsidR="00B641CE" w:rsidRPr="005B3882">
        <w:rPr>
          <w:rFonts w:ascii="Book Antiqua" w:hAnsi="Book Antiqua" w:cs="Arial"/>
          <w:color w:val="000000"/>
        </w:rPr>
        <w:t>4</w:t>
      </w:r>
      <w:r w:rsidRPr="005B3882">
        <w:rPr>
          <w:rFonts w:ascii="Book Antiqua" w:hAnsi="Book Antiqua" w:cs="Arial"/>
          <w:color w:val="000000"/>
        </w:rPr>
        <w:t xml:space="preserve">).  At the other extreme, the army, collectives, and joint ventures hold relatively tiny areas of forest. </w:t>
      </w:r>
    </w:p>
    <w:p w:rsidR="00351F2C" w:rsidRPr="005B3882" w:rsidRDefault="00351F2C" w:rsidP="00A256CB">
      <w:pPr>
        <w:autoSpaceDE w:val="0"/>
        <w:autoSpaceDN w:val="0"/>
        <w:adjustRightInd w:val="0"/>
        <w:spacing w:after="0" w:line="240" w:lineRule="auto"/>
        <w:jc w:val="both"/>
        <w:rPr>
          <w:rFonts w:ascii="Book Antiqua" w:hAnsi="Book Antiqua" w:cs="Arial"/>
          <w:color w:val="000000"/>
        </w:rPr>
      </w:pPr>
    </w:p>
    <w:p w:rsidR="00351F2C" w:rsidRPr="005B3882" w:rsidRDefault="00351F2C" w:rsidP="005B3882">
      <w:pPr>
        <w:pStyle w:val="Caption"/>
        <w:keepNext/>
        <w:spacing w:after="0"/>
        <w:jc w:val="center"/>
        <w:rPr>
          <w:rFonts w:ascii="Book Antiqua" w:hAnsi="Book Antiqua" w:cs="Arial"/>
          <w:color w:val="000000"/>
          <w:sz w:val="22"/>
          <w:szCs w:val="22"/>
        </w:rPr>
      </w:pPr>
      <w:r w:rsidRPr="005B3882">
        <w:rPr>
          <w:rFonts w:ascii="Book Antiqua" w:hAnsi="Book Antiqua" w:cs="Arial"/>
          <w:sz w:val="22"/>
          <w:szCs w:val="22"/>
        </w:rPr>
        <w:t xml:space="preserve">Figure </w:t>
      </w:r>
      <w:r w:rsidR="00B641CE" w:rsidRPr="005B3882">
        <w:rPr>
          <w:rFonts w:ascii="Book Antiqua" w:hAnsi="Book Antiqua" w:cs="Arial"/>
          <w:sz w:val="22"/>
          <w:szCs w:val="22"/>
        </w:rPr>
        <w:t>1.4</w:t>
      </w:r>
      <w:r w:rsidRPr="005B3882">
        <w:rPr>
          <w:rFonts w:ascii="Book Antiqua" w:hAnsi="Book Antiqua" w:cs="Arial"/>
          <w:sz w:val="22"/>
          <w:szCs w:val="22"/>
        </w:rPr>
        <w:t xml:space="preserve"> Forest tenure holders in Viet Nam (from </w:t>
      </w:r>
      <w:r w:rsidR="006730F6">
        <w:rPr>
          <w:rFonts w:ascii="Book Antiqua" w:hAnsi="Book Antiqua" w:cs="Arial"/>
          <w:sz w:val="22"/>
          <w:szCs w:val="22"/>
        </w:rPr>
        <w:t>Nguyen</w:t>
      </w:r>
      <w:r w:rsidRPr="005B3882">
        <w:rPr>
          <w:rFonts w:ascii="Book Antiqua" w:hAnsi="Book Antiqua" w:cs="Arial"/>
          <w:sz w:val="22"/>
          <w:szCs w:val="22"/>
        </w:rPr>
        <w:t>, 2006)</w:t>
      </w:r>
    </w:p>
    <w:p w:rsidR="00351F2C" w:rsidRPr="00445F77" w:rsidRDefault="00C47C3B" w:rsidP="00A256CB">
      <w:pPr>
        <w:autoSpaceDE w:val="0"/>
        <w:autoSpaceDN w:val="0"/>
        <w:adjustRightInd w:val="0"/>
        <w:spacing w:after="0" w:line="280" w:lineRule="exact"/>
        <w:jc w:val="both"/>
        <w:rPr>
          <w:rFonts w:ascii="Arial" w:hAnsi="Arial" w:cs="Arial"/>
          <w:color w:val="000000"/>
          <w:sz w:val="24"/>
          <w:szCs w:val="24"/>
        </w:rPr>
      </w:pPr>
      <w:r w:rsidRPr="00C47C3B">
        <w:rPr>
          <w:rFonts w:ascii="Arial" w:hAnsi="Arial" w:cs="Arial"/>
          <w:noProof/>
          <w:color w:val="000000"/>
          <w:sz w:val="24"/>
          <w:szCs w:val="24"/>
        </w:rPr>
        <w:pict>
          <v:shape id="_x0000_s1052" type="#_x0000_t202" style="position:absolute;left:0;text-align:left;margin-left:51.55pt;margin-top:8.35pt;width:348.25pt;height:195.85pt;z-index:251604480">
            <v:textbox style="mso-next-textbox:#_x0000_s1052">
              <w:txbxContent>
                <w:p w:rsidR="00B4351F" w:rsidRDefault="00B4351F" w:rsidP="00A256CB">
                  <w:r>
                    <w:rPr>
                      <w:noProof/>
                      <w:lang w:val="en-US"/>
                    </w:rPr>
                    <w:drawing>
                      <wp:inline distT="0" distB="0" distL="0" distR="0">
                        <wp:extent cx="4086225" cy="2362200"/>
                        <wp:effectExtent l="19050" t="0" r="9525" b="0"/>
                        <wp:docPr id="21" name="Picture 4" descr="Forest own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est ownership.jpg"/>
                                <pic:cNvPicPr>
                                  <a:picLocks noChangeAspect="1" noChangeArrowheads="1"/>
                                </pic:cNvPicPr>
                              </pic:nvPicPr>
                              <pic:blipFill>
                                <a:blip r:embed="rId21"/>
                                <a:srcRect/>
                                <a:stretch>
                                  <a:fillRect/>
                                </a:stretch>
                              </pic:blipFill>
                              <pic:spPr bwMode="auto">
                                <a:xfrm>
                                  <a:off x="0" y="0"/>
                                  <a:ext cx="4086225" cy="2362200"/>
                                </a:xfrm>
                                <a:prstGeom prst="rect">
                                  <a:avLst/>
                                </a:prstGeom>
                                <a:noFill/>
                                <a:ln w="9525">
                                  <a:noFill/>
                                  <a:miter lim="800000"/>
                                  <a:headEnd/>
                                  <a:tailEnd/>
                                </a:ln>
                              </pic:spPr>
                            </pic:pic>
                          </a:graphicData>
                        </a:graphic>
                      </wp:inline>
                    </w:drawing>
                  </w:r>
                </w:p>
              </w:txbxContent>
            </v:textbox>
          </v:shape>
        </w:pict>
      </w: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351F2C" w:rsidP="00A256CB">
      <w:pPr>
        <w:autoSpaceDE w:val="0"/>
        <w:autoSpaceDN w:val="0"/>
        <w:adjustRightInd w:val="0"/>
        <w:spacing w:after="0" w:line="280" w:lineRule="exact"/>
        <w:jc w:val="both"/>
        <w:rPr>
          <w:rFonts w:ascii="Arial" w:hAnsi="Arial" w:cs="Arial"/>
          <w:color w:val="000000"/>
          <w:sz w:val="24"/>
          <w:szCs w:val="24"/>
        </w:rPr>
      </w:pPr>
    </w:p>
    <w:p w:rsidR="00351F2C" w:rsidRPr="00445F77" w:rsidRDefault="009F174B" w:rsidP="009F174B">
      <w:pPr>
        <w:pStyle w:val="Heading2"/>
        <w:rPr>
          <w:rFonts w:ascii="Arial" w:hAnsi="Arial" w:cs="Arial"/>
          <w:sz w:val="24"/>
          <w:szCs w:val="24"/>
        </w:rPr>
      </w:pPr>
      <w:bookmarkStart w:id="53" w:name="_Toc252354726"/>
      <w:r w:rsidRPr="00445F77">
        <w:rPr>
          <w:rFonts w:ascii="Arial" w:hAnsi="Arial" w:cs="Arial"/>
          <w:sz w:val="24"/>
          <w:szCs w:val="24"/>
        </w:rPr>
        <w:t xml:space="preserve">1.4 </w:t>
      </w:r>
      <w:r w:rsidR="00351F2C" w:rsidRPr="00445F77">
        <w:rPr>
          <w:rFonts w:ascii="Arial" w:hAnsi="Arial" w:cs="Arial"/>
          <w:sz w:val="24"/>
          <w:szCs w:val="24"/>
        </w:rPr>
        <w:t>Conclusion</w:t>
      </w:r>
      <w:bookmarkEnd w:id="53"/>
    </w:p>
    <w:p w:rsidR="00903E2A" w:rsidRDefault="00351F2C" w:rsidP="005B3882">
      <w:pPr>
        <w:autoSpaceDE w:val="0"/>
        <w:autoSpaceDN w:val="0"/>
        <w:adjustRightInd w:val="0"/>
        <w:spacing w:after="0" w:line="300" w:lineRule="exact"/>
        <w:jc w:val="both"/>
        <w:rPr>
          <w:rFonts w:ascii="Book Antiqua" w:hAnsi="Book Antiqua" w:cs="Arial"/>
          <w:color w:val="000000"/>
        </w:rPr>
      </w:pPr>
      <w:r w:rsidRPr="005B3882">
        <w:rPr>
          <w:rFonts w:ascii="Book Antiqua" w:hAnsi="Book Antiqua" w:cs="Arial"/>
          <w:color w:val="000000"/>
        </w:rPr>
        <w:t xml:space="preserve">The negotiations on a future UNFCCC framework have not been finalised. There are many aspects to be discussed and refined but it is clear that for </w:t>
      </w:r>
      <w:r w:rsidR="00480D3D">
        <w:rPr>
          <w:rFonts w:ascii="Book Antiqua" w:hAnsi="Book Antiqua" w:cs="Arial"/>
          <w:color w:val="000000"/>
        </w:rPr>
        <w:t>REDD+</w:t>
      </w:r>
      <w:r w:rsidRPr="005B3882">
        <w:rPr>
          <w:rFonts w:ascii="Book Antiqua" w:hAnsi="Book Antiqua" w:cs="Arial"/>
          <w:color w:val="000000"/>
        </w:rPr>
        <w:t xml:space="preserve"> to play a role in altering the trend of greenhouse gas emissions that a start can be made on the components of readiness.  A </w:t>
      </w:r>
      <w:r w:rsidR="00765C66">
        <w:rPr>
          <w:rFonts w:ascii="Book Antiqua" w:hAnsi="Book Antiqua" w:cs="Arial"/>
          <w:color w:val="000000"/>
        </w:rPr>
        <w:t>BDS</w:t>
      </w:r>
      <w:r w:rsidRPr="005B3882">
        <w:rPr>
          <w:rFonts w:ascii="Book Antiqua" w:hAnsi="Book Antiqua" w:cs="Arial"/>
          <w:color w:val="000000"/>
        </w:rPr>
        <w:t xml:space="preserve"> is only one component of a complete </w:t>
      </w:r>
      <w:r w:rsidR="00480D3D">
        <w:rPr>
          <w:rFonts w:ascii="Book Antiqua" w:hAnsi="Book Antiqua" w:cs="Arial"/>
          <w:color w:val="000000"/>
        </w:rPr>
        <w:t>REDD+</w:t>
      </w:r>
      <w:r w:rsidRPr="005B3882">
        <w:rPr>
          <w:rFonts w:ascii="Book Antiqua" w:hAnsi="Book Antiqua" w:cs="Arial"/>
          <w:color w:val="000000"/>
        </w:rPr>
        <w:t xml:space="preserve"> regime represents a critical aspect of </w:t>
      </w:r>
      <w:r w:rsidR="00480D3D">
        <w:rPr>
          <w:rFonts w:ascii="Book Antiqua" w:hAnsi="Book Antiqua" w:cs="Arial"/>
          <w:color w:val="000000"/>
        </w:rPr>
        <w:t>REDD+</w:t>
      </w:r>
      <w:r w:rsidRPr="005B3882">
        <w:rPr>
          <w:rFonts w:ascii="Book Antiqua" w:hAnsi="Book Antiqua" w:cs="Arial"/>
          <w:color w:val="000000"/>
        </w:rPr>
        <w:t xml:space="preserve"> that has been initiated by the GoV but is a concern and consideration of governments and other actors worldwide. With its rich history of forest management and shared benefits from those forests </w:t>
      </w:r>
      <w:smartTag w:uri="urn:schemas-microsoft-com:office:smarttags" w:element="country-region">
        <w:smartTag w:uri="urn:schemas-microsoft-com:office:smarttags" w:element="place">
          <w:r w:rsidRPr="005B3882">
            <w:rPr>
              <w:rFonts w:ascii="Book Antiqua" w:hAnsi="Book Antiqua" w:cs="Arial"/>
              <w:color w:val="000000"/>
            </w:rPr>
            <w:t>Viet Nam</w:t>
          </w:r>
        </w:smartTag>
      </w:smartTag>
      <w:r w:rsidRPr="005B3882">
        <w:rPr>
          <w:rFonts w:ascii="Book Antiqua" w:hAnsi="Book Antiqua" w:cs="Arial"/>
          <w:color w:val="000000"/>
        </w:rPr>
        <w:t xml:space="preserve"> is in a unique position to analyse experience to date and put that analysis forward for the information of others facing this global challenge.</w:t>
      </w:r>
    </w:p>
    <w:p w:rsidR="00351F2C" w:rsidRPr="005B3882" w:rsidRDefault="00903E2A" w:rsidP="005B3882">
      <w:pPr>
        <w:autoSpaceDE w:val="0"/>
        <w:autoSpaceDN w:val="0"/>
        <w:adjustRightInd w:val="0"/>
        <w:spacing w:after="0" w:line="300" w:lineRule="exact"/>
        <w:jc w:val="both"/>
        <w:rPr>
          <w:rFonts w:ascii="Book Antiqua" w:hAnsi="Book Antiqua" w:cs="Arial"/>
          <w:color w:val="000000"/>
        </w:rPr>
      </w:pPr>
      <w:r>
        <w:rPr>
          <w:rFonts w:ascii="Book Antiqua" w:hAnsi="Book Antiqua" w:cs="Arial"/>
          <w:color w:val="000000"/>
        </w:rPr>
        <w:lastRenderedPageBreak/>
        <w:br w:type="page"/>
      </w:r>
    </w:p>
    <w:p w:rsidR="00351F2C" w:rsidRPr="00445F77" w:rsidRDefault="003063AE" w:rsidP="002D0F33">
      <w:pPr>
        <w:pStyle w:val="Heading1"/>
      </w:pPr>
      <w:bookmarkStart w:id="54" w:name="_Toc252354727"/>
      <w:r w:rsidRPr="00445F77">
        <w:lastRenderedPageBreak/>
        <w:t xml:space="preserve">2. </w:t>
      </w:r>
      <w:r w:rsidR="00351F2C" w:rsidRPr="00445F77">
        <w:t xml:space="preserve">Lessons and Experiences from Existing Initiatives in </w:t>
      </w:r>
      <w:smartTag w:uri="urn:schemas-microsoft-com:office:smarttags" w:element="country-region">
        <w:smartTag w:uri="urn:schemas-microsoft-com:office:smarttags" w:element="place">
          <w:r w:rsidR="00351F2C" w:rsidRPr="00445F77">
            <w:t>Viet Nam</w:t>
          </w:r>
        </w:smartTag>
      </w:smartTag>
      <w:bookmarkEnd w:id="54"/>
    </w:p>
    <w:p w:rsidR="00351F2C" w:rsidRPr="005B3882" w:rsidRDefault="00351F2C" w:rsidP="00A256CB">
      <w:pPr>
        <w:spacing w:after="0"/>
        <w:jc w:val="both"/>
        <w:rPr>
          <w:rFonts w:ascii="Book Antiqua" w:hAnsi="Book Antiqua" w:cs="Arial"/>
        </w:rPr>
      </w:pPr>
    </w:p>
    <w:p w:rsidR="00351F2C" w:rsidRPr="005B3882" w:rsidRDefault="00351F2C" w:rsidP="00A256CB">
      <w:pPr>
        <w:spacing w:after="0"/>
        <w:jc w:val="both"/>
        <w:rPr>
          <w:rFonts w:ascii="Book Antiqua" w:hAnsi="Book Antiqua" w:cs="Arial"/>
        </w:rPr>
      </w:pPr>
      <w:r w:rsidRPr="005B3882">
        <w:rPr>
          <w:rFonts w:ascii="Book Antiqua" w:hAnsi="Book Antiqua" w:cs="Arial"/>
        </w:rPr>
        <w:t xml:space="preserve">For more than a decade </w:t>
      </w:r>
      <w:smartTag w:uri="urn:schemas-microsoft-com:office:smarttags" w:element="country-region">
        <w:smartTag w:uri="urn:schemas-microsoft-com:office:smarttags" w:element="place">
          <w:r w:rsidRPr="005B3882">
            <w:rPr>
              <w:rFonts w:ascii="Book Antiqua" w:hAnsi="Book Antiqua" w:cs="Arial"/>
            </w:rPr>
            <w:t>Viet Nam</w:t>
          </w:r>
        </w:smartTag>
      </w:smartTag>
      <w:r w:rsidRPr="005B3882">
        <w:rPr>
          <w:rFonts w:ascii="Book Antiqua" w:hAnsi="Book Antiqua" w:cs="Arial"/>
        </w:rPr>
        <w:t xml:space="preserve"> has been implementing a number of initiatives designed to improve forest management, conservation, and forest governance, while generating benefits to local stakeholders.  Collectively, these initiatives offer numerous lessons which are valuable in considering what may be feasible in </w:t>
      </w:r>
      <w:smartTag w:uri="urn:schemas-microsoft-com:office:smarttags" w:element="country-region">
        <w:smartTag w:uri="urn:schemas-microsoft-com:office:smarttags" w:element="place">
          <w:r w:rsidRPr="005B3882">
            <w:rPr>
              <w:rFonts w:ascii="Book Antiqua" w:hAnsi="Book Antiqua" w:cs="Arial"/>
            </w:rPr>
            <w:t>Viet Nam</w:t>
          </w:r>
        </w:smartTag>
      </w:smartTag>
      <w:r w:rsidRPr="005B3882">
        <w:rPr>
          <w:rFonts w:ascii="Book Antiqua" w:hAnsi="Book Antiqua" w:cs="Arial"/>
        </w:rPr>
        <w:t xml:space="preserve"> for a </w:t>
      </w:r>
      <w:r w:rsidR="00480D3D">
        <w:rPr>
          <w:rFonts w:ascii="Book Antiqua" w:hAnsi="Book Antiqua" w:cs="Arial"/>
        </w:rPr>
        <w:t>REDD+</w:t>
      </w:r>
      <w:r w:rsidRPr="005B3882">
        <w:rPr>
          <w:rFonts w:ascii="Book Antiqua" w:hAnsi="Book Antiqua" w:cs="Arial"/>
        </w:rPr>
        <w:t xml:space="preserve"> </w:t>
      </w:r>
      <w:r w:rsidR="00765C66">
        <w:rPr>
          <w:rFonts w:ascii="Book Antiqua" w:hAnsi="Book Antiqua" w:cs="Arial"/>
        </w:rPr>
        <w:t>BDS</w:t>
      </w:r>
      <w:r w:rsidRPr="005B3882">
        <w:rPr>
          <w:rFonts w:ascii="Book Antiqua" w:hAnsi="Book Antiqua" w:cs="Arial"/>
        </w:rPr>
        <w:t>.  This chapter reviews all of the relevant current and past initiatives, focusing in particular on governance structures, the process of allocating benefits, payment structuring, and linkages between benefits and performance.</w:t>
      </w:r>
    </w:p>
    <w:p w:rsidR="00351F2C" w:rsidRPr="005B3882" w:rsidRDefault="00351F2C" w:rsidP="00A256CB">
      <w:pPr>
        <w:spacing w:after="0"/>
        <w:jc w:val="both"/>
        <w:rPr>
          <w:rFonts w:ascii="Book Antiqua" w:hAnsi="Book Antiqua" w:cs="Arial"/>
        </w:rPr>
      </w:pPr>
    </w:p>
    <w:p w:rsidR="00351F2C" w:rsidRPr="005B3882" w:rsidRDefault="00C47C3B" w:rsidP="00A256CB">
      <w:pPr>
        <w:spacing w:after="0"/>
        <w:jc w:val="both"/>
        <w:rPr>
          <w:rFonts w:ascii="Book Antiqua" w:hAnsi="Book Antiqua" w:cs="Arial"/>
        </w:rPr>
      </w:pPr>
      <w:r w:rsidRPr="00C47C3B">
        <w:rPr>
          <w:rFonts w:ascii="Book Antiqua" w:hAnsi="Book Antiqua" w:cs="Arial"/>
          <w:noProof/>
          <w:lang w:eastAsia="zh-TW"/>
        </w:rPr>
        <w:pict>
          <v:shape id="_x0000_s1131" type="#_x0000_t202" style="position:absolute;left:0;text-align:left;margin-left:1.55pt;margin-top:284.7pt;width:282.4pt;height:361.8pt;z-index:251608576;mso-height-percent:200;mso-position-horizontal-relative:margin;mso-position-vertical-relative:margin;mso-height-percent:200;mso-width-relative:margin;mso-height-relative:margin" fillcolor="#dbe5f1">
            <v:shadow on="t" color="#548dd4" opacity=".5" offset="6pt,6pt"/>
            <v:textbox style="mso-next-textbox:#_x0000_s1131;mso-fit-shape-to-text:t">
              <w:txbxContent>
                <w:p w:rsidR="00B4351F" w:rsidRPr="00654325" w:rsidRDefault="00B4351F" w:rsidP="00AD2B5E">
                  <w:pPr>
                    <w:pStyle w:val="Caption"/>
                  </w:pPr>
                  <w:smartTag w:uri="urn:schemas-microsoft-com:office:smarttags" w:element="address">
                    <w:smartTag w:uri="urn:schemas-microsoft-com:office:smarttags" w:element="Street">
                      <w:r w:rsidRPr="00654325">
                        <w:t>Box</w:t>
                      </w:r>
                    </w:smartTag>
                    <w:r w:rsidRPr="00654325">
                      <w:t xml:space="preserve"> </w:t>
                    </w:r>
                    <w:r>
                      <w:t>2.1</w:t>
                    </w:r>
                  </w:smartTag>
                  <w:r w:rsidRPr="00654325">
                    <w:t xml:space="preserve">: Roles of </w:t>
                  </w:r>
                  <w:r>
                    <w:t>sub-national</w:t>
                  </w:r>
                  <w:r w:rsidRPr="00654325">
                    <w:t xml:space="preserve"> agencies in </w:t>
                  </w:r>
                  <w:r>
                    <w:t>the 661 Programme</w:t>
                  </w:r>
                </w:p>
                <w:p w:rsidR="00B4351F" w:rsidRPr="00654325" w:rsidRDefault="00B4351F" w:rsidP="00A256CB">
                  <w:pPr>
                    <w:spacing w:before="120" w:after="0" w:line="240" w:lineRule="auto"/>
                    <w:rPr>
                      <w:sz w:val="20"/>
                    </w:rPr>
                  </w:pPr>
                  <w:r w:rsidRPr="00654325">
                    <w:rPr>
                      <w:sz w:val="20"/>
                    </w:rPr>
                    <w:t xml:space="preserve">Role of </w:t>
                  </w:r>
                  <w:r>
                    <w:rPr>
                      <w:sz w:val="20"/>
                    </w:rPr>
                    <w:t>PPC</w:t>
                  </w:r>
                  <w:r w:rsidRPr="00654325">
                    <w:rPr>
                      <w:sz w:val="20"/>
                    </w:rPr>
                    <w:t>:</w:t>
                  </w:r>
                </w:p>
                <w:p w:rsidR="00B4351F" w:rsidRPr="00654325" w:rsidRDefault="00B4351F" w:rsidP="003E3CBA">
                  <w:pPr>
                    <w:numPr>
                      <w:ilvl w:val="1"/>
                      <w:numId w:val="12"/>
                    </w:numPr>
                    <w:tabs>
                      <w:tab w:val="clear" w:pos="1452"/>
                    </w:tabs>
                    <w:spacing w:after="0" w:line="240" w:lineRule="auto"/>
                    <w:ind w:left="270" w:hanging="180"/>
                    <w:rPr>
                      <w:sz w:val="20"/>
                    </w:rPr>
                  </w:pPr>
                  <w:r w:rsidRPr="00654325">
                    <w:rPr>
                      <w:sz w:val="20"/>
                    </w:rPr>
                    <w:t>make decision on the investment norms for protected forest plantation projects, production forest plantation projects by non-state organizations and cooperatives</w:t>
                  </w:r>
                </w:p>
                <w:p w:rsidR="00B4351F" w:rsidRPr="00654325" w:rsidRDefault="00B4351F" w:rsidP="003E3CBA">
                  <w:pPr>
                    <w:numPr>
                      <w:ilvl w:val="1"/>
                      <w:numId w:val="12"/>
                    </w:numPr>
                    <w:tabs>
                      <w:tab w:val="clear" w:pos="1452"/>
                    </w:tabs>
                    <w:spacing w:after="0" w:line="240" w:lineRule="auto"/>
                    <w:ind w:left="270" w:hanging="180"/>
                    <w:rPr>
                      <w:sz w:val="20"/>
                    </w:rPr>
                  </w:pPr>
                  <w:r w:rsidRPr="00654325">
                    <w:rPr>
                      <w:sz w:val="20"/>
                    </w:rPr>
                    <w:t>allocate funds to local projects based on the structure and funds decided by higher level</w:t>
                  </w:r>
                  <w:r>
                    <w:rPr>
                      <w:sz w:val="20"/>
                    </w:rPr>
                    <w:t>s</w:t>
                  </w:r>
                </w:p>
                <w:p w:rsidR="00B4351F" w:rsidRPr="00654325" w:rsidRDefault="00B4351F" w:rsidP="003E3CBA">
                  <w:pPr>
                    <w:numPr>
                      <w:ilvl w:val="1"/>
                      <w:numId w:val="12"/>
                    </w:numPr>
                    <w:tabs>
                      <w:tab w:val="clear" w:pos="1452"/>
                    </w:tabs>
                    <w:spacing w:after="0" w:line="240" w:lineRule="auto"/>
                    <w:ind w:left="270" w:hanging="180"/>
                    <w:rPr>
                      <w:sz w:val="20"/>
                    </w:rPr>
                  </w:pPr>
                  <w:r w:rsidRPr="00654325">
                    <w:rPr>
                      <w:sz w:val="20"/>
                    </w:rPr>
                    <w:t>take the responsibility for the program implementation within the province</w:t>
                  </w:r>
                </w:p>
                <w:p w:rsidR="00B4351F" w:rsidRPr="00654325" w:rsidRDefault="00B4351F" w:rsidP="003E3CBA">
                  <w:pPr>
                    <w:numPr>
                      <w:ilvl w:val="1"/>
                      <w:numId w:val="12"/>
                    </w:numPr>
                    <w:tabs>
                      <w:tab w:val="clear" w:pos="1452"/>
                    </w:tabs>
                    <w:spacing w:after="0" w:line="240" w:lineRule="auto"/>
                    <w:ind w:left="270" w:hanging="180"/>
                    <w:rPr>
                      <w:sz w:val="20"/>
                    </w:rPr>
                  </w:pPr>
                  <w:r w:rsidRPr="00654325">
                    <w:rPr>
                      <w:sz w:val="20"/>
                    </w:rPr>
                    <w:t>prepare annual report on fund use and settle payment for completed projects</w:t>
                  </w:r>
                </w:p>
                <w:p w:rsidR="00B4351F" w:rsidRPr="00654325" w:rsidRDefault="00B4351F" w:rsidP="003E3CBA">
                  <w:pPr>
                    <w:numPr>
                      <w:ilvl w:val="1"/>
                      <w:numId w:val="12"/>
                    </w:numPr>
                    <w:tabs>
                      <w:tab w:val="clear" w:pos="1452"/>
                    </w:tabs>
                    <w:spacing w:after="0" w:line="240" w:lineRule="auto"/>
                    <w:ind w:left="270" w:hanging="180"/>
                    <w:rPr>
                      <w:sz w:val="20"/>
                    </w:rPr>
                  </w:pPr>
                  <w:r w:rsidRPr="00654325">
                    <w:rPr>
                      <w:sz w:val="20"/>
                    </w:rPr>
                    <w:t>based on recommendations by DARD and DoF, decide on costs and technical requirements for seedlings to serve as the basis for settling the payment of plantation projects</w:t>
                  </w:r>
                </w:p>
                <w:p w:rsidR="00B4351F" w:rsidRPr="00654325" w:rsidRDefault="00B4351F" w:rsidP="00A256CB">
                  <w:pPr>
                    <w:spacing w:before="120" w:after="0" w:line="240" w:lineRule="auto"/>
                    <w:rPr>
                      <w:sz w:val="20"/>
                    </w:rPr>
                  </w:pPr>
                  <w:r w:rsidRPr="00654325">
                    <w:rPr>
                      <w:sz w:val="20"/>
                    </w:rPr>
                    <w:t>Role of DARD:</w:t>
                  </w:r>
                </w:p>
                <w:p w:rsidR="00B4351F" w:rsidRPr="00654325" w:rsidRDefault="00B4351F" w:rsidP="003E3CBA">
                  <w:pPr>
                    <w:numPr>
                      <w:ilvl w:val="1"/>
                      <w:numId w:val="12"/>
                    </w:numPr>
                    <w:tabs>
                      <w:tab w:val="clear" w:pos="1452"/>
                    </w:tabs>
                    <w:spacing w:after="0" w:line="240" w:lineRule="auto"/>
                    <w:ind w:left="270" w:hanging="180"/>
                    <w:rPr>
                      <w:sz w:val="20"/>
                    </w:rPr>
                  </w:pPr>
                  <w:r>
                    <w:rPr>
                      <w:sz w:val="20"/>
                    </w:rPr>
                    <w:t xml:space="preserve">oversee </w:t>
                  </w:r>
                  <w:r w:rsidRPr="00654325">
                    <w:rPr>
                      <w:sz w:val="20"/>
                    </w:rPr>
                    <w:t>implementation of the program within the province</w:t>
                  </w:r>
                </w:p>
                <w:p w:rsidR="00B4351F" w:rsidRPr="00654325" w:rsidRDefault="00B4351F" w:rsidP="003E3CBA">
                  <w:pPr>
                    <w:numPr>
                      <w:ilvl w:val="1"/>
                      <w:numId w:val="12"/>
                    </w:numPr>
                    <w:tabs>
                      <w:tab w:val="clear" w:pos="1452"/>
                    </w:tabs>
                    <w:spacing w:after="0" w:line="240" w:lineRule="auto"/>
                    <w:ind w:left="270" w:hanging="180"/>
                    <w:rPr>
                      <w:sz w:val="20"/>
                    </w:rPr>
                  </w:pPr>
                  <w:r w:rsidRPr="00654325">
                    <w:rPr>
                      <w:sz w:val="20"/>
                    </w:rPr>
                    <w:t>in collaboration with DoF and other actors, appraise the annual payment reports of completed project</w:t>
                  </w:r>
                  <w:r>
                    <w:rPr>
                      <w:sz w:val="20"/>
                    </w:rPr>
                    <w:t>s</w:t>
                  </w:r>
                  <w:r w:rsidRPr="00654325">
                    <w:rPr>
                      <w:sz w:val="20"/>
                    </w:rPr>
                    <w:t xml:space="preserve"> </w:t>
                  </w:r>
                </w:p>
                <w:p w:rsidR="00B4351F" w:rsidRPr="00654325" w:rsidRDefault="00B4351F" w:rsidP="003E3CBA">
                  <w:pPr>
                    <w:numPr>
                      <w:ilvl w:val="1"/>
                      <w:numId w:val="12"/>
                    </w:numPr>
                    <w:tabs>
                      <w:tab w:val="clear" w:pos="1452"/>
                    </w:tabs>
                    <w:spacing w:after="0" w:line="240" w:lineRule="auto"/>
                    <w:ind w:left="270" w:hanging="180"/>
                    <w:rPr>
                      <w:sz w:val="20"/>
                    </w:rPr>
                  </w:pPr>
                  <w:r w:rsidRPr="00654325">
                    <w:rPr>
                      <w:sz w:val="20"/>
                    </w:rPr>
                    <w:t>in collaboration with DoF, guide the contract settlement for plantation</w:t>
                  </w:r>
                  <w:r>
                    <w:rPr>
                      <w:sz w:val="20"/>
                    </w:rPr>
                    <w:t>s</w:t>
                  </w:r>
                </w:p>
                <w:p w:rsidR="00B4351F" w:rsidRPr="00654325" w:rsidRDefault="00B4351F" w:rsidP="003E3CBA">
                  <w:pPr>
                    <w:numPr>
                      <w:ilvl w:val="1"/>
                      <w:numId w:val="12"/>
                    </w:numPr>
                    <w:tabs>
                      <w:tab w:val="clear" w:pos="1452"/>
                    </w:tabs>
                    <w:spacing w:after="0" w:line="240" w:lineRule="auto"/>
                    <w:ind w:left="270" w:hanging="180"/>
                    <w:rPr>
                      <w:sz w:val="20"/>
                    </w:rPr>
                  </w:pPr>
                  <w:r w:rsidRPr="00654325">
                    <w:rPr>
                      <w:sz w:val="20"/>
                    </w:rPr>
                    <w:t xml:space="preserve">provide technical guidance </w:t>
                  </w:r>
                </w:p>
                <w:p w:rsidR="00B4351F" w:rsidRPr="00654325" w:rsidRDefault="00B4351F" w:rsidP="00A256CB">
                  <w:pPr>
                    <w:spacing w:before="120" w:after="0" w:line="240" w:lineRule="auto"/>
                    <w:rPr>
                      <w:sz w:val="20"/>
                    </w:rPr>
                  </w:pPr>
                  <w:r w:rsidRPr="00654325">
                    <w:rPr>
                      <w:sz w:val="20"/>
                    </w:rPr>
                    <w:t>Role of District People’s Committee:</w:t>
                  </w:r>
                </w:p>
                <w:p w:rsidR="00B4351F" w:rsidRPr="00654325" w:rsidRDefault="00B4351F" w:rsidP="003E3CBA">
                  <w:pPr>
                    <w:numPr>
                      <w:ilvl w:val="1"/>
                      <w:numId w:val="12"/>
                    </w:numPr>
                    <w:tabs>
                      <w:tab w:val="clear" w:pos="1452"/>
                      <w:tab w:val="left" w:pos="270"/>
                    </w:tabs>
                    <w:spacing w:after="0" w:line="240" w:lineRule="auto"/>
                    <w:ind w:left="270" w:hanging="180"/>
                    <w:rPr>
                      <w:sz w:val="20"/>
                    </w:rPr>
                  </w:pPr>
                  <w:r w:rsidRPr="00654325">
                    <w:rPr>
                      <w:sz w:val="20"/>
                    </w:rPr>
                    <w:t>make decision on investment norms for production forest plantation projects by households and communities</w:t>
                  </w:r>
                </w:p>
                <w:p w:rsidR="00B4351F" w:rsidRPr="00654325" w:rsidRDefault="00B4351F" w:rsidP="003E3CBA">
                  <w:pPr>
                    <w:numPr>
                      <w:ilvl w:val="1"/>
                      <w:numId w:val="12"/>
                    </w:numPr>
                    <w:tabs>
                      <w:tab w:val="clear" w:pos="1452"/>
                      <w:tab w:val="left" w:pos="270"/>
                    </w:tabs>
                    <w:spacing w:after="0" w:line="240" w:lineRule="auto"/>
                    <w:ind w:left="270" w:hanging="180"/>
                    <w:rPr>
                      <w:sz w:val="20"/>
                    </w:rPr>
                  </w:pPr>
                  <w:r w:rsidRPr="00654325">
                    <w:rPr>
                      <w:sz w:val="20"/>
                    </w:rPr>
                    <w:t>make decision on the establishment of project management board at district level</w:t>
                  </w:r>
                </w:p>
                <w:p w:rsidR="00B4351F" w:rsidRPr="00654325" w:rsidRDefault="00B4351F" w:rsidP="00A256CB">
                  <w:pPr>
                    <w:spacing w:after="0"/>
                    <w:rPr>
                      <w:sz w:val="18"/>
                      <w:szCs w:val="18"/>
                    </w:rPr>
                  </w:pPr>
                  <w:r w:rsidRPr="00654325">
                    <w:rPr>
                      <w:sz w:val="18"/>
                      <w:szCs w:val="18"/>
                    </w:rPr>
                    <w:t xml:space="preserve">Source: </w:t>
                  </w:r>
                  <w:r w:rsidRPr="00654325">
                    <w:rPr>
                      <w:sz w:val="18"/>
                      <w:szCs w:val="18"/>
                    </w:rPr>
                    <w:fldChar w:fldCharType="begin"/>
                  </w:r>
                  <w:r w:rsidRPr="00654325">
                    <w:rPr>
                      <w:sz w:val="18"/>
                      <w:szCs w:val="18"/>
                    </w:rPr>
                    <w:instrText xml:space="preserve"> QUOTE "(Ministry of Agriculture and Rural Development (MARD) 2008)" </w:instrText>
                  </w:r>
                  <w:r w:rsidRPr="00654325">
                    <w:rPr>
                      <w:vanish/>
                      <w:sz w:val="18"/>
                      <w:szCs w:val="18"/>
                    </w:rPr>
                    <w:fldChar w:fldCharType="begin"/>
                  </w:r>
                  <w:r w:rsidRPr="00654325">
                    <w:rPr>
                      <w:vanish/>
                      <w:sz w:val="18"/>
                      <w:szCs w:val="18"/>
                    </w:rPr>
                    <w:instrText xml:space="preserve"> ADDIN REFMAN ÿ\11\05‘\19\01\00\00\00;(Ministry of Agriculture and Rural Development (MARD) 2008)\00;\00cC:\5CDocuments and Settings\5CAdministrator\5CDesktop\5CUN-REDD study\5COwn documents\5CUN-REDD study reference\03\00\015?Ministry of Agriculture and Rural Development (MARD) 2008 5 /id\00?\00 </w:instrText>
                  </w:r>
                  <w:r w:rsidRPr="00654325">
                    <w:rPr>
                      <w:vanish/>
                      <w:sz w:val="18"/>
                      <w:szCs w:val="18"/>
                    </w:rPr>
                    <w:fldChar w:fldCharType="end"/>
                  </w:r>
                  <w:r w:rsidRPr="00654325">
                    <w:rPr>
                      <w:sz w:val="18"/>
                      <w:szCs w:val="18"/>
                    </w:rPr>
                    <w:fldChar w:fldCharType="separate"/>
                  </w:r>
                  <w:r w:rsidRPr="00654325">
                    <w:rPr>
                      <w:sz w:val="18"/>
                      <w:szCs w:val="18"/>
                    </w:rPr>
                    <w:t>(MARD 2008)</w:t>
                  </w:r>
                  <w:r w:rsidRPr="00654325">
                    <w:rPr>
                      <w:sz w:val="18"/>
                      <w:szCs w:val="18"/>
                    </w:rPr>
                    <w:fldChar w:fldCharType="end"/>
                  </w:r>
                </w:p>
              </w:txbxContent>
            </v:textbox>
            <w10:wrap type="square" anchorx="margin" anchory="margin"/>
          </v:shape>
        </w:pict>
      </w:r>
      <w:r w:rsidR="00351F2C" w:rsidRPr="005B3882">
        <w:rPr>
          <w:rFonts w:ascii="Book Antiqua" w:hAnsi="Book Antiqua" w:cs="Arial"/>
        </w:rPr>
        <w:t xml:space="preserve">National </w:t>
      </w:r>
      <w:r w:rsidR="00480D3D">
        <w:rPr>
          <w:rFonts w:ascii="Book Antiqua" w:hAnsi="Book Antiqua" w:cs="Arial"/>
        </w:rPr>
        <w:t>programme</w:t>
      </w:r>
      <w:r w:rsidR="00351F2C" w:rsidRPr="005B3882">
        <w:rPr>
          <w:rFonts w:ascii="Book Antiqua" w:hAnsi="Book Antiqua" w:cs="Arial"/>
        </w:rPr>
        <w:t xml:space="preserve">s absorb a significant share of fiscal transfers from the central government to sub-national governments.  They complement the regular transfers, also known as ‘administration fund’, from which sub-national government cover staff salaries and operating costs.  The two most well-known and relevant projects are the 5MHRP in forestry, more often referred to as the “661 Programme” (Section 2.1), and the so-called </w:t>
      </w:r>
      <w:r w:rsidR="00480D3D">
        <w:rPr>
          <w:rFonts w:ascii="Book Antiqua" w:hAnsi="Book Antiqua" w:cs="Arial"/>
        </w:rPr>
        <w:t>Programme</w:t>
      </w:r>
      <w:r w:rsidR="00351F2C" w:rsidRPr="005B3882">
        <w:rPr>
          <w:rFonts w:ascii="Book Antiqua" w:hAnsi="Book Antiqua" w:cs="Arial"/>
        </w:rPr>
        <w:t xml:space="preserve"> 135 (Section 2.2), which funds poverty alleviation measures in poor communes</w:t>
      </w:r>
      <w:r w:rsidR="00351F2C" w:rsidRPr="005B3882">
        <w:rPr>
          <w:rStyle w:val="FootnoteReference"/>
          <w:rFonts w:ascii="Book Antiqua" w:hAnsi="Book Antiqua" w:cs="Arial"/>
        </w:rPr>
        <w:footnoteReference w:id="8"/>
      </w:r>
      <w:r w:rsidR="00351F2C" w:rsidRPr="005B3882">
        <w:rPr>
          <w:rFonts w:ascii="Book Antiqua" w:hAnsi="Book Antiqua" w:cs="Arial"/>
        </w:rPr>
        <w:t xml:space="preserve">,  The Forest Protection and Development Fund and pilot PFES (Decision 380) are discussed in Section 2.4.  Donor-funded programmes, including those funded by the WB, </w:t>
      </w:r>
      <w:r w:rsidR="000D7D36">
        <w:rPr>
          <w:rFonts w:ascii="Book Antiqua" w:hAnsi="Book Antiqua" w:cs="Arial"/>
        </w:rPr>
        <w:t>Asian Development Bank (</w:t>
      </w:r>
      <w:r w:rsidR="00351F2C" w:rsidRPr="005B3882">
        <w:rPr>
          <w:rFonts w:ascii="Book Antiqua" w:hAnsi="Book Antiqua" w:cs="Arial"/>
        </w:rPr>
        <w:t>ADB</w:t>
      </w:r>
      <w:r w:rsidR="000D7D36">
        <w:rPr>
          <w:rFonts w:ascii="Book Antiqua" w:hAnsi="Book Antiqua" w:cs="Arial"/>
        </w:rPr>
        <w:t>)</w:t>
      </w:r>
      <w:r w:rsidR="00351F2C" w:rsidRPr="005B3882">
        <w:rPr>
          <w:rFonts w:ascii="Book Antiqua" w:hAnsi="Book Antiqua" w:cs="Arial"/>
        </w:rPr>
        <w:t xml:space="preserve">, and KfW are discussed in Section 2.3, and GTZ-funded community forestry projects in Section 2.6.  Donor coordination through the Trust Fund for Forests is described in Section 2.5, the government’s community forestry programme in Section 2.7, and </w:t>
      </w:r>
      <w:r w:rsidR="000D7D36">
        <w:rPr>
          <w:rFonts w:ascii="Book Antiqua" w:hAnsi="Book Antiqua" w:cs="Arial"/>
        </w:rPr>
        <w:t xml:space="preserve">Clean Development Mechanism) </w:t>
      </w:r>
      <w:r w:rsidR="00351F2C" w:rsidRPr="005B3882">
        <w:rPr>
          <w:rFonts w:ascii="Book Antiqua" w:hAnsi="Book Antiqua" w:cs="Arial"/>
        </w:rPr>
        <w:t>CDM and voluntary carbon projects in Section 2.8.</w:t>
      </w:r>
    </w:p>
    <w:p w:rsidR="00351F2C" w:rsidRPr="00445F77" w:rsidRDefault="00351F2C" w:rsidP="00A256CB">
      <w:pPr>
        <w:spacing w:after="0"/>
        <w:jc w:val="both"/>
        <w:rPr>
          <w:rFonts w:ascii="Arial" w:hAnsi="Arial" w:cs="Arial"/>
          <w:sz w:val="24"/>
          <w:szCs w:val="24"/>
          <w:u w:val="single"/>
        </w:rPr>
      </w:pPr>
    </w:p>
    <w:p w:rsidR="00AD2B5E" w:rsidRDefault="00AD2B5E" w:rsidP="00A256CB">
      <w:pPr>
        <w:spacing w:after="0"/>
        <w:jc w:val="both"/>
        <w:rPr>
          <w:rFonts w:ascii="Arial" w:hAnsi="Arial" w:cs="Arial"/>
          <w:color w:val="1F497D"/>
          <w:sz w:val="24"/>
          <w:szCs w:val="24"/>
        </w:rPr>
      </w:pPr>
    </w:p>
    <w:p w:rsidR="00351F2C" w:rsidRPr="00445F77" w:rsidRDefault="00351F2C" w:rsidP="00A256CB">
      <w:pPr>
        <w:spacing w:after="0"/>
        <w:jc w:val="both"/>
        <w:rPr>
          <w:rFonts w:ascii="Arial" w:hAnsi="Arial" w:cs="Arial"/>
          <w:color w:val="1F497D"/>
          <w:sz w:val="24"/>
          <w:szCs w:val="24"/>
        </w:rPr>
      </w:pPr>
      <w:r w:rsidRPr="00445F77">
        <w:rPr>
          <w:rFonts w:ascii="Arial" w:hAnsi="Arial" w:cs="Arial"/>
          <w:color w:val="1F497D"/>
          <w:sz w:val="24"/>
          <w:szCs w:val="24"/>
        </w:rPr>
        <w:t>2.1: The 661 Programme</w:t>
      </w:r>
    </w:p>
    <w:p w:rsidR="00351F2C" w:rsidRPr="005B3882" w:rsidRDefault="00351F2C" w:rsidP="00A256CB">
      <w:pPr>
        <w:spacing w:after="0"/>
        <w:jc w:val="both"/>
        <w:rPr>
          <w:rFonts w:ascii="Book Antiqua" w:hAnsi="Book Antiqua" w:cs="Arial"/>
        </w:rPr>
      </w:pPr>
      <w:r w:rsidRPr="005B3882">
        <w:rPr>
          <w:rFonts w:ascii="Book Antiqua" w:hAnsi="Book Antiqua" w:cs="Arial"/>
        </w:rPr>
        <w:lastRenderedPageBreak/>
        <w:t xml:space="preserve">The 5MHRP, or 661 Programme, was launched in 1998 following the Prime Minister’s Decision 661/QD-TTg.  The </w:t>
      </w:r>
      <w:r w:rsidR="00480D3D">
        <w:rPr>
          <w:rFonts w:ascii="Book Antiqua" w:hAnsi="Book Antiqua" w:cs="Arial"/>
        </w:rPr>
        <w:t>Programme</w:t>
      </w:r>
      <w:r w:rsidRPr="005B3882">
        <w:rPr>
          <w:rFonts w:ascii="Book Antiqua" w:hAnsi="Book Antiqua" w:cs="Arial"/>
        </w:rPr>
        <w:t xml:space="preserve"> was conceived to make a major contribution to the overarching goal of increasing </w:t>
      </w:r>
      <w:smartTag w:uri="urn:schemas-microsoft-com:office:smarttags" w:element="country-region">
        <w:smartTag w:uri="urn:schemas-microsoft-com:office:smarttags" w:element="place">
          <w:r w:rsidRPr="005B3882">
            <w:rPr>
              <w:rFonts w:ascii="Book Antiqua" w:hAnsi="Book Antiqua" w:cs="Arial"/>
            </w:rPr>
            <w:t>Viet Nam</w:t>
          </w:r>
        </w:smartTag>
      </w:smartTag>
      <w:r w:rsidRPr="005B3882">
        <w:rPr>
          <w:rFonts w:ascii="Book Antiqua" w:hAnsi="Book Antiqua" w:cs="Arial"/>
        </w:rPr>
        <w:t>’s forest cover from around 9 million hectares (28% of the total land) to 14.3 million hectares (43%) by the year 2010.  Of the five million hectares forest to be established, two million hectares were planned as protection forests and three million hectares as production forests.  The Programme was considered an integral part of the strategy for rural development generally, and forest sector development more specifically (</w:t>
      </w:r>
      <w:r w:rsidR="00C47C3B" w:rsidRPr="005B3882">
        <w:rPr>
          <w:rFonts w:ascii="Book Antiqua" w:hAnsi="Book Antiqua" w:cs="Arial"/>
        </w:rPr>
        <w:fldChar w:fldCharType="begin"/>
      </w:r>
      <w:r w:rsidRPr="005B3882">
        <w:rPr>
          <w:rFonts w:ascii="Book Antiqua" w:hAnsi="Book Antiqua" w:cs="Arial"/>
        </w:rPr>
        <w:instrText xml:space="preserve"> QUOTE "(Ministry of Agriculture and Rural Development (MARD) 2001)" </w:instrText>
      </w:r>
      <w:r w:rsidR="00C47C3B" w:rsidRPr="005B3882">
        <w:rPr>
          <w:rFonts w:ascii="Book Antiqua" w:hAnsi="Book Antiqua" w:cs="Arial"/>
          <w:vanish/>
        </w:rPr>
        <w:fldChar w:fldCharType="begin"/>
      </w:r>
      <w:r w:rsidRPr="005B3882">
        <w:rPr>
          <w:rFonts w:ascii="Book Antiqua" w:hAnsi="Book Antiqua" w:cs="Arial"/>
          <w:vanish/>
        </w:rPr>
        <w:instrText xml:space="preserve"> ADDIN REFMAN ÿ\11\05‘\19\01\00\00\00;(Ministry of Agriculture and Rural Development (MARD) 2001)\00;\00cC:\5CDocuments and Settings\5CAdministrator\5CDesktop\5CUN-REDD study\5COwn documents\5CUN-REDD study reference\03\00\011?Ministry of Agriculture and Rural Development (MARD) 2001 1 /id\00?\00 </w:instrText>
      </w:r>
      <w:r w:rsidR="00C47C3B" w:rsidRPr="005B3882">
        <w:rPr>
          <w:rFonts w:ascii="Book Antiqua" w:hAnsi="Book Antiqua" w:cs="Arial"/>
          <w:vanish/>
        </w:rPr>
        <w:fldChar w:fldCharType="end"/>
      </w:r>
      <w:r w:rsidR="00C47C3B" w:rsidRPr="005B3882">
        <w:rPr>
          <w:rFonts w:ascii="Book Antiqua" w:hAnsi="Book Antiqua" w:cs="Arial"/>
        </w:rPr>
        <w:fldChar w:fldCharType="separate"/>
      </w:r>
      <w:r w:rsidRPr="005B3882">
        <w:rPr>
          <w:rFonts w:ascii="Book Antiqua" w:hAnsi="Book Antiqua" w:cs="Arial"/>
        </w:rPr>
        <w:t>MARD 2001)</w:t>
      </w:r>
      <w:r w:rsidR="00C47C3B" w:rsidRPr="005B3882">
        <w:rPr>
          <w:rFonts w:ascii="Book Antiqua" w:hAnsi="Book Antiqua" w:cs="Arial"/>
        </w:rPr>
        <w:fldChar w:fldCharType="end"/>
      </w:r>
      <w:r w:rsidRPr="005B3882">
        <w:rPr>
          <w:rFonts w:ascii="Book Antiqua" w:hAnsi="Book Antiqua" w:cs="Arial"/>
        </w:rPr>
        <w:t xml:space="preserve">. </w:t>
      </w:r>
    </w:p>
    <w:p w:rsidR="00351F2C" w:rsidRPr="005B3882" w:rsidRDefault="00351F2C" w:rsidP="00A256CB">
      <w:pPr>
        <w:spacing w:after="0"/>
        <w:jc w:val="both"/>
        <w:rPr>
          <w:rFonts w:ascii="Book Antiqua" w:hAnsi="Book Antiqua" w:cs="Arial"/>
        </w:rPr>
      </w:pPr>
    </w:p>
    <w:p w:rsidR="00351F2C" w:rsidRPr="005B3882" w:rsidRDefault="00351F2C" w:rsidP="00A256CB">
      <w:pPr>
        <w:spacing w:after="0"/>
        <w:jc w:val="both"/>
        <w:rPr>
          <w:rFonts w:ascii="Book Antiqua" w:hAnsi="Book Antiqua" w:cs="Arial"/>
        </w:rPr>
      </w:pPr>
      <w:r w:rsidRPr="005B3882">
        <w:rPr>
          <w:rFonts w:ascii="Book Antiqua" w:hAnsi="Book Antiqua" w:cs="Arial"/>
        </w:rPr>
        <w:t xml:space="preserve">The overall </w:t>
      </w:r>
      <w:r w:rsidR="00480D3D">
        <w:rPr>
          <w:rFonts w:ascii="Book Antiqua" w:hAnsi="Book Antiqua" w:cs="Arial"/>
        </w:rPr>
        <w:t>programme</w:t>
      </w:r>
      <w:r w:rsidRPr="005B3882">
        <w:rPr>
          <w:rFonts w:ascii="Book Antiqua" w:hAnsi="Book Antiqua" w:cs="Arial"/>
        </w:rPr>
        <w:t xml:space="preserve"> implementation responsibility lies with MARD. </w:t>
      </w:r>
      <w:r w:rsidR="003A1EA6">
        <w:rPr>
          <w:rFonts w:ascii="Book Antiqua" w:hAnsi="Book Antiqua" w:cs="Arial"/>
        </w:rPr>
        <w:t xml:space="preserve"> The Ministry of Finance (</w:t>
      </w:r>
      <w:r w:rsidRPr="005B3882">
        <w:rPr>
          <w:rFonts w:ascii="Book Antiqua" w:hAnsi="Book Antiqua" w:cs="Arial"/>
        </w:rPr>
        <w:t>MoF</w:t>
      </w:r>
      <w:r w:rsidR="003A1EA6">
        <w:rPr>
          <w:rFonts w:ascii="Book Antiqua" w:hAnsi="Book Antiqua" w:cs="Arial"/>
        </w:rPr>
        <w:t>)</w:t>
      </w:r>
      <w:r w:rsidRPr="005B3882">
        <w:rPr>
          <w:rFonts w:ascii="Book Antiqua" w:hAnsi="Book Antiqua" w:cs="Arial"/>
        </w:rPr>
        <w:t xml:space="preserve"> and </w:t>
      </w:r>
      <w:r w:rsidR="003A1EA6">
        <w:rPr>
          <w:rFonts w:ascii="Book Antiqua" w:hAnsi="Book Antiqua" w:cs="Arial"/>
        </w:rPr>
        <w:t>Ministry of Planning and Investment (</w:t>
      </w:r>
      <w:r w:rsidRPr="005B3882">
        <w:rPr>
          <w:rFonts w:ascii="Book Antiqua" w:hAnsi="Book Antiqua" w:cs="Arial"/>
        </w:rPr>
        <w:t>MPI</w:t>
      </w:r>
      <w:r w:rsidR="003A1EA6">
        <w:rPr>
          <w:rFonts w:ascii="Book Antiqua" w:hAnsi="Book Antiqua" w:cs="Arial"/>
        </w:rPr>
        <w:t>)</w:t>
      </w:r>
      <w:r w:rsidRPr="005B3882">
        <w:rPr>
          <w:rFonts w:ascii="Book Antiqua" w:hAnsi="Book Antiqua" w:cs="Arial"/>
        </w:rPr>
        <w:t xml:space="preserve"> play roles in the process of </w:t>
      </w:r>
      <w:r w:rsidR="00480D3D">
        <w:rPr>
          <w:rFonts w:ascii="Book Antiqua" w:hAnsi="Book Antiqua" w:cs="Arial"/>
        </w:rPr>
        <w:t>programme</w:t>
      </w:r>
      <w:r w:rsidRPr="005B3882">
        <w:rPr>
          <w:rFonts w:ascii="Book Antiqua" w:hAnsi="Book Antiqua" w:cs="Arial"/>
        </w:rPr>
        <w:t xml:space="preserve"> planning and implementation. Provincial level authorities</w:t>
      </w:r>
      <w:r w:rsidR="0074733F">
        <w:rPr>
          <w:rFonts w:ascii="Book Antiqua" w:hAnsi="Book Antiqua" w:cs="Arial"/>
        </w:rPr>
        <w:t xml:space="preserve">, </w:t>
      </w:r>
      <w:r w:rsidRPr="005B3882">
        <w:rPr>
          <w:rFonts w:ascii="Book Antiqua" w:hAnsi="Book Antiqua" w:cs="Arial"/>
        </w:rPr>
        <w:t xml:space="preserve">i.e. </w:t>
      </w:r>
      <w:r w:rsidR="0074733F">
        <w:rPr>
          <w:rFonts w:ascii="Book Antiqua" w:hAnsi="Book Antiqua" w:cs="Arial"/>
        </w:rPr>
        <w:t>Provincial Peoples Committees (</w:t>
      </w:r>
      <w:r w:rsidRPr="005B3882">
        <w:rPr>
          <w:rFonts w:ascii="Book Antiqua" w:hAnsi="Book Antiqua" w:cs="Arial"/>
        </w:rPr>
        <w:t xml:space="preserve">PPCs) are in charge of programme implementation within their provinces (see </w:t>
      </w:r>
      <w:smartTag w:uri="urn:schemas-microsoft-com:office:smarttags" w:element="address">
        <w:smartTag w:uri="urn:schemas-microsoft-com:office:smarttags" w:element="Street">
          <w:r w:rsidRPr="005B3882">
            <w:rPr>
              <w:rFonts w:ascii="Book Antiqua" w:hAnsi="Book Antiqua" w:cs="Arial"/>
            </w:rPr>
            <w:t>Box</w:t>
          </w:r>
        </w:smartTag>
        <w:r w:rsidRPr="005B3882">
          <w:rPr>
            <w:rFonts w:ascii="Book Antiqua" w:hAnsi="Book Antiqua" w:cs="Arial"/>
          </w:rPr>
          <w:t xml:space="preserve"> 2.1</w:t>
        </w:r>
      </w:smartTag>
      <w:r w:rsidRPr="005B3882">
        <w:rPr>
          <w:rFonts w:ascii="Book Antiqua" w:hAnsi="Book Antiqua" w:cs="Arial"/>
        </w:rPr>
        <w:t xml:space="preserve">).  On the basis of established cost norms, the central government calls upon sub-national entities, such as district FPUs and Forestry Companies, to prepare proposals for 661 projects.  The proposals are reviewed by provincial management units and forwarded to the national management board for approval.  Provincial management units expend significant efforts in the process to lobby for the allocation of 661 </w:t>
      </w:r>
      <w:r w:rsidR="00480D3D">
        <w:rPr>
          <w:rFonts w:ascii="Book Antiqua" w:hAnsi="Book Antiqua" w:cs="Arial"/>
        </w:rPr>
        <w:t>Programme</w:t>
      </w:r>
      <w:r w:rsidRPr="005B3882">
        <w:rPr>
          <w:rFonts w:ascii="Book Antiqua" w:hAnsi="Book Antiqua" w:cs="Arial"/>
        </w:rPr>
        <w:t xml:space="preserve"> funds to projects within their jurisdiction.  The ultimate allocation of 661 </w:t>
      </w:r>
      <w:r w:rsidR="00480D3D">
        <w:rPr>
          <w:rFonts w:ascii="Book Antiqua" w:hAnsi="Book Antiqua" w:cs="Arial"/>
        </w:rPr>
        <w:t>Programme</w:t>
      </w:r>
      <w:r w:rsidRPr="005B3882">
        <w:rPr>
          <w:rFonts w:ascii="Book Antiqua" w:hAnsi="Book Antiqua" w:cs="Arial"/>
        </w:rPr>
        <w:t xml:space="preserve"> funds thus reflects as much political factors as technical and economic considerations.</w:t>
      </w:r>
    </w:p>
    <w:p w:rsidR="00351F2C" w:rsidRPr="005B3882" w:rsidRDefault="00351F2C" w:rsidP="00A256CB">
      <w:pPr>
        <w:spacing w:after="0"/>
        <w:jc w:val="both"/>
        <w:rPr>
          <w:rFonts w:ascii="Book Antiqua" w:hAnsi="Book Antiqua" w:cs="Arial"/>
        </w:rPr>
      </w:pPr>
    </w:p>
    <w:p w:rsidR="00351F2C" w:rsidRPr="005B3882" w:rsidRDefault="00351F2C" w:rsidP="00A256CB">
      <w:pPr>
        <w:jc w:val="both"/>
        <w:rPr>
          <w:rFonts w:ascii="Book Antiqua" w:hAnsi="Book Antiqua" w:cs="Arial"/>
        </w:rPr>
      </w:pPr>
      <w:r w:rsidRPr="005B3882">
        <w:rPr>
          <w:rFonts w:ascii="Book Antiqua" w:hAnsi="Book Antiqua" w:cs="Arial"/>
        </w:rPr>
        <w:t xml:space="preserve">After eight years of implementation (1998-2005), the 661 Programme had achieved some important results (see Table 2.1).  These efforts contributed to the increase of forest cover from 33.2% in 1998 to 37% in 2005 nationwide </w:t>
      </w:r>
      <w:r w:rsidR="00C47C3B" w:rsidRPr="005B3882">
        <w:rPr>
          <w:rFonts w:ascii="Book Antiqua" w:hAnsi="Book Antiqua" w:cs="Arial"/>
        </w:rPr>
        <w:fldChar w:fldCharType="begin"/>
      </w:r>
      <w:r w:rsidRPr="005B3882">
        <w:rPr>
          <w:rFonts w:ascii="Book Antiqua" w:hAnsi="Book Antiqua" w:cs="Arial"/>
        </w:rPr>
        <w:instrText xml:space="preserve"> QUOTE "(Government of Vietnam 2006)" </w:instrText>
      </w:r>
      <w:r w:rsidR="00C47C3B" w:rsidRPr="005B3882">
        <w:rPr>
          <w:rFonts w:ascii="Book Antiqua" w:hAnsi="Book Antiqua" w:cs="Arial"/>
          <w:vanish/>
        </w:rPr>
        <w:fldChar w:fldCharType="begin"/>
      </w:r>
      <w:r w:rsidRPr="005B3882">
        <w:rPr>
          <w:rFonts w:ascii="Book Antiqua" w:hAnsi="Book Antiqua" w:cs="Arial"/>
          <w:vanish/>
        </w:rPr>
        <w:instrText xml:space="preserve"> ADDIN REFMAN ÿ\11\05‘\19\01\00\00\00\1C(Government of Vietnam 2006)\00\1C\00cC:\5CDocuments and Settings\5CAdministrator\5CDesktop\5CUN-REDD study\5COwn documents\5CUN-REDD study reference\03\00\012 Government of Vietnam 2006 2 /id\00 \00 </w:instrText>
      </w:r>
      <w:r w:rsidR="00C47C3B" w:rsidRPr="005B3882">
        <w:rPr>
          <w:rFonts w:ascii="Book Antiqua" w:hAnsi="Book Antiqua" w:cs="Arial"/>
          <w:vanish/>
        </w:rPr>
        <w:fldChar w:fldCharType="end"/>
      </w:r>
      <w:r w:rsidR="00C47C3B" w:rsidRPr="005B3882">
        <w:rPr>
          <w:rFonts w:ascii="Book Antiqua" w:hAnsi="Book Antiqua" w:cs="Arial"/>
        </w:rPr>
        <w:fldChar w:fldCharType="separate"/>
      </w:r>
      <w:r w:rsidRPr="005B3882">
        <w:rPr>
          <w:rFonts w:ascii="Book Antiqua" w:hAnsi="Book Antiqua" w:cs="Arial"/>
        </w:rPr>
        <w:t xml:space="preserve">(Government of </w:t>
      </w:r>
      <w:r w:rsidR="00480D3D">
        <w:rPr>
          <w:rFonts w:ascii="Book Antiqua" w:hAnsi="Book Antiqua" w:cs="Arial"/>
        </w:rPr>
        <w:t>Viet Nam</w:t>
      </w:r>
      <w:r w:rsidRPr="005B3882">
        <w:rPr>
          <w:rFonts w:ascii="Book Antiqua" w:hAnsi="Book Antiqua" w:cs="Arial"/>
        </w:rPr>
        <w:t xml:space="preserve"> 2006)</w:t>
      </w:r>
      <w:r w:rsidR="00C47C3B" w:rsidRPr="005B3882">
        <w:rPr>
          <w:rFonts w:ascii="Book Antiqua" w:hAnsi="Book Antiqua" w:cs="Arial"/>
        </w:rPr>
        <w:fldChar w:fldCharType="end"/>
      </w:r>
      <w:r w:rsidRPr="005B3882">
        <w:rPr>
          <w:rFonts w:ascii="Book Antiqua" w:hAnsi="Book Antiqua" w:cs="Arial"/>
        </w:rPr>
        <w:t xml:space="preserve">.  However, performance was uneven; for example, large areas of bare land remained in the Northeast region. Most targets were not achieved except for forest protection and plantation of protection forest, </w:t>
      </w:r>
      <w:r w:rsidR="00C47C3B" w:rsidRPr="005B3882">
        <w:rPr>
          <w:rFonts w:ascii="Book Antiqua" w:hAnsi="Book Antiqua" w:cs="Arial"/>
        </w:rPr>
        <w:fldChar w:fldCharType="begin"/>
      </w:r>
      <w:r w:rsidRPr="005B3882">
        <w:rPr>
          <w:rFonts w:ascii="Book Antiqua" w:hAnsi="Book Antiqua" w:cs="Arial"/>
        </w:rPr>
        <w:instrText xml:space="preserve"> QUOTE "(Standing Committee of National Assembly 2006)" </w:instrText>
      </w:r>
      <w:r w:rsidR="00C47C3B" w:rsidRPr="005B3882">
        <w:rPr>
          <w:rFonts w:ascii="Book Antiqua" w:hAnsi="Book Antiqua" w:cs="Arial"/>
          <w:vanish/>
        </w:rPr>
        <w:fldChar w:fldCharType="begin"/>
      </w:r>
      <w:r w:rsidRPr="005B3882">
        <w:rPr>
          <w:rFonts w:ascii="Book Antiqua" w:hAnsi="Book Antiqua" w:cs="Arial"/>
          <w:vanish/>
        </w:rPr>
        <w:instrText xml:space="preserve"> ADDIN REFMAN ÿ\11\05‘\19\01\00\00\00.(Standing Committee of National Assembly 2006)\00.\00cC:\5CDocuments and Settings\5CAdministrator\5CDesktop\5CUN-REDD study\5COwn documents\5CUN-REDD study reference\03\00\0132Standing Committee of National Assembly 2006 3 /id\002\00 </w:instrText>
      </w:r>
      <w:r w:rsidR="00C47C3B" w:rsidRPr="005B3882">
        <w:rPr>
          <w:rFonts w:ascii="Book Antiqua" w:hAnsi="Book Antiqua" w:cs="Arial"/>
          <w:vanish/>
        </w:rPr>
        <w:fldChar w:fldCharType="end"/>
      </w:r>
      <w:r w:rsidR="00C47C3B" w:rsidRPr="005B3882">
        <w:rPr>
          <w:rFonts w:ascii="Book Antiqua" w:hAnsi="Book Antiqua" w:cs="Arial"/>
        </w:rPr>
        <w:fldChar w:fldCharType="separate"/>
      </w:r>
      <w:r w:rsidRPr="005B3882">
        <w:rPr>
          <w:rFonts w:ascii="Book Antiqua" w:hAnsi="Book Antiqua" w:cs="Arial"/>
        </w:rPr>
        <w:t>(Standing Committee of National Assembly 2006)</w:t>
      </w:r>
      <w:r w:rsidR="00C47C3B" w:rsidRPr="005B3882">
        <w:rPr>
          <w:rFonts w:ascii="Book Antiqua" w:hAnsi="Book Antiqua" w:cs="Arial"/>
        </w:rPr>
        <w:fldChar w:fldCharType="end"/>
      </w:r>
      <w:r w:rsidRPr="005B3882">
        <w:rPr>
          <w:rFonts w:ascii="Book Antiqua" w:hAnsi="Book Antiqua" w:cs="Arial"/>
        </w:rPr>
        <w:t xml:space="preserve">. </w:t>
      </w:r>
    </w:p>
    <w:p w:rsidR="00351F2C" w:rsidRPr="005B3882" w:rsidRDefault="00351F2C" w:rsidP="00AD2B5E">
      <w:pPr>
        <w:pStyle w:val="Caption"/>
        <w:keepNext/>
        <w:spacing w:before="120" w:after="0"/>
        <w:jc w:val="center"/>
        <w:rPr>
          <w:rFonts w:ascii="Book Antiqua" w:hAnsi="Book Antiqua" w:cs="Arial"/>
          <w:sz w:val="22"/>
          <w:szCs w:val="22"/>
          <w:u w:val="single"/>
        </w:rPr>
      </w:pPr>
      <w:bookmarkStart w:id="55" w:name="_Ref243628640"/>
      <w:bookmarkStart w:id="56" w:name="_Toc243930081"/>
      <w:r w:rsidRPr="005B3882">
        <w:rPr>
          <w:rFonts w:ascii="Book Antiqua" w:hAnsi="Book Antiqua" w:cs="Arial"/>
          <w:sz w:val="22"/>
          <w:szCs w:val="22"/>
        </w:rPr>
        <w:t xml:space="preserve">Table </w:t>
      </w:r>
      <w:bookmarkEnd w:id="55"/>
      <w:r w:rsidRPr="005B3882">
        <w:rPr>
          <w:rFonts w:ascii="Book Antiqua" w:hAnsi="Book Antiqua" w:cs="Arial"/>
          <w:sz w:val="22"/>
          <w:szCs w:val="22"/>
        </w:rPr>
        <w:t>2.1: Plan and achievements of the 661 Programme between 1998 and 2005</w:t>
      </w:r>
      <w:bookmarkEnd w:id="56"/>
    </w:p>
    <w:tbl>
      <w:tblPr>
        <w:tblW w:w="8640" w:type="dxa"/>
        <w:tblInd w:w="3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3330"/>
        <w:gridCol w:w="1170"/>
        <w:gridCol w:w="1350"/>
        <w:gridCol w:w="1440"/>
        <w:gridCol w:w="1350"/>
      </w:tblGrid>
      <w:tr w:rsidR="00351F2C" w:rsidRPr="005B3882">
        <w:trPr>
          <w:trHeight w:val="662"/>
        </w:trPr>
        <w:tc>
          <w:tcPr>
            <w:tcW w:w="3330" w:type="dxa"/>
            <w:shd w:val="clear" w:color="auto" w:fill="95B3D7"/>
            <w:vAlign w:val="center"/>
          </w:tcPr>
          <w:p w:rsidR="00351F2C" w:rsidRPr="005B3882" w:rsidRDefault="00351F2C" w:rsidP="00A256CB">
            <w:pPr>
              <w:pStyle w:val="BodyText"/>
              <w:spacing w:before="60" w:after="60"/>
              <w:rPr>
                <w:rFonts w:ascii="Book Antiqua" w:hAnsi="Book Antiqua" w:cs="Arial"/>
                <w:bCs w:val="0"/>
                <w:sz w:val="22"/>
                <w:szCs w:val="22"/>
              </w:rPr>
            </w:pPr>
            <w:r w:rsidRPr="005B3882">
              <w:rPr>
                <w:rFonts w:ascii="Book Antiqua" w:hAnsi="Book Antiqua" w:cs="Arial"/>
                <w:bCs w:val="0"/>
                <w:sz w:val="22"/>
                <w:szCs w:val="22"/>
              </w:rPr>
              <w:t>Items</w:t>
            </w:r>
          </w:p>
        </w:tc>
        <w:tc>
          <w:tcPr>
            <w:tcW w:w="1170" w:type="dxa"/>
            <w:shd w:val="clear" w:color="auto" w:fill="95B3D7"/>
            <w:vAlign w:val="center"/>
          </w:tcPr>
          <w:p w:rsidR="00351F2C" w:rsidRPr="005B3882" w:rsidRDefault="00351F2C" w:rsidP="00A256CB">
            <w:pPr>
              <w:pStyle w:val="BodyText"/>
              <w:spacing w:before="60" w:after="60"/>
              <w:rPr>
                <w:rFonts w:ascii="Book Antiqua" w:hAnsi="Book Antiqua" w:cs="Arial"/>
                <w:bCs w:val="0"/>
                <w:sz w:val="22"/>
                <w:szCs w:val="22"/>
              </w:rPr>
            </w:pPr>
            <w:r w:rsidRPr="005B3882">
              <w:rPr>
                <w:rFonts w:ascii="Book Antiqua" w:hAnsi="Book Antiqua" w:cs="Arial"/>
                <w:bCs w:val="0"/>
                <w:sz w:val="22"/>
                <w:szCs w:val="22"/>
              </w:rPr>
              <w:t>Unit</w:t>
            </w:r>
          </w:p>
        </w:tc>
        <w:tc>
          <w:tcPr>
            <w:tcW w:w="1350" w:type="dxa"/>
            <w:shd w:val="clear" w:color="auto" w:fill="95B3D7"/>
            <w:vAlign w:val="center"/>
          </w:tcPr>
          <w:p w:rsidR="00351F2C" w:rsidRPr="005B3882" w:rsidRDefault="00351F2C" w:rsidP="00A256CB">
            <w:pPr>
              <w:pStyle w:val="BodyText"/>
              <w:spacing w:before="60" w:after="60"/>
              <w:rPr>
                <w:rFonts w:ascii="Book Antiqua" w:hAnsi="Book Antiqua" w:cs="Arial"/>
                <w:bCs w:val="0"/>
                <w:sz w:val="22"/>
                <w:szCs w:val="22"/>
              </w:rPr>
            </w:pPr>
            <w:r w:rsidRPr="005B3882">
              <w:rPr>
                <w:rFonts w:ascii="Book Antiqua" w:hAnsi="Book Antiqua" w:cs="Arial"/>
                <w:bCs w:val="0"/>
                <w:sz w:val="22"/>
                <w:szCs w:val="22"/>
              </w:rPr>
              <w:t>Targets till 2010</w:t>
            </w:r>
          </w:p>
        </w:tc>
        <w:tc>
          <w:tcPr>
            <w:tcW w:w="1440" w:type="dxa"/>
            <w:shd w:val="clear" w:color="auto" w:fill="95B3D7"/>
            <w:vAlign w:val="center"/>
          </w:tcPr>
          <w:p w:rsidR="00351F2C" w:rsidRPr="005B3882" w:rsidRDefault="00351F2C" w:rsidP="00A256CB">
            <w:pPr>
              <w:pStyle w:val="BodyText"/>
              <w:spacing w:before="60" w:after="60"/>
              <w:rPr>
                <w:rFonts w:ascii="Book Antiqua" w:hAnsi="Book Antiqua" w:cs="Arial"/>
                <w:bCs w:val="0"/>
                <w:sz w:val="22"/>
                <w:szCs w:val="22"/>
              </w:rPr>
            </w:pPr>
            <w:r w:rsidRPr="005B3882">
              <w:rPr>
                <w:rFonts w:ascii="Book Antiqua" w:hAnsi="Book Antiqua" w:cs="Arial"/>
                <w:bCs w:val="0"/>
                <w:sz w:val="22"/>
                <w:szCs w:val="22"/>
              </w:rPr>
              <w:t>Planned for 1998–2005</w:t>
            </w:r>
          </w:p>
        </w:tc>
        <w:tc>
          <w:tcPr>
            <w:tcW w:w="1350" w:type="dxa"/>
            <w:shd w:val="clear" w:color="auto" w:fill="95B3D7"/>
            <w:vAlign w:val="center"/>
          </w:tcPr>
          <w:p w:rsidR="00351F2C" w:rsidRPr="005B3882" w:rsidRDefault="00351F2C" w:rsidP="00A256CB">
            <w:pPr>
              <w:pStyle w:val="BodyText"/>
              <w:spacing w:before="60" w:after="60"/>
              <w:rPr>
                <w:rFonts w:ascii="Book Antiqua" w:hAnsi="Book Antiqua" w:cs="Arial"/>
                <w:bCs w:val="0"/>
                <w:sz w:val="22"/>
                <w:szCs w:val="22"/>
              </w:rPr>
            </w:pPr>
            <w:r w:rsidRPr="005B3882">
              <w:rPr>
                <w:rFonts w:ascii="Book Antiqua" w:hAnsi="Book Antiqua" w:cs="Arial"/>
                <w:bCs w:val="0"/>
                <w:sz w:val="22"/>
                <w:szCs w:val="22"/>
              </w:rPr>
              <w:t>Actual</w:t>
            </w:r>
          </w:p>
          <w:p w:rsidR="00351F2C" w:rsidRPr="005B3882" w:rsidRDefault="00351F2C" w:rsidP="00A256CB">
            <w:pPr>
              <w:pStyle w:val="BodyText"/>
              <w:spacing w:before="60" w:after="60"/>
              <w:rPr>
                <w:rFonts w:ascii="Book Antiqua" w:hAnsi="Book Antiqua" w:cs="Arial"/>
                <w:bCs w:val="0"/>
                <w:sz w:val="22"/>
                <w:szCs w:val="22"/>
              </w:rPr>
            </w:pPr>
            <w:r w:rsidRPr="005B3882">
              <w:rPr>
                <w:rFonts w:ascii="Book Antiqua" w:hAnsi="Book Antiqua" w:cs="Arial"/>
                <w:bCs w:val="0"/>
                <w:sz w:val="22"/>
                <w:szCs w:val="22"/>
              </w:rPr>
              <w:t>1998-2005</w:t>
            </w:r>
          </w:p>
        </w:tc>
      </w:tr>
      <w:tr w:rsidR="00351F2C" w:rsidRPr="005B3882">
        <w:trPr>
          <w:trHeight w:val="227"/>
        </w:trPr>
        <w:tc>
          <w:tcPr>
            <w:tcW w:w="3330" w:type="dxa"/>
            <w:shd w:val="clear" w:color="auto" w:fill="DBE5F1"/>
            <w:vAlign w:val="center"/>
          </w:tcPr>
          <w:p w:rsidR="00351F2C" w:rsidRPr="005B3882" w:rsidRDefault="00351F2C" w:rsidP="00B641CE">
            <w:pPr>
              <w:pStyle w:val="BodyText"/>
              <w:spacing w:before="60" w:after="60"/>
              <w:jc w:val="left"/>
              <w:rPr>
                <w:rFonts w:ascii="Book Antiqua" w:hAnsi="Book Antiqua" w:cs="Arial"/>
                <w:b w:val="0"/>
                <w:bCs w:val="0"/>
                <w:i/>
                <w:sz w:val="20"/>
              </w:rPr>
            </w:pPr>
            <w:smartTag w:uri="urn:schemas-microsoft-com:office:smarttags" w:element="place">
              <w:r w:rsidRPr="005B3882">
                <w:rPr>
                  <w:rFonts w:ascii="Book Antiqua" w:hAnsi="Book Antiqua" w:cs="Arial"/>
                  <w:b w:val="0"/>
                  <w:bCs w:val="0"/>
                  <w:i/>
                  <w:sz w:val="20"/>
                </w:rPr>
                <w:t>Forest</w:t>
              </w:r>
            </w:smartTag>
            <w:r w:rsidRPr="005B3882">
              <w:rPr>
                <w:rFonts w:ascii="Book Antiqua" w:hAnsi="Book Antiqua" w:cs="Arial"/>
                <w:b w:val="0"/>
                <w:bCs w:val="0"/>
                <w:i/>
                <w:sz w:val="20"/>
              </w:rPr>
              <w:t xml:space="preserve"> protection through contract</w:t>
            </w:r>
          </w:p>
        </w:tc>
        <w:tc>
          <w:tcPr>
            <w:tcW w:w="1170" w:type="dxa"/>
            <w:shd w:val="clear" w:color="auto" w:fill="DBE5F1"/>
          </w:tcPr>
          <w:p w:rsidR="00351F2C" w:rsidRPr="005B3882" w:rsidRDefault="005B3882" w:rsidP="00A256CB">
            <w:pPr>
              <w:pStyle w:val="BodyText"/>
              <w:spacing w:before="60" w:after="60"/>
              <w:rPr>
                <w:rFonts w:ascii="Book Antiqua" w:hAnsi="Book Antiqua" w:cs="Arial"/>
                <w:b w:val="0"/>
                <w:bCs w:val="0"/>
                <w:sz w:val="20"/>
              </w:rPr>
            </w:pPr>
            <w:r>
              <w:rPr>
                <w:rFonts w:ascii="Book Antiqua" w:hAnsi="Book Antiqua" w:cs="Arial"/>
                <w:b w:val="0"/>
                <w:bCs w:val="0"/>
                <w:sz w:val="20"/>
              </w:rPr>
              <w:t>h</w:t>
            </w:r>
            <w:r w:rsidR="00351F2C" w:rsidRPr="005B3882">
              <w:rPr>
                <w:rFonts w:ascii="Book Antiqua" w:hAnsi="Book Antiqua" w:cs="Arial"/>
                <w:b w:val="0"/>
                <w:bCs w:val="0"/>
                <w:sz w:val="20"/>
              </w:rPr>
              <w:t>a</w:t>
            </w: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sz w:val="20"/>
              </w:rPr>
            </w:pPr>
            <w:r w:rsidRPr="005B3882">
              <w:rPr>
                <w:rFonts w:ascii="Book Antiqua" w:hAnsi="Book Antiqua" w:cs="Arial"/>
                <w:b w:val="0"/>
                <w:bCs w:val="0"/>
                <w:sz w:val="20"/>
              </w:rPr>
              <w:t>2,000,000</w:t>
            </w:r>
          </w:p>
        </w:tc>
        <w:tc>
          <w:tcPr>
            <w:tcW w:w="144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sz w:val="20"/>
              </w:rPr>
            </w:pPr>
            <w:r w:rsidRPr="005B3882">
              <w:rPr>
                <w:rFonts w:ascii="Book Antiqua" w:hAnsi="Book Antiqua" w:cs="Arial"/>
                <w:b w:val="0"/>
                <w:bCs w:val="0"/>
                <w:sz w:val="20"/>
              </w:rPr>
              <w:t>2,000,000</w:t>
            </w: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sz w:val="20"/>
              </w:rPr>
            </w:pPr>
            <w:r w:rsidRPr="005B3882">
              <w:rPr>
                <w:rFonts w:ascii="Book Antiqua" w:hAnsi="Book Antiqua" w:cs="Arial"/>
                <w:b w:val="0"/>
                <w:bCs w:val="0"/>
                <w:sz w:val="20"/>
              </w:rPr>
              <w:t>2,416,412</w:t>
            </w:r>
          </w:p>
        </w:tc>
      </w:tr>
      <w:tr w:rsidR="00351F2C" w:rsidRPr="005B3882">
        <w:trPr>
          <w:trHeight w:val="227"/>
        </w:trPr>
        <w:tc>
          <w:tcPr>
            <w:tcW w:w="3330" w:type="dxa"/>
            <w:shd w:val="clear" w:color="auto" w:fill="DBE5F1"/>
            <w:vAlign w:val="center"/>
          </w:tcPr>
          <w:p w:rsidR="00351F2C" w:rsidRPr="005B3882" w:rsidRDefault="00351F2C" w:rsidP="00B641CE">
            <w:pPr>
              <w:pStyle w:val="BodyText"/>
              <w:spacing w:before="60" w:after="60"/>
              <w:jc w:val="left"/>
              <w:rPr>
                <w:rFonts w:ascii="Book Antiqua" w:hAnsi="Book Antiqua" w:cs="Arial"/>
                <w:b w:val="0"/>
                <w:bCs w:val="0"/>
                <w:i/>
                <w:sz w:val="20"/>
              </w:rPr>
            </w:pPr>
            <w:r w:rsidRPr="005B3882">
              <w:rPr>
                <w:rFonts w:ascii="Book Antiqua" w:hAnsi="Book Antiqua" w:cs="Arial"/>
                <w:b w:val="0"/>
                <w:bCs w:val="0"/>
                <w:i/>
                <w:sz w:val="20"/>
              </w:rPr>
              <w:t>Regeneration through restoration</w:t>
            </w:r>
          </w:p>
        </w:tc>
        <w:tc>
          <w:tcPr>
            <w:tcW w:w="1170" w:type="dxa"/>
            <w:shd w:val="clear" w:color="auto" w:fill="DBE5F1"/>
          </w:tcPr>
          <w:p w:rsidR="00351F2C" w:rsidRPr="005B3882" w:rsidRDefault="005B3882" w:rsidP="00A256CB">
            <w:pPr>
              <w:pStyle w:val="BodyText"/>
              <w:spacing w:before="60" w:after="60"/>
              <w:rPr>
                <w:rFonts w:ascii="Book Antiqua" w:hAnsi="Book Antiqua" w:cs="Arial"/>
                <w:b w:val="0"/>
                <w:bCs w:val="0"/>
                <w:iCs/>
                <w:sz w:val="20"/>
              </w:rPr>
            </w:pPr>
            <w:r>
              <w:rPr>
                <w:rFonts w:ascii="Book Antiqua" w:hAnsi="Book Antiqua" w:cs="Arial"/>
                <w:b w:val="0"/>
                <w:bCs w:val="0"/>
                <w:iCs/>
                <w:sz w:val="20"/>
              </w:rPr>
              <w:t>h</w:t>
            </w:r>
            <w:r w:rsidR="00351F2C" w:rsidRPr="005B3882">
              <w:rPr>
                <w:rFonts w:ascii="Book Antiqua" w:hAnsi="Book Antiqua" w:cs="Arial"/>
                <w:b w:val="0"/>
                <w:bCs w:val="0"/>
                <w:iCs/>
                <w:sz w:val="20"/>
              </w:rPr>
              <w:t>a</w:t>
            </w: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iCs/>
                <w:sz w:val="20"/>
              </w:rPr>
            </w:pPr>
            <w:r w:rsidRPr="005B3882">
              <w:rPr>
                <w:rFonts w:ascii="Book Antiqua" w:hAnsi="Book Antiqua" w:cs="Arial"/>
                <w:b w:val="0"/>
                <w:bCs w:val="0"/>
                <w:iCs/>
                <w:sz w:val="20"/>
              </w:rPr>
              <w:t>1,000,000</w:t>
            </w:r>
          </w:p>
        </w:tc>
        <w:tc>
          <w:tcPr>
            <w:tcW w:w="144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iCs/>
                <w:sz w:val="20"/>
              </w:rPr>
            </w:pPr>
            <w:r w:rsidRPr="005B3882">
              <w:rPr>
                <w:rFonts w:ascii="Book Antiqua" w:hAnsi="Book Antiqua" w:cs="Arial"/>
                <w:b w:val="0"/>
                <w:bCs w:val="0"/>
                <w:iCs/>
                <w:sz w:val="20"/>
              </w:rPr>
              <w:t>1,000,000</w:t>
            </w: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sz w:val="20"/>
              </w:rPr>
            </w:pPr>
            <w:r w:rsidRPr="005B3882">
              <w:rPr>
                <w:rFonts w:ascii="Book Antiqua" w:hAnsi="Book Antiqua" w:cs="Arial"/>
                <w:b w:val="0"/>
                <w:bCs w:val="0"/>
                <w:sz w:val="20"/>
              </w:rPr>
              <w:t>763,582</w:t>
            </w:r>
          </w:p>
        </w:tc>
      </w:tr>
      <w:tr w:rsidR="00351F2C" w:rsidRPr="005B3882">
        <w:trPr>
          <w:trHeight w:val="227"/>
        </w:trPr>
        <w:tc>
          <w:tcPr>
            <w:tcW w:w="3330" w:type="dxa"/>
            <w:shd w:val="clear" w:color="auto" w:fill="DBE5F1"/>
            <w:vAlign w:val="center"/>
          </w:tcPr>
          <w:p w:rsidR="00351F2C" w:rsidRPr="005B3882" w:rsidRDefault="00351F2C" w:rsidP="00B641CE">
            <w:pPr>
              <w:pStyle w:val="BodyText"/>
              <w:spacing w:before="60" w:after="60"/>
              <w:jc w:val="left"/>
              <w:rPr>
                <w:rFonts w:ascii="Book Antiqua" w:hAnsi="Book Antiqua" w:cs="Arial"/>
                <w:b w:val="0"/>
                <w:bCs w:val="0"/>
                <w:i/>
                <w:sz w:val="20"/>
              </w:rPr>
            </w:pPr>
            <w:smartTag w:uri="urn:schemas-microsoft-com:office:smarttags" w:element="place">
              <w:r w:rsidRPr="005B3882">
                <w:rPr>
                  <w:rFonts w:ascii="Book Antiqua" w:hAnsi="Book Antiqua" w:cs="Arial"/>
                  <w:b w:val="0"/>
                  <w:bCs w:val="0"/>
                  <w:i/>
                  <w:sz w:val="20"/>
                </w:rPr>
                <w:t>Forest</w:t>
              </w:r>
            </w:smartTag>
            <w:r w:rsidRPr="005B3882">
              <w:rPr>
                <w:rFonts w:ascii="Book Antiqua" w:hAnsi="Book Antiqua" w:cs="Arial"/>
                <w:b w:val="0"/>
                <w:bCs w:val="0"/>
                <w:i/>
                <w:sz w:val="20"/>
              </w:rPr>
              <w:t xml:space="preserve"> plantation:</w:t>
            </w:r>
          </w:p>
        </w:tc>
        <w:tc>
          <w:tcPr>
            <w:tcW w:w="1170" w:type="dxa"/>
            <w:shd w:val="clear" w:color="auto" w:fill="DBE5F1"/>
          </w:tcPr>
          <w:p w:rsidR="00351F2C" w:rsidRPr="005B3882" w:rsidRDefault="005B3882" w:rsidP="00A256CB">
            <w:pPr>
              <w:pStyle w:val="BodyText"/>
              <w:spacing w:before="60" w:after="60"/>
              <w:rPr>
                <w:rFonts w:ascii="Book Antiqua" w:hAnsi="Book Antiqua" w:cs="Arial"/>
                <w:b w:val="0"/>
                <w:bCs w:val="0"/>
                <w:sz w:val="20"/>
              </w:rPr>
            </w:pPr>
            <w:r>
              <w:rPr>
                <w:rFonts w:ascii="Book Antiqua" w:hAnsi="Book Antiqua" w:cs="Arial"/>
                <w:b w:val="0"/>
                <w:bCs w:val="0"/>
                <w:sz w:val="20"/>
              </w:rPr>
              <w:t>h</w:t>
            </w:r>
            <w:r w:rsidR="00351F2C" w:rsidRPr="005B3882">
              <w:rPr>
                <w:rFonts w:ascii="Book Antiqua" w:hAnsi="Book Antiqua" w:cs="Arial"/>
                <w:b w:val="0"/>
                <w:bCs w:val="0"/>
                <w:sz w:val="20"/>
              </w:rPr>
              <w:t>a</w:t>
            </w: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sz w:val="20"/>
              </w:rPr>
            </w:pPr>
            <w:r w:rsidRPr="005B3882">
              <w:rPr>
                <w:rFonts w:ascii="Book Antiqua" w:hAnsi="Book Antiqua" w:cs="Arial"/>
                <w:b w:val="0"/>
                <w:bCs w:val="0"/>
                <w:sz w:val="20"/>
              </w:rPr>
              <w:t>3,000,000</w:t>
            </w:r>
          </w:p>
        </w:tc>
        <w:tc>
          <w:tcPr>
            <w:tcW w:w="144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sz w:val="20"/>
              </w:rPr>
            </w:pPr>
            <w:r w:rsidRPr="005B3882">
              <w:rPr>
                <w:rFonts w:ascii="Book Antiqua" w:hAnsi="Book Antiqua" w:cs="Arial"/>
                <w:b w:val="0"/>
                <w:bCs w:val="0"/>
                <w:sz w:val="20"/>
              </w:rPr>
              <w:t>2,000,000</w:t>
            </w: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sz w:val="20"/>
              </w:rPr>
            </w:pPr>
            <w:r w:rsidRPr="005B3882">
              <w:rPr>
                <w:rFonts w:ascii="Book Antiqua" w:hAnsi="Book Antiqua" w:cs="Arial"/>
                <w:b w:val="0"/>
                <w:bCs w:val="0"/>
                <w:sz w:val="20"/>
              </w:rPr>
              <w:t>1,424,135</w:t>
            </w:r>
          </w:p>
        </w:tc>
      </w:tr>
      <w:tr w:rsidR="00351F2C" w:rsidRPr="005B3882">
        <w:trPr>
          <w:trHeight w:val="227"/>
        </w:trPr>
        <w:tc>
          <w:tcPr>
            <w:tcW w:w="3330" w:type="dxa"/>
            <w:shd w:val="clear" w:color="auto" w:fill="DBE5F1"/>
            <w:vAlign w:val="center"/>
          </w:tcPr>
          <w:p w:rsidR="00351F2C" w:rsidRPr="005B3882" w:rsidRDefault="00351F2C" w:rsidP="003E3CBA">
            <w:pPr>
              <w:pStyle w:val="BodyText"/>
              <w:numPr>
                <w:ilvl w:val="0"/>
                <w:numId w:val="12"/>
              </w:numPr>
              <w:overflowPunct/>
              <w:autoSpaceDE/>
              <w:autoSpaceDN/>
              <w:adjustRightInd/>
              <w:spacing w:before="60" w:after="60"/>
              <w:jc w:val="left"/>
              <w:textAlignment w:val="auto"/>
              <w:rPr>
                <w:rFonts w:ascii="Book Antiqua" w:hAnsi="Book Antiqua" w:cs="Arial"/>
                <w:b w:val="0"/>
                <w:bCs w:val="0"/>
                <w:i/>
                <w:sz w:val="20"/>
              </w:rPr>
            </w:pPr>
            <w:r w:rsidRPr="005B3882">
              <w:rPr>
                <w:rFonts w:ascii="Book Antiqua" w:hAnsi="Book Antiqua" w:cs="Arial"/>
                <w:b w:val="0"/>
                <w:bCs w:val="0"/>
                <w:i/>
                <w:sz w:val="20"/>
              </w:rPr>
              <w:t>Protection &amp; special use forest</w:t>
            </w:r>
          </w:p>
        </w:tc>
        <w:tc>
          <w:tcPr>
            <w:tcW w:w="1170" w:type="dxa"/>
            <w:shd w:val="clear" w:color="auto" w:fill="DBE5F1"/>
          </w:tcPr>
          <w:p w:rsidR="00351F2C" w:rsidRPr="005B3882" w:rsidRDefault="005B3882" w:rsidP="00A256CB">
            <w:pPr>
              <w:pStyle w:val="BodyText"/>
              <w:spacing w:before="60" w:after="60"/>
              <w:rPr>
                <w:rFonts w:ascii="Book Antiqua" w:hAnsi="Book Antiqua" w:cs="Arial"/>
                <w:b w:val="0"/>
                <w:bCs w:val="0"/>
                <w:sz w:val="20"/>
              </w:rPr>
            </w:pPr>
            <w:r>
              <w:rPr>
                <w:rFonts w:ascii="Book Antiqua" w:hAnsi="Book Antiqua" w:cs="Arial"/>
                <w:b w:val="0"/>
                <w:bCs w:val="0"/>
                <w:sz w:val="20"/>
              </w:rPr>
              <w:t>h</w:t>
            </w:r>
            <w:r w:rsidR="00351F2C" w:rsidRPr="005B3882">
              <w:rPr>
                <w:rFonts w:ascii="Book Antiqua" w:hAnsi="Book Antiqua" w:cs="Arial"/>
                <w:b w:val="0"/>
                <w:bCs w:val="0"/>
                <w:sz w:val="20"/>
              </w:rPr>
              <w:t>a</w:t>
            </w: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sz w:val="20"/>
              </w:rPr>
            </w:pPr>
            <w:r w:rsidRPr="005B3882">
              <w:rPr>
                <w:rFonts w:ascii="Book Antiqua" w:hAnsi="Book Antiqua" w:cs="Arial"/>
                <w:b w:val="0"/>
                <w:bCs w:val="0"/>
                <w:sz w:val="20"/>
              </w:rPr>
              <w:t>1,000,000</w:t>
            </w:r>
          </w:p>
        </w:tc>
        <w:tc>
          <w:tcPr>
            <w:tcW w:w="144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sz w:val="20"/>
              </w:rPr>
            </w:pPr>
            <w:r w:rsidRPr="005B3882">
              <w:rPr>
                <w:rFonts w:ascii="Book Antiqua" w:hAnsi="Book Antiqua" w:cs="Arial"/>
                <w:b w:val="0"/>
                <w:bCs w:val="0"/>
                <w:sz w:val="20"/>
              </w:rPr>
              <w:t>610,000</w:t>
            </w: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sz w:val="20"/>
              </w:rPr>
            </w:pPr>
            <w:r w:rsidRPr="005B3882">
              <w:rPr>
                <w:rFonts w:ascii="Book Antiqua" w:hAnsi="Book Antiqua" w:cs="Arial"/>
                <w:b w:val="0"/>
                <w:bCs w:val="0"/>
                <w:sz w:val="20"/>
              </w:rPr>
              <w:t>644,812</w:t>
            </w:r>
          </w:p>
        </w:tc>
      </w:tr>
      <w:tr w:rsidR="00351F2C" w:rsidRPr="005B3882">
        <w:trPr>
          <w:trHeight w:val="227"/>
        </w:trPr>
        <w:tc>
          <w:tcPr>
            <w:tcW w:w="3330" w:type="dxa"/>
            <w:shd w:val="clear" w:color="auto" w:fill="DBE5F1"/>
            <w:vAlign w:val="center"/>
          </w:tcPr>
          <w:p w:rsidR="00351F2C" w:rsidRPr="005B3882" w:rsidRDefault="00351F2C" w:rsidP="003E3CBA">
            <w:pPr>
              <w:pStyle w:val="BodyText"/>
              <w:numPr>
                <w:ilvl w:val="0"/>
                <w:numId w:val="12"/>
              </w:numPr>
              <w:overflowPunct/>
              <w:autoSpaceDE/>
              <w:autoSpaceDN/>
              <w:adjustRightInd/>
              <w:spacing w:before="60" w:after="60"/>
              <w:jc w:val="both"/>
              <w:textAlignment w:val="auto"/>
              <w:rPr>
                <w:rFonts w:ascii="Book Antiqua" w:hAnsi="Book Antiqua" w:cs="Arial"/>
                <w:b w:val="0"/>
                <w:bCs w:val="0"/>
                <w:i/>
                <w:sz w:val="20"/>
              </w:rPr>
            </w:pPr>
            <w:r w:rsidRPr="005B3882">
              <w:rPr>
                <w:rFonts w:ascii="Book Antiqua" w:hAnsi="Book Antiqua" w:cs="Arial"/>
                <w:b w:val="0"/>
                <w:bCs w:val="0"/>
                <w:i/>
                <w:sz w:val="20"/>
              </w:rPr>
              <w:t xml:space="preserve">Production forest </w:t>
            </w:r>
          </w:p>
        </w:tc>
        <w:tc>
          <w:tcPr>
            <w:tcW w:w="1170" w:type="dxa"/>
            <w:shd w:val="clear" w:color="auto" w:fill="DBE5F1"/>
          </w:tcPr>
          <w:p w:rsidR="00351F2C" w:rsidRPr="005B3882" w:rsidRDefault="005B3882" w:rsidP="00A256CB">
            <w:pPr>
              <w:pStyle w:val="BodyText"/>
              <w:spacing w:before="60" w:after="60"/>
              <w:rPr>
                <w:rFonts w:ascii="Book Antiqua" w:hAnsi="Book Antiqua" w:cs="Arial"/>
                <w:b w:val="0"/>
                <w:bCs w:val="0"/>
                <w:iCs/>
                <w:sz w:val="20"/>
              </w:rPr>
            </w:pPr>
            <w:r>
              <w:rPr>
                <w:rFonts w:ascii="Book Antiqua" w:hAnsi="Book Antiqua" w:cs="Arial"/>
                <w:b w:val="0"/>
                <w:bCs w:val="0"/>
                <w:iCs/>
                <w:sz w:val="20"/>
              </w:rPr>
              <w:t>h</w:t>
            </w:r>
            <w:r w:rsidR="00351F2C" w:rsidRPr="005B3882">
              <w:rPr>
                <w:rFonts w:ascii="Book Antiqua" w:hAnsi="Book Antiqua" w:cs="Arial"/>
                <w:b w:val="0"/>
                <w:bCs w:val="0"/>
                <w:iCs/>
                <w:sz w:val="20"/>
              </w:rPr>
              <w:t>a</w:t>
            </w: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iCs/>
                <w:sz w:val="20"/>
              </w:rPr>
            </w:pPr>
            <w:r w:rsidRPr="005B3882">
              <w:rPr>
                <w:rFonts w:ascii="Book Antiqua" w:hAnsi="Book Antiqua" w:cs="Arial"/>
                <w:b w:val="0"/>
                <w:bCs w:val="0"/>
                <w:iCs/>
                <w:sz w:val="20"/>
              </w:rPr>
              <w:t>2,000,000</w:t>
            </w:r>
          </w:p>
        </w:tc>
        <w:tc>
          <w:tcPr>
            <w:tcW w:w="144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iCs/>
                <w:sz w:val="20"/>
              </w:rPr>
            </w:pPr>
            <w:r w:rsidRPr="005B3882">
              <w:rPr>
                <w:rFonts w:ascii="Book Antiqua" w:hAnsi="Book Antiqua" w:cs="Arial"/>
                <w:b w:val="0"/>
                <w:bCs w:val="0"/>
                <w:iCs/>
                <w:sz w:val="20"/>
              </w:rPr>
              <w:t>1,390,000</w:t>
            </w: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iCs/>
                <w:sz w:val="20"/>
              </w:rPr>
            </w:pPr>
            <w:r w:rsidRPr="005B3882">
              <w:rPr>
                <w:rFonts w:ascii="Book Antiqua" w:hAnsi="Book Antiqua" w:cs="Arial"/>
                <w:b w:val="0"/>
                <w:bCs w:val="0"/>
                <w:iCs/>
                <w:sz w:val="20"/>
              </w:rPr>
              <w:t>664,556</w:t>
            </w:r>
          </w:p>
        </w:tc>
      </w:tr>
      <w:tr w:rsidR="00351F2C" w:rsidRPr="005B3882">
        <w:trPr>
          <w:trHeight w:val="227"/>
        </w:trPr>
        <w:tc>
          <w:tcPr>
            <w:tcW w:w="3330" w:type="dxa"/>
            <w:shd w:val="clear" w:color="auto" w:fill="DBE5F1"/>
            <w:vAlign w:val="center"/>
          </w:tcPr>
          <w:p w:rsidR="00351F2C" w:rsidRPr="005B3882" w:rsidRDefault="00351F2C" w:rsidP="00A256CB">
            <w:pPr>
              <w:pStyle w:val="BodyText"/>
              <w:spacing w:before="60" w:after="60"/>
              <w:jc w:val="left"/>
              <w:rPr>
                <w:rFonts w:ascii="Book Antiqua" w:hAnsi="Book Antiqua" w:cs="Arial"/>
                <w:b w:val="0"/>
                <w:bCs w:val="0"/>
                <w:i/>
                <w:iCs/>
                <w:sz w:val="20"/>
              </w:rPr>
            </w:pPr>
            <w:r w:rsidRPr="005B3882">
              <w:rPr>
                <w:rFonts w:ascii="Book Antiqua" w:hAnsi="Book Antiqua" w:cs="Arial"/>
                <w:b w:val="0"/>
                <w:bCs w:val="0"/>
                <w:i/>
                <w:iCs/>
                <w:sz w:val="20"/>
              </w:rPr>
              <w:t>Cash crops and fruit trees</w:t>
            </w:r>
          </w:p>
        </w:tc>
        <w:tc>
          <w:tcPr>
            <w:tcW w:w="1170" w:type="dxa"/>
            <w:shd w:val="clear" w:color="auto" w:fill="DBE5F1"/>
          </w:tcPr>
          <w:p w:rsidR="00351F2C" w:rsidRPr="005B3882" w:rsidRDefault="005B3882" w:rsidP="00A256CB">
            <w:pPr>
              <w:pStyle w:val="BodyText"/>
              <w:spacing w:before="60" w:after="60"/>
              <w:rPr>
                <w:rFonts w:ascii="Book Antiqua" w:hAnsi="Book Antiqua" w:cs="Arial"/>
                <w:b w:val="0"/>
                <w:bCs w:val="0"/>
                <w:iCs/>
                <w:sz w:val="20"/>
              </w:rPr>
            </w:pPr>
            <w:r>
              <w:rPr>
                <w:rFonts w:ascii="Book Antiqua" w:hAnsi="Book Antiqua" w:cs="Arial"/>
                <w:b w:val="0"/>
                <w:bCs w:val="0"/>
                <w:iCs/>
                <w:sz w:val="20"/>
              </w:rPr>
              <w:t>h</w:t>
            </w:r>
            <w:r w:rsidR="00351F2C" w:rsidRPr="005B3882">
              <w:rPr>
                <w:rFonts w:ascii="Book Antiqua" w:hAnsi="Book Antiqua" w:cs="Arial"/>
                <w:b w:val="0"/>
                <w:bCs w:val="0"/>
                <w:iCs/>
                <w:sz w:val="20"/>
              </w:rPr>
              <w:t>a</w:t>
            </w: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iCs/>
                <w:sz w:val="20"/>
              </w:rPr>
            </w:pPr>
            <w:r w:rsidRPr="005B3882">
              <w:rPr>
                <w:rFonts w:ascii="Book Antiqua" w:hAnsi="Book Antiqua" w:cs="Arial"/>
                <w:b w:val="0"/>
                <w:bCs w:val="0"/>
                <w:iCs/>
                <w:sz w:val="20"/>
              </w:rPr>
              <w:t>1,000,000</w:t>
            </w:r>
          </w:p>
        </w:tc>
        <w:tc>
          <w:tcPr>
            <w:tcW w:w="1440" w:type="dxa"/>
            <w:shd w:val="clear" w:color="auto" w:fill="DBE5F1"/>
            <w:vAlign w:val="center"/>
          </w:tcPr>
          <w:p w:rsidR="00351F2C" w:rsidRPr="005B3882" w:rsidRDefault="00351F2C" w:rsidP="00A256CB">
            <w:pPr>
              <w:pStyle w:val="BodyText"/>
              <w:spacing w:before="60" w:after="60"/>
              <w:rPr>
                <w:rFonts w:ascii="Book Antiqua" w:hAnsi="Book Antiqua" w:cs="Arial"/>
                <w:b w:val="0"/>
                <w:bCs w:val="0"/>
                <w:iCs/>
                <w:sz w:val="20"/>
              </w:rPr>
            </w:pP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iCs/>
                <w:sz w:val="20"/>
              </w:rPr>
            </w:pPr>
            <w:r w:rsidRPr="005B3882">
              <w:rPr>
                <w:rFonts w:ascii="Book Antiqua" w:hAnsi="Book Antiqua" w:cs="Arial"/>
                <w:b w:val="0"/>
                <w:bCs w:val="0"/>
                <w:iCs/>
                <w:sz w:val="20"/>
              </w:rPr>
              <w:t>114,767</w:t>
            </w:r>
          </w:p>
        </w:tc>
      </w:tr>
      <w:tr w:rsidR="00351F2C" w:rsidRPr="005B3882">
        <w:trPr>
          <w:trHeight w:val="227"/>
        </w:trPr>
        <w:tc>
          <w:tcPr>
            <w:tcW w:w="3330" w:type="dxa"/>
            <w:shd w:val="clear" w:color="auto" w:fill="DBE5F1"/>
            <w:vAlign w:val="center"/>
          </w:tcPr>
          <w:p w:rsidR="00351F2C" w:rsidRPr="005B3882" w:rsidRDefault="00351F2C" w:rsidP="00A256CB">
            <w:pPr>
              <w:pStyle w:val="BodyText"/>
              <w:spacing w:before="60" w:after="60"/>
              <w:jc w:val="left"/>
              <w:rPr>
                <w:rFonts w:ascii="Book Antiqua" w:hAnsi="Book Antiqua" w:cs="Arial"/>
                <w:b w:val="0"/>
                <w:bCs w:val="0"/>
                <w:i/>
                <w:sz w:val="20"/>
              </w:rPr>
            </w:pPr>
            <w:r w:rsidRPr="005B3882">
              <w:rPr>
                <w:rFonts w:ascii="Book Antiqua" w:hAnsi="Book Antiqua" w:cs="Arial"/>
                <w:b w:val="0"/>
                <w:bCs w:val="0"/>
                <w:i/>
                <w:sz w:val="20"/>
              </w:rPr>
              <w:t xml:space="preserve">Investment fund </w:t>
            </w:r>
          </w:p>
        </w:tc>
        <w:tc>
          <w:tcPr>
            <w:tcW w:w="1170" w:type="dxa"/>
            <w:shd w:val="clear" w:color="auto" w:fill="DBE5F1"/>
          </w:tcPr>
          <w:p w:rsidR="00351F2C" w:rsidRPr="005B3882" w:rsidRDefault="00351F2C" w:rsidP="00A256CB">
            <w:pPr>
              <w:pStyle w:val="BodyText"/>
              <w:spacing w:before="60" w:after="60"/>
              <w:rPr>
                <w:rFonts w:ascii="Book Antiqua" w:hAnsi="Book Antiqua" w:cs="Arial"/>
                <w:b w:val="0"/>
                <w:bCs w:val="0"/>
                <w:sz w:val="20"/>
              </w:rPr>
            </w:pPr>
            <w:r w:rsidRPr="005B3882">
              <w:rPr>
                <w:rFonts w:ascii="Book Antiqua" w:hAnsi="Book Antiqua" w:cs="Arial"/>
                <w:b w:val="0"/>
                <w:bCs w:val="0"/>
                <w:sz w:val="20"/>
              </w:rPr>
              <w:t>Bill. VND</w:t>
            </w: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sz w:val="20"/>
              </w:rPr>
            </w:pPr>
            <w:r w:rsidRPr="005B3882">
              <w:rPr>
                <w:rFonts w:ascii="Book Antiqua" w:hAnsi="Book Antiqua" w:cs="Arial"/>
                <w:b w:val="0"/>
                <w:bCs w:val="0"/>
                <w:sz w:val="20"/>
              </w:rPr>
              <w:t>33,000</w:t>
            </w:r>
          </w:p>
        </w:tc>
        <w:tc>
          <w:tcPr>
            <w:tcW w:w="1440" w:type="dxa"/>
            <w:shd w:val="clear" w:color="auto" w:fill="DBE5F1"/>
            <w:vAlign w:val="center"/>
          </w:tcPr>
          <w:p w:rsidR="00351F2C" w:rsidRPr="005B3882" w:rsidRDefault="00351F2C" w:rsidP="00A256CB">
            <w:pPr>
              <w:pStyle w:val="BodyText"/>
              <w:spacing w:before="60" w:after="60"/>
              <w:rPr>
                <w:rFonts w:ascii="Book Antiqua" w:hAnsi="Book Antiqua" w:cs="Arial"/>
                <w:b w:val="0"/>
                <w:bCs w:val="0"/>
                <w:sz w:val="20"/>
              </w:rPr>
            </w:pPr>
          </w:p>
        </w:tc>
        <w:tc>
          <w:tcPr>
            <w:tcW w:w="1350" w:type="dxa"/>
            <w:shd w:val="clear" w:color="auto" w:fill="DBE5F1"/>
            <w:vAlign w:val="center"/>
          </w:tcPr>
          <w:p w:rsidR="00351F2C" w:rsidRPr="005B3882" w:rsidRDefault="00351F2C" w:rsidP="00A256CB">
            <w:pPr>
              <w:pStyle w:val="BodyText"/>
              <w:spacing w:before="60" w:after="60"/>
              <w:jc w:val="right"/>
              <w:rPr>
                <w:rFonts w:ascii="Book Antiqua" w:hAnsi="Book Antiqua" w:cs="Arial"/>
                <w:b w:val="0"/>
                <w:bCs w:val="0"/>
                <w:sz w:val="20"/>
              </w:rPr>
            </w:pPr>
            <w:r w:rsidRPr="005B3882">
              <w:rPr>
                <w:rFonts w:ascii="Book Antiqua" w:hAnsi="Book Antiqua" w:cs="Arial"/>
                <w:b w:val="0"/>
                <w:bCs w:val="0"/>
                <w:sz w:val="20"/>
              </w:rPr>
              <w:t>7,935</w:t>
            </w:r>
          </w:p>
        </w:tc>
      </w:tr>
    </w:tbl>
    <w:p w:rsidR="00351F2C" w:rsidRPr="00B641CE" w:rsidRDefault="00351F2C" w:rsidP="00A256CB">
      <w:pPr>
        <w:spacing w:after="0"/>
        <w:ind w:firstLine="720"/>
        <w:rPr>
          <w:rFonts w:ascii="Arial" w:hAnsi="Arial" w:cs="Arial"/>
          <w:sz w:val="18"/>
          <w:szCs w:val="18"/>
        </w:rPr>
      </w:pPr>
      <w:r w:rsidRPr="00B641CE">
        <w:rPr>
          <w:rFonts w:ascii="Arial" w:hAnsi="Arial" w:cs="Arial"/>
          <w:sz w:val="18"/>
          <w:szCs w:val="18"/>
        </w:rPr>
        <w:t xml:space="preserve">Source: </w:t>
      </w:r>
      <w:r w:rsidR="00C47C3B" w:rsidRPr="00B641CE">
        <w:rPr>
          <w:rFonts w:ascii="Arial" w:hAnsi="Arial" w:cs="Arial"/>
          <w:sz w:val="18"/>
          <w:szCs w:val="18"/>
        </w:rPr>
        <w:fldChar w:fldCharType="begin"/>
      </w:r>
      <w:r w:rsidRPr="00B641CE">
        <w:rPr>
          <w:rFonts w:ascii="Arial" w:hAnsi="Arial" w:cs="Arial"/>
          <w:sz w:val="18"/>
          <w:szCs w:val="18"/>
        </w:rPr>
        <w:instrText xml:space="preserve"> QUOTE "(Standing Committee of National Assembly 2006)" </w:instrText>
      </w:r>
      <w:r w:rsidR="00C47C3B" w:rsidRPr="00B641CE">
        <w:rPr>
          <w:rFonts w:ascii="Arial" w:hAnsi="Arial" w:cs="Arial"/>
          <w:vanish/>
          <w:sz w:val="18"/>
          <w:szCs w:val="18"/>
        </w:rPr>
        <w:fldChar w:fldCharType="begin"/>
      </w:r>
      <w:r w:rsidRPr="00B641CE">
        <w:rPr>
          <w:rFonts w:ascii="Arial" w:hAnsi="Arial" w:cs="Arial"/>
          <w:vanish/>
          <w:sz w:val="18"/>
          <w:szCs w:val="18"/>
        </w:rPr>
        <w:instrText xml:space="preserve"> ADDIN REFMAN ÿ\11\05‘\19\01\00\00\00.(Standing Committee of National Assembly 2006)\00.\00cC:\5CDocuments and Settings\5CAdministrator\5CDesktop\5CUN-REDD study\5COwn documents\5CUN-REDD study reference\03\00\0132Standing Committee of National Assembly 2006 3 /id\002\00 </w:instrText>
      </w:r>
      <w:r w:rsidR="00C47C3B" w:rsidRPr="00B641CE">
        <w:rPr>
          <w:rFonts w:ascii="Arial" w:hAnsi="Arial" w:cs="Arial"/>
          <w:vanish/>
          <w:sz w:val="18"/>
          <w:szCs w:val="18"/>
        </w:rPr>
        <w:fldChar w:fldCharType="end"/>
      </w:r>
      <w:r w:rsidR="00C47C3B" w:rsidRPr="00B641CE">
        <w:rPr>
          <w:rFonts w:ascii="Arial" w:hAnsi="Arial" w:cs="Arial"/>
          <w:sz w:val="18"/>
          <w:szCs w:val="18"/>
        </w:rPr>
        <w:fldChar w:fldCharType="separate"/>
      </w:r>
      <w:r w:rsidRPr="00B641CE">
        <w:rPr>
          <w:rFonts w:ascii="Arial" w:hAnsi="Arial" w:cs="Arial"/>
          <w:sz w:val="18"/>
          <w:szCs w:val="18"/>
        </w:rPr>
        <w:t>Standing Committee of National Assembly (2006)</w:t>
      </w:r>
      <w:r w:rsidR="00C47C3B" w:rsidRPr="00B641CE">
        <w:rPr>
          <w:rFonts w:ascii="Arial" w:hAnsi="Arial" w:cs="Arial"/>
          <w:sz w:val="18"/>
          <w:szCs w:val="18"/>
        </w:rPr>
        <w:fldChar w:fldCharType="end"/>
      </w:r>
      <w:r w:rsidRPr="00B641CE">
        <w:rPr>
          <w:rFonts w:ascii="Arial" w:hAnsi="Arial" w:cs="Arial"/>
          <w:sz w:val="18"/>
          <w:szCs w:val="18"/>
        </w:rPr>
        <w:t>.</w:t>
      </w:r>
    </w:p>
    <w:p w:rsidR="00351F2C" w:rsidRPr="00445F77" w:rsidRDefault="00351F2C" w:rsidP="00A256CB">
      <w:pPr>
        <w:spacing w:after="0"/>
        <w:rPr>
          <w:rFonts w:ascii="Arial" w:hAnsi="Arial" w:cs="Arial"/>
          <w:sz w:val="24"/>
          <w:szCs w:val="24"/>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lastRenderedPageBreak/>
        <w:t xml:space="preserve">In 2006, </w:t>
      </w:r>
      <w:r w:rsidR="00480D3D">
        <w:rPr>
          <w:rFonts w:ascii="Book Antiqua" w:hAnsi="Book Antiqua" w:cs="Arial"/>
        </w:rPr>
        <w:t>programme</w:t>
      </w:r>
      <w:r w:rsidRPr="00EC1298">
        <w:rPr>
          <w:rFonts w:ascii="Book Antiqua" w:hAnsi="Book Antiqua" w:cs="Arial"/>
        </w:rPr>
        <w:t xml:space="preserve"> objectives were revised.</w:t>
      </w:r>
      <w:r w:rsidRPr="00EC1298">
        <w:rPr>
          <w:rStyle w:val="FootnoteReference"/>
          <w:rFonts w:ascii="Book Antiqua" w:hAnsi="Book Antiqua" w:cs="Arial"/>
        </w:rPr>
        <w:footnoteReference w:id="9"/>
      </w:r>
      <w:r w:rsidRPr="00EC1298">
        <w:rPr>
          <w:rFonts w:ascii="Book Antiqua" w:hAnsi="Book Antiqua" w:cs="Arial"/>
        </w:rPr>
        <w:t xml:space="preserve">  For the period of 2006-2010, the </w:t>
      </w:r>
      <w:r w:rsidR="00480D3D">
        <w:rPr>
          <w:rFonts w:ascii="Book Antiqua" w:hAnsi="Book Antiqua" w:cs="Arial"/>
        </w:rPr>
        <w:t>programme</w:t>
      </w:r>
      <w:r w:rsidRPr="00EC1298">
        <w:rPr>
          <w:rFonts w:ascii="Book Antiqua" w:hAnsi="Book Antiqua" w:cs="Arial"/>
        </w:rPr>
        <w:t xml:space="preserve"> aims to:</w:t>
      </w:r>
    </w:p>
    <w:p w:rsidR="00351F2C" w:rsidRPr="00EC1298" w:rsidRDefault="00351F2C" w:rsidP="00A256CB">
      <w:pPr>
        <w:spacing w:after="0" w:line="300" w:lineRule="atLeast"/>
        <w:jc w:val="both"/>
        <w:rPr>
          <w:rFonts w:ascii="Book Antiqua" w:hAnsi="Book Antiqua" w:cs="Arial"/>
        </w:rPr>
      </w:pPr>
    </w:p>
    <w:p w:rsidR="00351F2C" w:rsidRPr="00EC1298" w:rsidRDefault="00351F2C" w:rsidP="003E3CBA">
      <w:pPr>
        <w:numPr>
          <w:ilvl w:val="0"/>
          <w:numId w:val="47"/>
        </w:numPr>
        <w:spacing w:after="0" w:line="300" w:lineRule="atLeast"/>
        <w:jc w:val="both"/>
        <w:rPr>
          <w:rFonts w:ascii="Book Antiqua" w:hAnsi="Book Antiqua" w:cs="Arial"/>
        </w:rPr>
      </w:pPr>
      <w:r w:rsidRPr="00EC1298">
        <w:rPr>
          <w:rFonts w:ascii="Book Antiqua" w:hAnsi="Book Antiqua" w:cs="Arial"/>
        </w:rPr>
        <w:t>Protect the existing forest areas, particularly the natural forest.  The area of protection and special use forest to be contracted for protection per year is 1.5 million ha.</w:t>
      </w:r>
    </w:p>
    <w:p w:rsidR="00351F2C" w:rsidRPr="00EC1298" w:rsidRDefault="00351F2C" w:rsidP="003E3CBA">
      <w:pPr>
        <w:numPr>
          <w:ilvl w:val="0"/>
          <w:numId w:val="47"/>
        </w:numPr>
        <w:spacing w:after="0" w:line="300" w:lineRule="atLeast"/>
        <w:jc w:val="both"/>
        <w:rPr>
          <w:rFonts w:ascii="Book Antiqua" w:hAnsi="Book Antiqua" w:cs="Arial"/>
        </w:rPr>
      </w:pPr>
      <w:r w:rsidRPr="00EC1298">
        <w:rPr>
          <w:rFonts w:ascii="Book Antiqua" w:hAnsi="Book Antiqua" w:cs="Arial"/>
        </w:rPr>
        <w:t>Plant 1,000,000 ha of forest, of which 250,000 ha are protection and special use forest and 750,000 ha are production forest.</w:t>
      </w:r>
    </w:p>
    <w:p w:rsidR="00351F2C" w:rsidRPr="00EC1298" w:rsidRDefault="00351F2C" w:rsidP="003E3CBA">
      <w:pPr>
        <w:numPr>
          <w:ilvl w:val="0"/>
          <w:numId w:val="47"/>
        </w:numPr>
        <w:spacing w:after="0" w:line="300" w:lineRule="atLeast"/>
        <w:jc w:val="both"/>
        <w:rPr>
          <w:rFonts w:ascii="Book Antiqua" w:hAnsi="Book Antiqua" w:cs="Arial"/>
        </w:rPr>
      </w:pPr>
      <w:r w:rsidRPr="00EC1298">
        <w:rPr>
          <w:rFonts w:ascii="Book Antiqua" w:hAnsi="Book Antiqua" w:cs="Arial"/>
        </w:rPr>
        <w:t>Restore 803,000ha of protection and special use forest through regeneration, of which 403,000 ha are existing regenerated forest and 400,000 ha are to be restored.</w:t>
      </w:r>
    </w:p>
    <w:p w:rsidR="00351F2C" w:rsidRPr="00EC1298" w:rsidRDefault="00351F2C" w:rsidP="00A256CB">
      <w:pPr>
        <w:spacing w:after="0" w:line="300" w:lineRule="atLeast"/>
        <w:jc w:val="both"/>
        <w:rPr>
          <w:rFonts w:ascii="Book Antiqua" w:hAnsi="Book Antiqua" w:cs="Arial"/>
        </w:rPr>
      </w:pPr>
    </w:p>
    <w:p w:rsidR="00351F2C" w:rsidRPr="00EC1298" w:rsidRDefault="00C47C3B" w:rsidP="00A256CB">
      <w:pPr>
        <w:spacing w:after="0" w:line="300" w:lineRule="atLeast"/>
        <w:jc w:val="both"/>
        <w:rPr>
          <w:rFonts w:ascii="Book Antiqua" w:hAnsi="Book Antiqua" w:cs="Arial"/>
        </w:rPr>
      </w:pPr>
      <w:r w:rsidRPr="00C47C3B">
        <w:rPr>
          <w:rFonts w:ascii="Book Antiqua" w:hAnsi="Book Antiqua" w:cs="Arial"/>
          <w:noProof/>
          <w:lang w:eastAsia="zh-TW"/>
        </w:rPr>
        <w:pict>
          <v:shape id="_x0000_s1132" type="#_x0000_t202" style="position:absolute;left:0;text-align:left;margin-left:.8pt;margin-top:287.15pt;width:231.7pt;height:352.6pt;z-index:251609600;mso-height-percent:200;mso-position-horizontal-relative:margin;mso-position-vertical-relative:margin;mso-height-percent:200;mso-width-relative:margin;mso-height-relative:margin" fillcolor="#dbe5f1" strokeweight="1.5pt">
            <v:shadow on="t" color="#95b3d7"/>
            <v:textbox style="mso-next-textbox:#_x0000_s1132;mso-fit-shape-to-text:t">
              <w:txbxContent>
                <w:p w:rsidR="00B4351F" w:rsidRPr="0006154E" w:rsidRDefault="00B4351F" w:rsidP="00AD2B5E">
                  <w:pPr>
                    <w:pStyle w:val="Caption"/>
                    <w:spacing w:after="120"/>
                  </w:pPr>
                  <w:bookmarkStart w:id="57" w:name="_Ref243646388"/>
                  <w:bookmarkStart w:id="58" w:name="_Toc243930034"/>
                  <w:smartTag w:uri="urn:schemas-microsoft-com:office:smarttags" w:element="address">
                    <w:smartTag w:uri="urn:schemas-microsoft-com:office:smarttags" w:element="Street">
                      <w:r w:rsidRPr="0006154E">
                        <w:t>Box</w:t>
                      </w:r>
                    </w:smartTag>
                    <w:r w:rsidRPr="0006154E">
                      <w:t xml:space="preserve"> </w:t>
                    </w:r>
                    <w:r>
                      <w:t>2.</w:t>
                    </w:r>
                    <w:bookmarkEnd w:id="57"/>
                    <w:r>
                      <w:t>2</w:t>
                    </w:r>
                  </w:smartTag>
                  <w:r w:rsidRPr="0006154E">
                    <w:t xml:space="preserve">: Norms in the use of state budget under </w:t>
                  </w:r>
                  <w:bookmarkEnd w:id="58"/>
                  <w:r>
                    <w:t>the 661 Programme</w:t>
                  </w:r>
                </w:p>
                <w:p w:rsidR="00B4351F" w:rsidRPr="0006154E" w:rsidRDefault="00B4351F" w:rsidP="00A256CB">
                  <w:pPr>
                    <w:spacing w:before="120" w:after="120"/>
                    <w:rPr>
                      <w:sz w:val="20"/>
                    </w:rPr>
                  </w:pPr>
                  <w:r w:rsidRPr="0006154E">
                    <w:rPr>
                      <w:sz w:val="20"/>
                    </w:rPr>
                    <w:t xml:space="preserve">The estimated budget requirements for this period (2006-2010) total around VND 15 trillion (around US$ 940 million); of which VND 5 trillion are from state budget and VND 10 trillion are non-state budget. </w:t>
                  </w:r>
                </w:p>
                <w:p w:rsidR="00B4351F" w:rsidRPr="0006154E" w:rsidRDefault="00B4351F" w:rsidP="00A256CB">
                  <w:pPr>
                    <w:spacing w:before="120" w:after="0"/>
                    <w:rPr>
                      <w:sz w:val="20"/>
                    </w:rPr>
                  </w:pPr>
                  <w:r w:rsidRPr="0006154E">
                    <w:rPr>
                      <w:sz w:val="20"/>
                    </w:rPr>
                    <w:t>The following norms apply in the use of state budget under 5MHRP:</w:t>
                  </w:r>
                </w:p>
                <w:p w:rsidR="00B4351F" w:rsidRPr="0006154E" w:rsidRDefault="00B4351F" w:rsidP="00AD2B5E">
                  <w:pPr>
                    <w:numPr>
                      <w:ilvl w:val="0"/>
                      <w:numId w:val="11"/>
                    </w:numPr>
                    <w:tabs>
                      <w:tab w:val="clear" w:pos="360"/>
                    </w:tabs>
                    <w:spacing w:after="0" w:line="240" w:lineRule="auto"/>
                    <w:ind w:left="180" w:hanging="187"/>
                    <w:rPr>
                      <w:sz w:val="20"/>
                    </w:rPr>
                  </w:pPr>
                  <w:r w:rsidRPr="0006154E">
                    <w:rPr>
                      <w:sz w:val="20"/>
                    </w:rPr>
                    <w:t>Protection of forest through contract: 100,000 VND per ha per year.</w:t>
                  </w:r>
                </w:p>
                <w:p w:rsidR="00B4351F" w:rsidRPr="0006154E" w:rsidRDefault="00B4351F" w:rsidP="00AD2B5E">
                  <w:pPr>
                    <w:numPr>
                      <w:ilvl w:val="0"/>
                      <w:numId w:val="11"/>
                    </w:numPr>
                    <w:tabs>
                      <w:tab w:val="clear" w:pos="360"/>
                    </w:tabs>
                    <w:spacing w:after="0" w:line="240" w:lineRule="auto"/>
                    <w:ind w:left="180" w:hanging="180"/>
                    <w:rPr>
                      <w:sz w:val="20"/>
                    </w:rPr>
                  </w:pPr>
                  <w:r w:rsidRPr="0006154E">
                    <w:rPr>
                      <w:sz w:val="20"/>
                    </w:rPr>
                    <w:t>Support to plantation of (protected) forest: 6 million VND per ha.</w:t>
                  </w:r>
                </w:p>
                <w:p w:rsidR="00B4351F" w:rsidRPr="0006154E" w:rsidRDefault="00B4351F" w:rsidP="00AD2B5E">
                  <w:pPr>
                    <w:numPr>
                      <w:ilvl w:val="0"/>
                      <w:numId w:val="11"/>
                    </w:numPr>
                    <w:tabs>
                      <w:tab w:val="clear" w:pos="360"/>
                    </w:tabs>
                    <w:spacing w:after="0" w:line="240" w:lineRule="auto"/>
                    <w:ind w:left="180" w:hanging="180"/>
                    <w:rPr>
                      <w:sz w:val="20"/>
                    </w:rPr>
                  </w:pPr>
                  <w:r w:rsidRPr="0006154E">
                    <w:rPr>
                      <w:sz w:val="20"/>
                    </w:rPr>
                    <w:t>Infrastructure construction: 10% of the total state budget per year.</w:t>
                  </w:r>
                </w:p>
                <w:p w:rsidR="00B4351F" w:rsidRPr="0006154E" w:rsidRDefault="00B4351F" w:rsidP="00AD2B5E">
                  <w:pPr>
                    <w:numPr>
                      <w:ilvl w:val="0"/>
                      <w:numId w:val="11"/>
                    </w:numPr>
                    <w:tabs>
                      <w:tab w:val="clear" w:pos="360"/>
                    </w:tabs>
                    <w:spacing w:after="0" w:line="240" w:lineRule="auto"/>
                    <w:ind w:left="180" w:hanging="180"/>
                    <w:rPr>
                      <w:sz w:val="20"/>
                    </w:rPr>
                  </w:pPr>
                  <w:r w:rsidRPr="0006154E">
                    <w:rPr>
                      <w:sz w:val="20"/>
                    </w:rPr>
                    <w:t>Transfer of technology and forestry extension work: 2% of the total state budget per year.</w:t>
                  </w:r>
                </w:p>
                <w:p w:rsidR="00B4351F" w:rsidRPr="0006154E" w:rsidRDefault="00B4351F" w:rsidP="00AD2B5E">
                  <w:pPr>
                    <w:numPr>
                      <w:ilvl w:val="0"/>
                      <w:numId w:val="11"/>
                    </w:numPr>
                    <w:tabs>
                      <w:tab w:val="clear" w:pos="360"/>
                    </w:tabs>
                    <w:spacing w:after="0" w:line="240" w:lineRule="auto"/>
                    <w:ind w:left="180" w:hanging="180"/>
                    <w:rPr>
                      <w:sz w:val="20"/>
                    </w:rPr>
                  </w:pPr>
                  <w:r w:rsidRPr="0006154E">
                    <w:rPr>
                      <w:sz w:val="20"/>
                    </w:rPr>
                    <w:t>Management costs: 10% of the total state budget per year, of which 0.7% for national level, 1.3% for provincial level and 8% for the project developers.</w:t>
                  </w:r>
                </w:p>
                <w:p w:rsidR="00B4351F" w:rsidRPr="0006154E" w:rsidRDefault="00B4351F" w:rsidP="00AD2B5E">
                  <w:pPr>
                    <w:numPr>
                      <w:ilvl w:val="0"/>
                      <w:numId w:val="11"/>
                    </w:numPr>
                    <w:tabs>
                      <w:tab w:val="clear" w:pos="360"/>
                    </w:tabs>
                    <w:spacing w:after="0" w:line="240" w:lineRule="auto"/>
                    <w:ind w:left="180" w:hanging="180"/>
                    <w:rPr>
                      <w:sz w:val="20"/>
                    </w:rPr>
                  </w:pPr>
                  <w:r w:rsidRPr="0006154E">
                    <w:rPr>
                      <w:sz w:val="20"/>
                    </w:rPr>
                    <w:t>Forest management (training and allowances for commune forest officials, organization of forest fire prevention and control, propaganda, etc.): 5% of the total state budget per year.</w:t>
                  </w:r>
                </w:p>
                <w:p w:rsidR="00B4351F" w:rsidRPr="00AD2B5E" w:rsidRDefault="00B4351F" w:rsidP="00A256CB">
                  <w:pPr>
                    <w:spacing w:after="0"/>
                    <w:rPr>
                      <w:sz w:val="16"/>
                      <w:szCs w:val="16"/>
                    </w:rPr>
                  </w:pPr>
                  <w:r w:rsidRPr="00AD2B5E">
                    <w:rPr>
                      <w:sz w:val="16"/>
                      <w:szCs w:val="16"/>
                    </w:rPr>
                    <w:t>Source: Decision 100/2007/QĐ-TTg of the Prime Minister, dated 6 July 2007</w:t>
                  </w:r>
                </w:p>
              </w:txbxContent>
            </v:textbox>
            <w10:wrap type="square" anchorx="margin" anchory="margin"/>
          </v:shape>
        </w:pict>
      </w:r>
      <w:r w:rsidR="00351F2C" w:rsidRPr="00EC1298">
        <w:rPr>
          <w:rFonts w:ascii="Book Antiqua" w:hAnsi="Book Antiqua" w:cs="Arial"/>
        </w:rPr>
        <w:t xml:space="preserve">Preparation of budget proposals and distribution of funds to sub-national entities under the 661 Programme proceeds as follows (see also </w:t>
      </w:r>
      <w:fldSimple w:instr=" REF _Ref243646388 \h  \* MERGEFORMAT ">
        <w:r w:rsidR="00B4351F" w:rsidRPr="00B4351F">
          <w:rPr>
            <w:rFonts w:ascii="Book Antiqua" w:hAnsi="Book Antiqua" w:cs="Arial"/>
          </w:rPr>
          <w:t xml:space="preserve">Box </w:t>
        </w:r>
        <w:r w:rsidR="00B4351F" w:rsidRPr="00B4351F">
          <w:rPr>
            <w:rFonts w:ascii="Book Antiqua" w:hAnsi="Book Antiqua" w:cs="Arial"/>
            <w:noProof/>
          </w:rPr>
          <w:t>2.</w:t>
        </w:r>
      </w:fldSimple>
      <w:r w:rsidR="00351F2C" w:rsidRPr="00EC1298">
        <w:rPr>
          <w:rFonts w:ascii="Book Antiqua" w:hAnsi="Book Antiqua" w:cs="Arial"/>
        </w:rPr>
        <w:t>):</w:t>
      </w:r>
    </w:p>
    <w:p w:rsidR="00351F2C" w:rsidRPr="00EC1298" w:rsidRDefault="00351F2C" w:rsidP="00A256CB">
      <w:pPr>
        <w:spacing w:after="0" w:line="300" w:lineRule="atLeast"/>
        <w:jc w:val="both"/>
        <w:rPr>
          <w:rFonts w:ascii="Book Antiqua" w:hAnsi="Book Antiqua" w:cs="Arial"/>
        </w:rPr>
      </w:pPr>
    </w:p>
    <w:p w:rsidR="00351F2C" w:rsidRPr="00EC1298" w:rsidRDefault="00351F2C" w:rsidP="003E3CBA">
      <w:pPr>
        <w:numPr>
          <w:ilvl w:val="0"/>
          <w:numId w:val="11"/>
        </w:numPr>
        <w:spacing w:after="0" w:line="300" w:lineRule="exact"/>
        <w:jc w:val="both"/>
        <w:rPr>
          <w:rFonts w:ascii="Book Antiqua" w:hAnsi="Book Antiqua" w:cs="Arial"/>
        </w:rPr>
      </w:pPr>
      <w:r w:rsidRPr="00EC1298">
        <w:rPr>
          <w:rFonts w:ascii="Book Antiqua" w:hAnsi="Book Antiqua" w:cs="Arial"/>
          <w:i/>
          <w:iCs/>
        </w:rPr>
        <w:t>Planning</w:t>
      </w:r>
      <w:r w:rsidRPr="00EC1298">
        <w:rPr>
          <w:rFonts w:ascii="Book Antiqua" w:hAnsi="Book Antiqua" w:cs="Arial"/>
        </w:rPr>
        <w:t xml:space="preserve">: The district level </w:t>
      </w:r>
      <w:r w:rsidR="00480D3D">
        <w:rPr>
          <w:rFonts w:ascii="Book Antiqua" w:hAnsi="Book Antiqua" w:cs="Arial"/>
        </w:rPr>
        <w:t>programme</w:t>
      </w:r>
      <w:r w:rsidRPr="00EC1298">
        <w:rPr>
          <w:rFonts w:ascii="Book Antiqua" w:hAnsi="Book Antiqua" w:cs="Arial"/>
        </w:rPr>
        <w:t xml:space="preserve"> management board works with stakeholders (e.g. project developers</w:t>
      </w:r>
      <w:r w:rsidRPr="00EC1298">
        <w:rPr>
          <w:rStyle w:val="FootnoteReference"/>
          <w:rFonts w:ascii="Book Antiqua" w:hAnsi="Book Antiqua" w:cs="Arial"/>
        </w:rPr>
        <w:footnoteReference w:id="10"/>
      </w:r>
      <w:r w:rsidRPr="00EC1298">
        <w:rPr>
          <w:rFonts w:ascii="Book Antiqua" w:hAnsi="Book Antiqua" w:cs="Arial"/>
        </w:rPr>
        <w:t>, forest owners, local authorities) to develop a workplan and budget proposal, which is a part of the overall socio-economic plan of the district.  District workplans and budget proposals are submitted to the province. Large project developers</w:t>
      </w:r>
      <w:r w:rsidR="0074733F">
        <w:rPr>
          <w:rFonts w:ascii="Book Antiqua" w:hAnsi="Book Antiqua" w:cs="Arial"/>
        </w:rPr>
        <w:t>,</w:t>
      </w:r>
      <w:r w:rsidRPr="00EC1298">
        <w:rPr>
          <w:rFonts w:ascii="Book Antiqua" w:hAnsi="Book Antiqua" w:cs="Arial"/>
        </w:rPr>
        <w:t xml:space="preserve"> usually </w:t>
      </w:r>
      <w:r w:rsidR="0074733F">
        <w:rPr>
          <w:rFonts w:ascii="Book Antiqua" w:hAnsi="Book Antiqua" w:cs="Arial"/>
        </w:rPr>
        <w:t>Protected Area Management Boards (</w:t>
      </w:r>
      <w:r w:rsidRPr="00EC1298">
        <w:rPr>
          <w:rFonts w:ascii="Book Antiqua" w:hAnsi="Book Antiqua" w:cs="Arial"/>
        </w:rPr>
        <w:t xml:space="preserve">PAMBs) work directly with the provincial </w:t>
      </w:r>
      <w:r w:rsidR="00480D3D">
        <w:rPr>
          <w:rFonts w:ascii="Book Antiqua" w:hAnsi="Book Antiqua" w:cs="Arial"/>
        </w:rPr>
        <w:t>programme</w:t>
      </w:r>
      <w:r w:rsidRPr="00EC1298">
        <w:rPr>
          <w:rFonts w:ascii="Book Antiqua" w:hAnsi="Book Antiqua" w:cs="Arial"/>
        </w:rPr>
        <w:t xml:space="preserve"> management board. Provincial workplans and budget proposals are submitted to the national level.</w:t>
      </w:r>
    </w:p>
    <w:p w:rsidR="00351F2C" w:rsidRPr="00EC1298" w:rsidRDefault="00351F2C" w:rsidP="003E3CBA">
      <w:pPr>
        <w:numPr>
          <w:ilvl w:val="0"/>
          <w:numId w:val="11"/>
        </w:numPr>
        <w:spacing w:after="0" w:line="300" w:lineRule="exact"/>
        <w:jc w:val="both"/>
        <w:rPr>
          <w:rFonts w:ascii="Book Antiqua" w:hAnsi="Book Antiqua" w:cs="Arial"/>
        </w:rPr>
      </w:pPr>
      <w:bookmarkStart w:id="59" w:name="_Toc243930051"/>
      <w:r w:rsidRPr="00EC1298">
        <w:rPr>
          <w:rFonts w:ascii="Book Antiqua" w:hAnsi="Book Antiqua" w:cs="Arial"/>
          <w:i/>
          <w:iCs/>
        </w:rPr>
        <w:t>Budget distribution</w:t>
      </w:r>
      <w:r w:rsidRPr="00EC1298">
        <w:rPr>
          <w:rFonts w:ascii="Book Antiqua" w:hAnsi="Book Antiqua" w:cs="Arial"/>
        </w:rPr>
        <w:t xml:space="preserve">: Once the national workplan and budget are approved by the NA, the Government </w:t>
      </w:r>
      <w:r w:rsidR="00480D3D">
        <w:rPr>
          <w:rFonts w:ascii="Book Antiqua" w:hAnsi="Book Antiqua" w:cs="Arial"/>
        </w:rPr>
        <w:t>Programme</w:t>
      </w:r>
      <w:r w:rsidRPr="00EC1298">
        <w:rPr>
          <w:rFonts w:ascii="Book Antiqua" w:hAnsi="Book Antiqua" w:cs="Arial"/>
        </w:rPr>
        <w:t xml:space="preserve"> Steering Committee will inform MoF and MPI. </w:t>
      </w:r>
      <w:r w:rsidR="003A1EA6">
        <w:rPr>
          <w:rFonts w:ascii="Book Antiqua" w:hAnsi="Book Antiqua" w:cs="Arial"/>
        </w:rPr>
        <w:t xml:space="preserve"> </w:t>
      </w:r>
      <w:r w:rsidRPr="00EC1298">
        <w:rPr>
          <w:rFonts w:ascii="Book Antiqua" w:hAnsi="Book Antiqua" w:cs="Arial"/>
        </w:rPr>
        <w:t xml:space="preserve">MPI will inform MARD and related </w:t>
      </w:r>
      <w:r w:rsidR="00480D3D">
        <w:rPr>
          <w:rFonts w:ascii="Book Antiqua" w:hAnsi="Book Antiqua" w:cs="Arial"/>
        </w:rPr>
        <w:t>programme</w:t>
      </w:r>
      <w:r w:rsidRPr="00EC1298">
        <w:rPr>
          <w:rFonts w:ascii="Book Antiqua" w:hAnsi="Book Antiqua" w:cs="Arial"/>
        </w:rPr>
        <w:t xml:space="preserve"> bodies at the national level, and its line agency at the provincial level of the approved plan and budget. At the provincial level, Department of Planning and Investment (DPI) will inform related bodies of the </w:t>
      </w:r>
      <w:r w:rsidR="00480D3D">
        <w:rPr>
          <w:rFonts w:ascii="Book Antiqua" w:hAnsi="Book Antiqua" w:cs="Arial"/>
        </w:rPr>
        <w:t>programme</w:t>
      </w:r>
      <w:r w:rsidRPr="00EC1298">
        <w:rPr>
          <w:rFonts w:ascii="Book Antiqua" w:hAnsi="Book Antiqua" w:cs="Arial"/>
        </w:rPr>
        <w:t xml:space="preserve"> within the province about the approved plan and budget. </w:t>
      </w:r>
    </w:p>
    <w:p w:rsidR="00351F2C" w:rsidRPr="00EC1298" w:rsidRDefault="00351F2C" w:rsidP="005B3882">
      <w:pPr>
        <w:spacing w:after="0" w:line="300" w:lineRule="exact"/>
        <w:ind w:left="360"/>
        <w:jc w:val="both"/>
        <w:rPr>
          <w:rFonts w:ascii="Book Antiqua" w:hAnsi="Book Antiqua" w:cs="Arial"/>
        </w:rPr>
      </w:pPr>
    </w:p>
    <w:p w:rsidR="00351F2C" w:rsidRPr="00EC1298" w:rsidRDefault="00351F2C" w:rsidP="005B3882">
      <w:pPr>
        <w:spacing w:after="0" w:line="300" w:lineRule="exact"/>
        <w:jc w:val="both"/>
        <w:rPr>
          <w:rFonts w:ascii="Book Antiqua" w:hAnsi="Book Antiqua" w:cs="Arial"/>
        </w:rPr>
      </w:pPr>
    </w:p>
    <w:p w:rsidR="00351F2C" w:rsidRPr="00EC1298" w:rsidRDefault="00351F2C" w:rsidP="005B3882">
      <w:pPr>
        <w:spacing w:after="0" w:line="300" w:lineRule="exact"/>
        <w:jc w:val="both"/>
        <w:rPr>
          <w:rFonts w:ascii="Book Antiqua" w:hAnsi="Book Antiqua" w:cs="Arial"/>
        </w:rPr>
      </w:pPr>
      <w:r w:rsidRPr="00EC1298">
        <w:rPr>
          <w:rFonts w:ascii="Book Antiqua" w:hAnsi="Book Antiqua" w:cs="Arial"/>
        </w:rPr>
        <w:t xml:space="preserve">In terms of actual budget flows, funds are transferred from central state treasury to its equivalent body at provincial level (Figure 2.1). Project </w:t>
      </w:r>
      <w:r w:rsidRPr="00EC1298">
        <w:rPr>
          <w:rFonts w:ascii="Book Antiqua" w:hAnsi="Book Antiqua" w:cs="Arial"/>
        </w:rPr>
        <w:lastRenderedPageBreak/>
        <w:t>developers can request an advance from the state treasury to implement activities under their approved workplan and settle the payment by the end of the year. The budget may be disbursed directly from the provincial level treasury to project developers, or funds may be transferred via the district level treasury.  Project developers at both provincial and district level will then pay the money to different stakeholders who protect or plant forest under contractual arrangements with them.</w:t>
      </w:r>
    </w:p>
    <w:p w:rsidR="00351F2C" w:rsidRPr="00EC1298" w:rsidRDefault="00351F2C" w:rsidP="005B3882">
      <w:pPr>
        <w:pStyle w:val="Caption"/>
        <w:keepNext/>
        <w:spacing w:after="0"/>
        <w:rPr>
          <w:rFonts w:ascii="Book Antiqua" w:hAnsi="Book Antiqua" w:cs="Arial"/>
          <w:sz w:val="22"/>
          <w:szCs w:val="22"/>
        </w:rPr>
      </w:pPr>
    </w:p>
    <w:p w:rsidR="00351F2C" w:rsidRPr="00EC1298" w:rsidRDefault="00351F2C" w:rsidP="005B3882">
      <w:pPr>
        <w:pStyle w:val="Caption"/>
        <w:keepNext/>
        <w:spacing w:after="0"/>
        <w:jc w:val="center"/>
        <w:rPr>
          <w:rFonts w:ascii="Book Antiqua" w:hAnsi="Book Antiqua" w:cs="Arial"/>
          <w:noProof/>
          <w:sz w:val="22"/>
          <w:szCs w:val="22"/>
        </w:rPr>
      </w:pPr>
      <w:r w:rsidRPr="00EC1298">
        <w:rPr>
          <w:rFonts w:ascii="Book Antiqua" w:hAnsi="Book Antiqua" w:cs="Arial"/>
          <w:sz w:val="22"/>
          <w:szCs w:val="22"/>
        </w:rPr>
        <w:t>Figure 2.1</w:t>
      </w:r>
      <w:r w:rsidRPr="00EC1298">
        <w:rPr>
          <w:rFonts w:ascii="Book Antiqua" w:hAnsi="Book Antiqua" w:cs="Arial"/>
          <w:noProof/>
          <w:sz w:val="22"/>
          <w:szCs w:val="22"/>
        </w:rPr>
        <w:t xml:space="preserve">: Budget flows under </w:t>
      </w:r>
      <w:bookmarkEnd w:id="59"/>
      <w:r w:rsidRPr="00EC1298">
        <w:rPr>
          <w:rFonts w:ascii="Book Antiqua" w:hAnsi="Book Antiqua" w:cs="Arial"/>
          <w:noProof/>
          <w:sz w:val="22"/>
          <w:szCs w:val="22"/>
        </w:rPr>
        <w:t>the 661 Programme</w:t>
      </w:r>
    </w:p>
    <w:p w:rsidR="00351F2C" w:rsidRPr="00445F77" w:rsidRDefault="000D756D" w:rsidP="00A256CB">
      <w:pPr>
        <w:spacing w:before="240" w:after="240"/>
        <w:jc w:val="center"/>
        <w:rPr>
          <w:rFonts w:ascii="Arial" w:hAnsi="Arial" w:cs="Arial"/>
          <w:sz w:val="24"/>
          <w:szCs w:val="24"/>
        </w:rPr>
      </w:pPr>
      <w:r>
        <w:rPr>
          <w:rFonts w:ascii="Arial" w:hAnsi="Arial" w:cs="Arial"/>
          <w:noProof/>
          <w:sz w:val="24"/>
          <w:szCs w:val="24"/>
          <w:lang w:val="en-US"/>
        </w:rPr>
        <w:drawing>
          <wp:inline distT="0" distB="0" distL="0" distR="0">
            <wp:extent cx="5575554" cy="4895850"/>
            <wp:effectExtent l="1905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duotone>
                        <a:prstClr val="black"/>
                        <a:schemeClr val="accent1">
                          <a:lumMod val="20000"/>
                          <a:lumOff val="80000"/>
                          <a:tint val="45000"/>
                          <a:satMod val="400000"/>
                        </a:schemeClr>
                      </a:duotone>
                    </a:blip>
                    <a:srcRect/>
                    <a:stretch>
                      <a:fillRect/>
                    </a:stretch>
                  </pic:blipFill>
                  <pic:spPr bwMode="auto">
                    <a:xfrm>
                      <a:off x="0" y="0"/>
                      <a:ext cx="5575554" cy="4895850"/>
                    </a:xfrm>
                    <a:prstGeom prst="rect">
                      <a:avLst/>
                    </a:prstGeom>
                    <a:noFill/>
                    <a:ln w="9525">
                      <a:noFill/>
                      <a:miter lim="800000"/>
                      <a:headEnd/>
                      <a:tailEnd/>
                    </a:ln>
                  </pic:spPr>
                </pic:pic>
              </a:graphicData>
            </a:graphic>
          </wp:inline>
        </w:drawing>
      </w:r>
    </w:p>
    <w:p w:rsidR="00351F2C" w:rsidRPr="00EC1298" w:rsidRDefault="00351F2C" w:rsidP="00A256CB">
      <w:pPr>
        <w:spacing w:after="0"/>
        <w:rPr>
          <w:rFonts w:ascii="Book Antiqua" w:hAnsi="Book Antiqua" w:cs="Arial"/>
          <w:sz w:val="20"/>
          <w:szCs w:val="20"/>
        </w:rPr>
      </w:pPr>
      <w:r w:rsidRPr="00EC1298">
        <w:rPr>
          <w:rFonts w:ascii="Book Antiqua" w:hAnsi="Book Antiqua" w:cs="Arial"/>
          <w:sz w:val="20"/>
          <w:szCs w:val="20"/>
        </w:rPr>
        <w:t xml:space="preserve">Source: adapted from </w:t>
      </w:r>
      <w:r w:rsidR="00C47C3B" w:rsidRPr="00EC1298">
        <w:rPr>
          <w:rFonts w:ascii="Book Antiqua" w:hAnsi="Book Antiqua" w:cs="Arial"/>
          <w:sz w:val="20"/>
          <w:szCs w:val="20"/>
        </w:rPr>
        <w:fldChar w:fldCharType="begin"/>
      </w:r>
      <w:r w:rsidRPr="00EC1298">
        <w:rPr>
          <w:rFonts w:ascii="Book Antiqua" w:hAnsi="Book Antiqua" w:cs="Arial"/>
          <w:sz w:val="20"/>
          <w:szCs w:val="20"/>
        </w:rPr>
        <w:instrText xml:space="preserve"> QUOTE "(Salmi, Nguyen, and Le 1999)" </w:instrText>
      </w:r>
      <w:r w:rsidR="00C47C3B" w:rsidRPr="00EC1298">
        <w:rPr>
          <w:rFonts w:ascii="Book Antiqua" w:hAnsi="Book Antiqua" w:cs="Arial"/>
          <w:vanish/>
          <w:sz w:val="20"/>
          <w:szCs w:val="20"/>
        </w:rPr>
        <w:fldChar w:fldCharType="begin"/>
      </w:r>
      <w:r w:rsidRPr="00EC1298">
        <w:rPr>
          <w:rFonts w:ascii="Book Antiqua" w:hAnsi="Book Antiqua" w:cs="Arial"/>
          <w:vanish/>
          <w:sz w:val="20"/>
          <w:szCs w:val="20"/>
        </w:rPr>
        <w:instrText xml:space="preserve"> ADDIN REFMAN ÿ\11\05‘\19\01\00\00\00\1C(Salmi, Nguyen, and Le 1999)\00\1C\00cC:\5CDocuments and Settings\5CAdministrator\5CDesktop\5CUN-REDD study\5COwn documents\5CUN-REDD study reference\03\00\014 Salmi, Nguyen, et al. 1999 4 /id\00 \00 </w:instrText>
      </w:r>
      <w:r w:rsidR="00C47C3B" w:rsidRPr="00EC1298">
        <w:rPr>
          <w:rFonts w:ascii="Book Antiqua" w:hAnsi="Book Antiqua" w:cs="Arial"/>
          <w:vanish/>
          <w:sz w:val="20"/>
          <w:szCs w:val="20"/>
        </w:rPr>
        <w:fldChar w:fldCharType="end"/>
      </w:r>
      <w:r w:rsidR="00C47C3B" w:rsidRPr="00EC1298">
        <w:rPr>
          <w:rFonts w:ascii="Book Antiqua" w:hAnsi="Book Antiqua" w:cs="Arial"/>
          <w:sz w:val="20"/>
          <w:szCs w:val="20"/>
        </w:rPr>
        <w:fldChar w:fldCharType="separate"/>
      </w:r>
      <w:r w:rsidRPr="00EC1298">
        <w:rPr>
          <w:rFonts w:ascii="Book Antiqua" w:hAnsi="Book Antiqua" w:cs="Arial"/>
          <w:sz w:val="20"/>
          <w:szCs w:val="20"/>
        </w:rPr>
        <w:t>Salmi, Nguyen, and Le (1999</w:t>
      </w:r>
      <w:r w:rsidR="00C47C3B" w:rsidRPr="00EC1298">
        <w:rPr>
          <w:rFonts w:ascii="Book Antiqua" w:hAnsi="Book Antiqua" w:cs="Arial"/>
          <w:sz w:val="20"/>
          <w:szCs w:val="20"/>
        </w:rPr>
        <w:fldChar w:fldCharType="end"/>
      </w:r>
      <w:r w:rsidRPr="00EC1298">
        <w:rPr>
          <w:rFonts w:ascii="Book Antiqua" w:hAnsi="Book Antiqua" w:cs="Arial"/>
          <w:sz w:val="20"/>
          <w:szCs w:val="20"/>
        </w:rPr>
        <w:t>, Figure 3.1)</w:t>
      </w:r>
    </w:p>
    <w:p w:rsidR="00351F2C" w:rsidRPr="00445F77" w:rsidRDefault="00351F2C" w:rsidP="00A256CB">
      <w:pPr>
        <w:spacing w:after="0" w:line="300" w:lineRule="atLeast"/>
        <w:jc w:val="both"/>
        <w:rPr>
          <w:rFonts w:ascii="Arial" w:hAnsi="Arial" w:cs="Arial"/>
          <w:sz w:val="24"/>
          <w:szCs w:val="24"/>
        </w:rPr>
      </w:pPr>
    </w:p>
    <w:p w:rsidR="00351F2C" w:rsidRPr="00EC1298" w:rsidRDefault="00351F2C" w:rsidP="00A256CB">
      <w:pPr>
        <w:spacing w:after="0" w:line="300" w:lineRule="atLeast"/>
        <w:jc w:val="both"/>
        <w:rPr>
          <w:rFonts w:ascii="Book Antiqua" w:hAnsi="Book Antiqua" w:cs="Arial"/>
        </w:rPr>
      </w:pPr>
      <w:bookmarkStart w:id="60" w:name="_Ref243707731"/>
      <w:bookmarkStart w:id="61" w:name="_Toc243930052"/>
      <w:r w:rsidRPr="00EC1298">
        <w:rPr>
          <w:rFonts w:ascii="Book Antiqua" w:hAnsi="Book Antiqua" w:cs="Arial"/>
        </w:rPr>
        <w:t xml:space="preserve">In general, budget planning and disbursement within the 661 Programme remains rather top-down. Targets, cost norms and budgets per component are decided at the national level. Funds are available only for those activities defined by the central government and cannot be used to support agricultural intensification in a village to alleviate agricultural pressure on forest. Ultimate beneficiaries of the </w:t>
      </w:r>
      <w:r w:rsidR="00480D3D">
        <w:rPr>
          <w:rFonts w:ascii="Book Antiqua" w:hAnsi="Book Antiqua" w:cs="Arial"/>
        </w:rPr>
        <w:t>programme</w:t>
      </w:r>
      <w:r w:rsidRPr="00EC1298">
        <w:rPr>
          <w:rFonts w:ascii="Book Antiqua" w:hAnsi="Book Antiqua" w:cs="Arial"/>
        </w:rPr>
        <w:t xml:space="preserve"> (i.e. the rural communities) do not have any say in this process (see also </w:t>
      </w:r>
      <w:r w:rsidR="00C47C3B" w:rsidRPr="00EC1298">
        <w:rPr>
          <w:rFonts w:ascii="Book Antiqua" w:hAnsi="Book Antiqua" w:cs="Arial"/>
        </w:rPr>
        <w:fldChar w:fldCharType="begin"/>
      </w:r>
      <w:r w:rsidRPr="00EC1298">
        <w:rPr>
          <w:rFonts w:ascii="Book Antiqua" w:hAnsi="Book Antiqua" w:cs="Arial"/>
        </w:rPr>
        <w:instrText xml:space="preserve"> QUOTE "(Salmi, Nguyen, and Le 1999)" </w:instrText>
      </w:r>
      <w:r w:rsidR="00C47C3B" w:rsidRPr="00EC1298">
        <w:rPr>
          <w:rFonts w:ascii="Book Antiqua" w:hAnsi="Book Antiqua" w:cs="Arial"/>
          <w:vanish/>
        </w:rPr>
        <w:fldChar w:fldCharType="begin"/>
      </w:r>
      <w:r w:rsidRPr="00EC1298">
        <w:rPr>
          <w:rFonts w:ascii="Book Antiqua" w:hAnsi="Book Antiqua" w:cs="Arial"/>
          <w:vanish/>
        </w:rPr>
        <w:instrText xml:space="preserve"> ADDIN REFMAN ÿ\11\05‘\19\01\00\00\00\1C(Salmi, Nguyen, and Le 1999)\00\1C\00cC:\5CDocuments and Settings\5CAdministrator\5CDesktop\5CUN-REDD study\5COwn documents\5CUN-REDD study reference\03\00\014 Salmi, Nguyen, et al. 1999 4 /id\00 \00 </w:instrText>
      </w:r>
      <w:r w:rsidR="00C47C3B" w:rsidRPr="00EC1298">
        <w:rPr>
          <w:rFonts w:ascii="Book Antiqua" w:hAnsi="Book Antiqua" w:cs="Arial"/>
          <w:vanish/>
        </w:rPr>
        <w:fldChar w:fldCharType="end"/>
      </w:r>
      <w:r w:rsidR="00C47C3B" w:rsidRPr="00EC1298">
        <w:rPr>
          <w:rFonts w:ascii="Book Antiqua" w:hAnsi="Book Antiqua" w:cs="Arial"/>
        </w:rPr>
        <w:fldChar w:fldCharType="separate"/>
      </w:r>
      <w:r w:rsidRPr="00EC1298">
        <w:rPr>
          <w:rFonts w:ascii="Book Antiqua" w:hAnsi="Book Antiqua" w:cs="Arial"/>
        </w:rPr>
        <w:t>Salmi, Nguyen, and Le 1999)</w:t>
      </w:r>
      <w:r w:rsidR="00C47C3B" w:rsidRPr="00EC1298">
        <w:rPr>
          <w:rFonts w:ascii="Book Antiqua" w:hAnsi="Book Antiqua" w:cs="Arial"/>
        </w:rPr>
        <w:fldChar w:fldCharType="end"/>
      </w:r>
      <w:r w:rsidRPr="00EC1298">
        <w:rPr>
          <w:rFonts w:ascii="Book Antiqua" w:hAnsi="Book Antiqua" w:cs="Arial"/>
        </w:rPr>
        <w:t xml:space="preserve">. </w:t>
      </w:r>
    </w:p>
    <w:p w:rsidR="00351F2C" w:rsidRPr="00EC1298" w:rsidRDefault="00351F2C" w:rsidP="00A256CB">
      <w:pPr>
        <w:spacing w:after="0" w:line="300" w:lineRule="atLeast"/>
        <w:jc w:val="both"/>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Provincial authorities (i.e. PPCs) have the power to decide on specific projects within cost norms set by the national policy.  In some cases, PPCs lower the cost norms for forest </w:t>
      </w:r>
      <w:r w:rsidRPr="00EC1298">
        <w:rPr>
          <w:rFonts w:ascii="Book Antiqua" w:hAnsi="Book Antiqua" w:cs="Arial"/>
        </w:rPr>
        <w:lastRenderedPageBreak/>
        <w:t>protection in contracts with local households in order to cover a larger of forest area with the allocated budget. Nevertheless, PPCs do not have the flexibility to shift the budget from one category to another or to exceed the norms set by the national policy.</w:t>
      </w:r>
    </w:p>
    <w:p w:rsidR="00351F2C" w:rsidRPr="00EC1298" w:rsidRDefault="00351F2C" w:rsidP="00A256CB">
      <w:pPr>
        <w:spacing w:after="0" w:line="300" w:lineRule="atLeast"/>
        <w:jc w:val="both"/>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An evaluation of the </w:t>
      </w:r>
      <w:r w:rsidR="00480D3D">
        <w:rPr>
          <w:rFonts w:ascii="Book Antiqua" w:hAnsi="Book Antiqua" w:cs="Arial"/>
        </w:rPr>
        <w:t>programme</w:t>
      </w:r>
      <w:r w:rsidRPr="00EC1298">
        <w:rPr>
          <w:rFonts w:ascii="Book Antiqua" w:hAnsi="Book Antiqua" w:cs="Arial"/>
        </w:rPr>
        <w:t xml:space="preserve"> ndicated that there are several bottlenecks in the current budget planning and allocation </w:t>
      </w:r>
      <w:r w:rsidR="00C47C3B" w:rsidRPr="00EC1298">
        <w:rPr>
          <w:rFonts w:ascii="Book Antiqua" w:hAnsi="Book Antiqua" w:cs="Arial"/>
        </w:rPr>
        <w:fldChar w:fldCharType="begin"/>
      </w:r>
      <w:r w:rsidRPr="00EC1298">
        <w:rPr>
          <w:rFonts w:ascii="Book Antiqua" w:hAnsi="Book Antiqua" w:cs="Arial"/>
        </w:rPr>
        <w:instrText xml:space="preserve"> QUOTE "(Ministry of Agriculture and Rural Development (MARD) 2001)" </w:instrText>
      </w:r>
      <w:r w:rsidR="00C47C3B" w:rsidRPr="00EC1298">
        <w:rPr>
          <w:rFonts w:ascii="Book Antiqua" w:hAnsi="Book Antiqua" w:cs="Arial"/>
          <w:vanish/>
        </w:rPr>
        <w:fldChar w:fldCharType="begin"/>
      </w:r>
      <w:r w:rsidRPr="00EC1298">
        <w:rPr>
          <w:rFonts w:ascii="Book Antiqua" w:hAnsi="Book Antiqua" w:cs="Arial"/>
          <w:vanish/>
        </w:rPr>
        <w:instrText xml:space="preserve"> ADDIN REFMAN ÿ\11\05‘\19\01\00\00\00;(Ministry of Agriculture and Rural Development (MARD) 2001)\00;\00cC:\5CDocuments and Settings\5CAdministrator\5CDesktop\5CUN-REDD study\5COwn documents\5CUN-REDD study reference\03\00\011?Ministry of Agriculture and Rural Development (MARD) 2001 1 /id\00?\00 </w:instrText>
      </w:r>
      <w:r w:rsidR="00C47C3B" w:rsidRPr="00EC1298">
        <w:rPr>
          <w:rFonts w:ascii="Book Antiqua" w:hAnsi="Book Antiqua" w:cs="Arial"/>
          <w:vanish/>
        </w:rPr>
        <w:fldChar w:fldCharType="end"/>
      </w:r>
      <w:r w:rsidR="00C47C3B" w:rsidRPr="00EC1298">
        <w:rPr>
          <w:rFonts w:ascii="Book Antiqua" w:hAnsi="Book Antiqua" w:cs="Arial"/>
        </w:rPr>
        <w:fldChar w:fldCharType="separate"/>
      </w:r>
      <w:r w:rsidRPr="00EC1298">
        <w:rPr>
          <w:rFonts w:ascii="Book Antiqua" w:hAnsi="Book Antiqua" w:cs="Arial"/>
        </w:rPr>
        <w:t>(MARD 2001)</w:t>
      </w:r>
      <w:r w:rsidR="00C47C3B" w:rsidRPr="00EC1298">
        <w:rPr>
          <w:rFonts w:ascii="Book Antiqua" w:hAnsi="Book Antiqua" w:cs="Arial"/>
        </w:rPr>
        <w:fldChar w:fldCharType="end"/>
      </w:r>
      <w:r w:rsidRPr="00EC1298">
        <w:rPr>
          <w:rFonts w:ascii="Book Antiqua" w:hAnsi="Book Antiqua" w:cs="Arial"/>
        </w:rPr>
        <w:t>:</w:t>
      </w:r>
    </w:p>
    <w:p w:rsidR="00351F2C" w:rsidRPr="00EC1298" w:rsidRDefault="00351F2C" w:rsidP="00A256CB">
      <w:pPr>
        <w:spacing w:after="0" w:line="300" w:lineRule="atLeast"/>
        <w:rPr>
          <w:rFonts w:ascii="Book Antiqua" w:hAnsi="Book Antiqua" w:cs="Arial"/>
        </w:rPr>
      </w:pPr>
    </w:p>
    <w:p w:rsidR="00351F2C" w:rsidRPr="00EC1298" w:rsidRDefault="00351F2C" w:rsidP="003E3CBA">
      <w:pPr>
        <w:numPr>
          <w:ilvl w:val="0"/>
          <w:numId w:val="44"/>
        </w:numPr>
        <w:tabs>
          <w:tab w:val="left" w:pos="960"/>
        </w:tabs>
        <w:spacing w:after="0" w:line="300" w:lineRule="atLeast"/>
        <w:jc w:val="both"/>
        <w:rPr>
          <w:rFonts w:ascii="Book Antiqua" w:hAnsi="Book Antiqua" w:cs="Arial"/>
        </w:rPr>
      </w:pPr>
      <w:r w:rsidRPr="00EC1298">
        <w:rPr>
          <w:rFonts w:ascii="Book Antiqua" w:hAnsi="Book Antiqua" w:cs="Arial"/>
        </w:rPr>
        <w:t xml:space="preserve">Government agencies including </w:t>
      </w:r>
      <w:r w:rsidR="003A6A8D">
        <w:rPr>
          <w:rFonts w:ascii="Book Antiqua" w:hAnsi="Book Antiqua" w:cs="Arial"/>
        </w:rPr>
        <w:t>SOC</w:t>
      </w:r>
      <w:r w:rsidRPr="00EC1298">
        <w:rPr>
          <w:rFonts w:ascii="Book Antiqua" w:hAnsi="Book Antiqua" w:cs="Arial"/>
        </w:rPr>
        <w:t xml:space="preserve">s continue to control the majority of planning and implementation processes. </w:t>
      </w:r>
    </w:p>
    <w:p w:rsidR="00351F2C" w:rsidRPr="00EC1298" w:rsidRDefault="00351F2C" w:rsidP="003E3CBA">
      <w:pPr>
        <w:numPr>
          <w:ilvl w:val="0"/>
          <w:numId w:val="44"/>
        </w:numPr>
        <w:tabs>
          <w:tab w:val="left" w:pos="960"/>
        </w:tabs>
        <w:spacing w:after="0" w:line="300" w:lineRule="atLeast"/>
        <w:jc w:val="both"/>
        <w:rPr>
          <w:rFonts w:ascii="Book Antiqua" w:hAnsi="Book Antiqua" w:cs="Arial"/>
        </w:rPr>
      </w:pPr>
      <w:r w:rsidRPr="00EC1298">
        <w:rPr>
          <w:rFonts w:ascii="Book Antiqua" w:hAnsi="Book Antiqua" w:cs="Arial"/>
        </w:rPr>
        <w:t xml:space="preserve">The process is overwhelmed by the command and control-oriented procedures. </w:t>
      </w:r>
    </w:p>
    <w:p w:rsidR="00351F2C" w:rsidRPr="00EC1298" w:rsidRDefault="00351F2C" w:rsidP="003E3CBA">
      <w:pPr>
        <w:numPr>
          <w:ilvl w:val="0"/>
          <w:numId w:val="44"/>
        </w:numPr>
        <w:tabs>
          <w:tab w:val="left" w:pos="960"/>
        </w:tabs>
        <w:spacing w:after="0" w:line="300" w:lineRule="atLeast"/>
        <w:jc w:val="both"/>
        <w:rPr>
          <w:rFonts w:ascii="Book Antiqua" w:hAnsi="Book Antiqua" w:cs="Arial"/>
        </w:rPr>
      </w:pPr>
      <w:r w:rsidRPr="00EC1298">
        <w:rPr>
          <w:rFonts w:ascii="Book Antiqua" w:hAnsi="Book Antiqua" w:cs="Arial"/>
        </w:rPr>
        <w:t xml:space="preserve">Provinces must resort to political processes (and political patronage) to ensure access to </w:t>
      </w:r>
      <w:r w:rsidR="00480D3D">
        <w:rPr>
          <w:rFonts w:ascii="Book Antiqua" w:hAnsi="Book Antiqua" w:cs="Arial"/>
        </w:rPr>
        <w:t>programme</w:t>
      </w:r>
      <w:r w:rsidRPr="00EC1298">
        <w:rPr>
          <w:rFonts w:ascii="Book Antiqua" w:hAnsi="Book Antiqua" w:cs="Arial"/>
        </w:rPr>
        <w:t xml:space="preserve"> funding. </w:t>
      </w:r>
    </w:p>
    <w:p w:rsidR="00351F2C" w:rsidRPr="00EC1298" w:rsidRDefault="00351F2C" w:rsidP="003E3CBA">
      <w:pPr>
        <w:numPr>
          <w:ilvl w:val="0"/>
          <w:numId w:val="44"/>
        </w:numPr>
        <w:tabs>
          <w:tab w:val="left" w:pos="960"/>
        </w:tabs>
        <w:spacing w:after="0" w:line="300" w:lineRule="atLeast"/>
        <w:jc w:val="both"/>
        <w:rPr>
          <w:rFonts w:ascii="Book Antiqua" w:hAnsi="Book Antiqua" w:cs="Arial"/>
        </w:rPr>
      </w:pPr>
      <w:r w:rsidRPr="00EC1298">
        <w:rPr>
          <w:rFonts w:ascii="Book Antiqua" w:hAnsi="Book Antiqua" w:cs="Arial"/>
        </w:rPr>
        <w:t xml:space="preserve">Monitoring and evaluation of </w:t>
      </w:r>
      <w:r w:rsidR="00480D3D">
        <w:rPr>
          <w:rFonts w:ascii="Book Antiqua" w:hAnsi="Book Antiqua" w:cs="Arial"/>
        </w:rPr>
        <w:t>programme</w:t>
      </w:r>
      <w:r w:rsidRPr="00EC1298">
        <w:rPr>
          <w:rFonts w:ascii="Book Antiqua" w:hAnsi="Book Antiqua" w:cs="Arial"/>
        </w:rPr>
        <w:t xml:space="preserve"> implementation and budget is weak.  Clear objectives, criteria and indicators are lacking, which prevents transparent monitoring and evaluation. In addition, once approved, there are few, if any checks to prevent funds being used for projects other than those foreseen in annual workplans.</w:t>
      </w:r>
    </w:p>
    <w:p w:rsidR="00351F2C" w:rsidRPr="00445F77" w:rsidRDefault="00351F2C" w:rsidP="00A256CB">
      <w:pPr>
        <w:spacing w:after="0" w:line="300" w:lineRule="atLeast"/>
        <w:rPr>
          <w:rFonts w:ascii="Arial" w:hAnsi="Arial" w:cs="Arial"/>
          <w:sz w:val="24"/>
          <w:szCs w:val="24"/>
          <w:u w:val="single"/>
        </w:rPr>
      </w:pPr>
    </w:p>
    <w:p w:rsidR="00351F2C" w:rsidRPr="00445F77" w:rsidRDefault="00351F2C" w:rsidP="00A256CB">
      <w:pPr>
        <w:spacing w:after="0"/>
        <w:rPr>
          <w:rFonts w:ascii="Arial" w:hAnsi="Arial" w:cs="Arial"/>
          <w:i/>
          <w:color w:val="1F497D"/>
          <w:sz w:val="24"/>
          <w:szCs w:val="24"/>
        </w:rPr>
      </w:pPr>
      <w:r w:rsidRPr="00445F77">
        <w:rPr>
          <w:rFonts w:ascii="Arial" w:hAnsi="Arial" w:cs="Arial"/>
          <w:i/>
          <w:color w:val="1F497D"/>
          <w:sz w:val="24"/>
          <w:szCs w:val="24"/>
        </w:rPr>
        <w:t>Payment structuring</w:t>
      </w:r>
    </w:p>
    <w:p w:rsidR="00351F2C" w:rsidRPr="00EC1298" w:rsidRDefault="00351F2C" w:rsidP="00EC1298">
      <w:pPr>
        <w:spacing w:after="0" w:line="300" w:lineRule="exact"/>
        <w:contextualSpacing/>
        <w:jc w:val="both"/>
        <w:rPr>
          <w:rFonts w:ascii="Book Antiqua" w:hAnsi="Book Antiqua" w:cs="Arial"/>
        </w:rPr>
      </w:pPr>
      <w:r w:rsidRPr="00EC1298">
        <w:rPr>
          <w:rFonts w:ascii="Book Antiqua" w:hAnsi="Book Antiqua" w:cs="Arial"/>
        </w:rPr>
        <w:t>Individual households benefit through projects that are typically executed by district-level Forest Protection Units, the Economic or Agricultural Division of a district PC, a Forest Company or a PAMB.  For plantation establishment on production forest land, project executing agencies provide individual households with free seedlings and, in some cases, fertilizer equivalent to up to VND 2 million per ha (around US$110).  They provide inputs and cash payments equivalent to a total of up to VND 6 million per ha (US$330) for new plantations on protection forest land.  They also pay households up to VND 100,000 (US$5) per ha a year for the protection of natural forests.</w:t>
      </w:r>
      <w:r w:rsidRPr="00EC1298">
        <w:rPr>
          <w:rStyle w:val="FootnoteReference"/>
          <w:rFonts w:ascii="Book Antiqua" w:hAnsi="Book Antiqua" w:cs="Arial"/>
        </w:rPr>
        <w:footnoteReference w:id="11"/>
      </w:r>
    </w:p>
    <w:p w:rsidR="00351F2C" w:rsidRPr="00EC1298" w:rsidRDefault="00351F2C" w:rsidP="00EC1298">
      <w:pPr>
        <w:spacing w:after="0" w:line="300" w:lineRule="exact"/>
        <w:contextualSpacing/>
        <w:rPr>
          <w:rFonts w:ascii="Book Antiqua" w:hAnsi="Book Antiqua" w:cs="Arial"/>
        </w:rPr>
      </w:pPr>
    </w:p>
    <w:p w:rsidR="00351F2C" w:rsidRPr="00EC1298" w:rsidRDefault="00351F2C" w:rsidP="00EC1298">
      <w:pPr>
        <w:spacing w:after="0" w:line="300" w:lineRule="exact"/>
        <w:contextualSpacing/>
        <w:jc w:val="both"/>
        <w:rPr>
          <w:rFonts w:ascii="Book Antiqua" w:hAnsi="Book Antiqua" w:cs="Arial"/>
        </w:rPr>
      </w:pPr>
      <w:r w:rsidRPr="00EC1298">
        <w:rPr>
          <w:rFonts w:ascii="Book Antiqua" w:hAnsi="Book Antiqua" w:cs="Arial"/>
        </w:rPr>
        <w:t xml:space="preserve">Forestry </w:t>
      </w:r>
      <w:r w:rsidR="003A6A8D">
        <w:rPr>
          <w:rFonts w:ascii="Book Antiqua" w:hAnsi="Book Antiqua" w:cs="Arial"/>
        </w:rPr>
        <w:t xml:space="preserve">State-Owned </w:t>
      </w:r>
      <w:r w:rsidRPr="00EC1298">
        <w:rPr>
          <w:rFonts w:ascii="Book Antiqua" w:hAnsi="Book Antiqua" w:cs="Arial"/>
        </w:rPr>
        <w:t>Companies (</w:t>
      </w:r>
      <w:r w:rsidR="003A6A8D">
        <w:rPr>
          <w:rFonts w:ascii="Book Antiqua" w:hAnsi="Book Antiqua" w:cs="Arial"/>
        </w:rPr>
        <w:t>SO</w:t>
      </w:r>
      <w:r w:rsidRPr="00EC1298">
        <w:rPr>
          <w:rFonts w:ascii="Book Antiqua" w:hAnsi="Book Antiqua" w:cs="Arial"/>
        </w:rPr>
        <w:t xml:space="preserve">Cs) and PAMBs receive a large share of 661 </w:t>
      </w:r>
      <w:r w:rsidR="00480D3D">
        <w:rPr>
          <w:rFonts w:ascii="Book Antiqua" w:hAnsi="Book Antiqua" w:cs="Arial"/>
        </w:rPr>
        <w:t>Programme</w:t>
      </w:r>
      <w:r w:rsidRPr="00EC1298">
        <w:rPr>
          <w:rFonts w:ascii="Book Antiqua" w:hAnsi="Book Antiqua" w:cs="Arial"/>
        </w:rPr>
        <w:t xml:space="preserve"> funds in the form of grants for the above-mentioned payments to households as well as loans.  Loans account for a greater proportion of 661 finances than projects providing payments to households.  Little is known about the use of loans by Forestry Companies and PAMBs as well as their performance.  There is only circumstantial evidence that 661 funds remain critical for the operation of PAMBs.</w:t>
      </w:r>
      <w:r w:rsidRPr="00EC1298">
        <w:rPr>
          <w:rStyle w:val="FootnoteReference"/>
          <w:rFonts w:ascii="Book Antiqua" w:hAnsi="Book Antiqua" w:cs="Arial"/>
        </w:rPr>
        <w:footnoteReference w:id="12"/>
      </w:r>
      <w:r w:rsidRPr="00EC1298">
        <w:rPr>
          <w:rFonts w:ascii="Book Antiqua" w:hAnsi="Book Antiqua" w:cs="Arial"/>
        </w:rPr>
        <w:t xml:space="preserve">  </w:t>
      </w:r>
    </w:p>
    <w:p w:rsidR="00351F2C" w:rsidRPr="00EC1298" w:rsidRDefault="00351F2C" w:rsidP="00EC1298">
      <w:pPr>
        <w:spacing w:after="0" w:line="300" w:lineRule="exact"/>
        <w:contextualSpacing/>
        <w:jc w:val="both"/>
        <w:rPr>
          <w:rFonts w:ascii="Book Antiqua" w:hAnsi="Book Antiqua" w:cs="Arial"/>
        </w:rPr>
      </w:pPr>
    </w:p>
    <w:p w:rsidR="00351F2C" w:rsidRPr="00EC1298" w:rsidRDefault="00351F2C" w:rsidP="00EC1298">
      <w:pPr>
        <w:spacing w:after="0" w:line="300" w:lineRule="exact"/>
        <w:contextualSpacing/>
        <w:jc w:val="both"/>
        <w:rPr>
          <w:rFonts w:ascii="Book Antiqua" w:hAnsi="Book Antiqua" w:cs="Arial"/>
        </w:rPr>
      </w:pPr>
      <w:r w:rsidRPr="00EC1298">
        <w:rPr>
          <w:rFonts w:ascii="Book Antiqua" w:hAnsi="Book Antiqua" w:cs="Arial"/>
        </w:rPr>
        <w:t xml:space="preserve">Over the past two decades there have been efforts to reform </w:t>
      </w:r>
      <w:r w:rsidR="003A6A8D">
        <w:rPr>
          <w:rFonts w:ascii="Book Antiqua" w:hAnsi="Book Antiqua" w:cs="Arial"/>
        </w:rPr>
        <w:t>SO</w:t>
      </w:r>
      <w:r w:rsidRPr="00EC1298">
        <w:rPr>
          <w:rFonts w:ascii="Book Antiqua" w:hAnsi="Book Antiqua" w:cs="Arial"/>
        </w:rPr>
        <w:t xml:space="preserve">Cs, reflected in a recent change in name from State Forest Enterprises to </w:t>
      </w:r>
      <w:r w:rsidR="003A6A8D">
        <w:rPr>
          <w:rFonts w:ascii="Book Antiqua" w:hAnsi="Book Antiqua" w:cs="Arial"/>
        </w:rPr>
        <w:t>SO</w:t>
      </w:r>
      <w:r w:rsidRPr="00EC1298">
        <w:rPr>
          <w:rFonts w:ascii="Book Antiqua" w:hAnsi="Book Antiqua" w:cs="Arial"/>
        </w:rPr>
        <w:t xml:space="preserve">Cs.  Yet not all have shown commitment to implement national reform legislation.  As a result, many </w:t>
      </w:r>
      <w:r w:rsidR="003A6A8D">
        <w:rPr>
          <w:rFonts w:ascii="Book Antiqua" w:hAnsi="Book Antiqua" w:cs="Arial"/>
        </w:rPr>
        <w:t>SOC</w:t>
      </w:r>
      <w:r w:rsidRPr="00EC1298">
        <w:rPr>
          <w:rFonts w:ascii="Book Antiqua" w:hAnsi="Book Antiqua" w:cs="Arial"/>
        </w:rPr>
        <w:t xml:space="preserve">s continue to survive on 661 </w:t>
      </w:r>
      <w:r w:rsidR="00480D3D">
        <w:rPr>
          <w:rFonts w:ascii="Book Antiqua" w:hAnsi="Book Antiqua" w:cs="Arial"/>
        </w:rPr>
        <w:t>Programme</w:t>
      </w:r>
      <w:r w:rsidRPr="00EC1298">
        <w:rPr>
          <w:rFonts w:ascii="Book Antiqua" w:hAnsi="Book Antiqua" w:cs="Arial"/>
        </w:rPr>
        <w:t xml:space="preserve"> funds, taking advantage of the national policy decision to allow them to retain up to 5,000 ha of protection forest and receive 661 funds for their protection (Ogle and Nguyen 2005).  </w:t>
      </w:r>
    </w:p>
    <w:p w:rsidR="00351F2C" w:rsidRPr="00445F77" w:rsidRDefault="00351F2C" w:rsidP="00A256CB">
      <w:pPr>
        <w:spacing w:after="0" w:line="300" w:lineRule="atLeast"/>
        <w:contextualSpacing/>
        <w:rPr>
          <w:rFonts w:ascii="Arial" w:hAnsi="Arial" w:cs="Arial"/>
          <w:sz w:val="24"/>
          <w:szCs w:val="24"/>
        </w:rPr>
      </w:pPr>
    </w:p>
    <w:p w:rsidR="008F6D17" w:rsidRDefault="008F6D17" w:rsidP="00A256CB">
      <w:pPr>
        <w:spacing w:after="0" w:line="300" w:lineRule="atLeast"/>
        <w:jc w:val="both"/>
        <w:rPr>
          <w:rFonts w:ascii="Arial" w:hAnsi="Arial" w:cs="Arial"/>
          <w:bCs/>
          <w:i/>
          <w:color w:val="1F497D"/>
          <w:sz w:val="24"/>
          <w:szCs w:val="24"/>
        </w:rPr>
      </w:pPr>
    </w:p>
    <w:p w:rsidR="00351F2C" w:rsidRPr="00445F77" w:rsidRDefault="00351F2C" w:rsidP="00A256CB">
      <w:pPr>
        <w:spacing w:after="0" w:line="300" w:lineRule="atLeast"/>
        <w:jc w:val="both"/>
        <w:rPr>
          <w:rFonts w:ascii="Arial" w:hAnsi="Arial" w:cs="Arial"/>
          <w:bCs/>
          <w:i/>
          <w:color w:val="1F497D"/>
          <w:sz w:val="24"/>
          <w:szCs w:val="24"/>
        </w:rPr>
      </w:pPr>
      <w:r w:rsidRPr="00445F77">
        <w:rPr>
          <w:rFonts w:ascii="Arial" w:hAnsi="Arial" w:cs="Arial"/>
          <w:bCs/>
          <w:i/>
          <w:color w:val="1F497D"/>
          <w:sz w:val="24"/>
          <w:szCs w:val="24"/>
        </w:rPr>
        <w:t xml:space="preserve">Linking benefits to performance </w:t>
      </w: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 xml:space="preserve">The 661 </w:t>
      </w:r>
      <w:r w:rsidR="00480D3D">
        <w:rPr>
          <w:rFonts w:ascii="Book Antiqua" w:hAnsi="Book Antiqua" w:cs="Arial"/>
        </w:rPr>
        <w:t>Programme</w:t>
      </w:r>
      <w:r w:rsidRPr="00EC1298">
        <w:rPr>
          <w:rFonts w:ascii="Book Antiqua" w:hAnsi="Book Antiqua" w:cs="Arial"/>
        </w:rPr>
        <w:t xml:space="preserve"> fails to create a solid linkage between payments for reforestation and actual performance.  The problems are three-fold.  First, performance measurement focuses on the establishment of plantations, that is, the number of seedlings planted and their survival rates in the first year of planting.  There is no attempt to measure the success of programme in the medium or long term. Second, project officials would have a hard time to levy fines on households, as fines are notoriously hard to collect from villagers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Officials could also not request the return of project support, as that was delivered in kind and had no further value after planting.  Third, project executing agencies have no incentive to report project failures, as that would lead to a reduction in the funds allocated to them.  An official from </w:t>
      </w:r>
      <w:smartTag w:uri="urn:schemas-microsoft-com:office:smarttags" w:element="place">
        <w:smartTag w:uri="urn:schemas-microsoft-com:office:smarttags" w:element="PlaceName">
          <w:r w:rsidRPr="00EC1298">
            <w:rPr>
              <w:rFonts w:ascii="Book Antiqua" w:hAnsi="Book Antiqua" w:cs="Arial"/>
            </w:rPr>
            <w:t>Ba</w:t>
          </w:r>
        </w:smartTag>
        <w:r w:rsidRPr="00EC1298">
          <w:rPr>
            <w:rFonts w:ascii="Book Antiqua" w:hAnsi="Book Antiqua" w:cs="Arial"/>
          </w:rPr>
          <w:t xml:space="preserve"> </w:t>
        </w:r>
        <w:smartTag w:uri="urn:schemas-microsoft-com:office:smarttags" w:element="PlaceName">
          <w:r w:rsidRPr="00EC1298">
            <w:rPr>
              <w:rFonts w:ascii="Book Antiqua" w:hAnsi="Book Antiqua" w:cs="Arial"/>
            </w:rPr>
            <w:t>Vi</w:t>
          </w:r>
        </w:smartTag>
        <w:r w:rsidRPr="00EC1298">
          <w:rPr>
            <w:rFonts w:ascii="Book Antiqua" w:hAnsi="Book Antiqua" w:cs="Arial"/>
          </w:rPr>
          <w:t xml:space="preserve"> </w:t>
        </w:r>
        <w:smartTag w:uri="urn:schemas-microsoft-com:office:smarttags" w:element="PlaceType">
          <w:r w:rsidRPr="00EC1298">
            <w:rPr>
              <w:rFonts w:ascii="Book Antiqua" w:hAnsi="Book Antiqua" w:cs="Arial"/>
            </w:rPr>
            <w:t>National Park</w:t>
          </w:r>
        </w:smartTag>
      </w:smartTag>
      <w:r w:rsidRPr="00EC1298">
        <w:rPr>
          <w:rFonts w:ascii="Book Antiqua" w:hAnsi="Book Antiqua" w:cs="Arial"/>
        </w:rPr>
        <w:t xml:space="preserve"> told the consultants “If all the trees planted on the land [inside the park] survive, there would be 10 layers of trees on the land already… if this is the case, there is no funding for the Park anymore” (To 2007).  Project officers typically report sufficiently high survival rates (the required 90%) when they inspect plantations.  As a result, a significant number of plantations established with support by the 661 </w:t>
      </w:r>
      <w:r w:rsidR="00480D3D">
        <w:rPr>
          <w:rFonts w:ascii="Book Antiqua" w:hAnsi="Book Antiqua" w:cs="Arial"/>
        </w:rPr>
        <w:t>Programme</w:t>
      </w:r>
      <w:r w:rsidRPr="00EC1298">
        <w:rPr>
          <w:rFonts w:ascii="Book Antiqua" w:hAnsi="Book Antiqua" w:cs="Arial"/>
        </w:rPr>
        <w:t xml:space="preserve"> have failed (e.g., Sikor 2001; To 2007).</w:t>
      </w:r>
    </w:p>
    <w:p w:rsidR="00351F2C" w:rsidRPr="00EC1298" w:rsidRDefault="00351F2C" w:rsidP="00EC1298">
      <w:pPr>
        <w:spacing w:after="0" w:line="300" w:lineRule="exact"/>
        <w:rPr>
          <w:rFonts w:ascii="Book Antiqua" w:hAnsi="Book Antiqua" w:cs="Arial"/>
        </w:rPr>
      </w:pP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The last problem also applies to the forest protection payments made in 661 projects.  The projects usually contract individual households or household groups to protect specific forest parcels from encroachment.  Households receive cash payments of VND 100,000 (US$5) per hectare in the case of successful protection.  Project officials inspect the contract areas annually before payments are made and report their findings in writing.  Yet once again, officials have no incentive to report violations of the contracts, as those would bring about a cut in budget allocation.  In addition, some households collude with the officials to receive payments from the project despite low performance so that payments could be shared between the two. As a result, the project officials certify households’ compliance with their contractual obligations – unless encroachments on contracted forests are easily detectible by higher-level officials (e.g., if they are next to a road) (Sikor 2001; Wunder et al.  2005; To 2007).</w:t>
      </w:r>
    </w:p>
    <w:p w:rsidR="00351F2C" w:rsidRPr="00445F77" w:rsidRDefault="00351F2C" w:rsidP="00A256CB">
      <w:pPr>
        <w:spacing w:after="0" w:line="300" w:lineRule="atLeast"/>
        <w:rPr>
          <w:rFonts w:ascii="Arial" w:hAnsi="Arial" w:cs="Arial"/>
          <w:sz w:val="24"/>
          <w:szCs w:val="24"/>
        </w:rPr>
      </w:pPr>
    </w:p>
    <w:p w:rsidR="00351F2C" w:rsidRPr="00445F77" w:rsidRDefault="00351F2C" w:rsidP="00A256CB">
      <w:pPr>
        <w:spacing w:after="0" w:line="300" w:lineRule="atLeast"/>
        <w:contextualSpacing/>
        <w:rPr>
          <w:rFonts w:ascii="Arial" w:hAnsi="Arial" w:cs="Arial"/>
          <w:i/>
          <w:color w:val="1F497D"/>
          <w:sz w:val="24"/>
          <w:szCs w:val="24"/>
        </w:rPr>
      </w:pPr>
      <w:r w:rsidRPr="00445F77">
        <w:rPr>
          <w:rFonts w:ascii="Arial" w:hAnsi="Arial" w:cs="Arial"/>
          <w:i/>
          <w:color w:val="1F497D"/>
          <w:sz w:val="24"/>
          <w:szCs w:val="24"/>
        </w:rPr>
        <w:t>Analysis</w:t>
      </w:r>
    </w:p>
    <w:p w:rsidR="00351F2C" w:rsidRPr="00EC1298" w:rsidRDefault="00351F2C" w:rsidP="00A256CB">
      <w:pPr>
        <w:spacing w:after="0" w:line="300" w:lineRule="atLeast"/>
        <w:contextualSpacing/>
        <w:jc w:val="both"/>
        <w:rPr>
          <w:rFonts w:ascii="Book Antiqua" w:hAnsi="Book Antiqua" w:cs="Arial"/>
        </w:rPr>
      </w:pPr>
      <w:r w:rsidRPr="00EC1298">
        <w:rPr>
          <w:rFonts w:ascii="Book Antiqua" w:hAnsi="Book Antiqua" w:cs="Arial"/>
        </w:rPr>
        <w:t xml:space="preserve">The 661 programme demonstrates the </w:t>
      </w:r>
      <w:r w:rsidRPr="00EC1298">
        <w:rPr>
          <w:rFonts w:ascii="Book Antiqua" w:hAnsi="Book Antiqua" w:cs="Arial"/>
          <w:u w:val="single"/>
        </w:rPr>
        <w:t>impressive capacity</w:t>
      </w:r>
      <w:r w:rsidRPr="00EC1298">
        <w:rPr>
          <w:rFonts w:ascii="Book Antiqua" w:hAnsi="Book Antiqua" w:cs="Arial"/>
        </w:rPr>
        <w:t xml:space="preserve"> of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’s government to implement central </w:t>
      </w:r>
      <w:r w:rsidR="00480D3D">
        <w:rPr>
          <w:rFonts w:ascii="Book Antiqua" w:hAnsi="Book Antiqua" w:cs="Arial"/>
        </w:rPr>
        <w:t>programme</w:t>
      </w:r>
      <w:r w:rsidRPr="00EC1298">
        <w:rPr>
          <w:rFonts w:ascii="Book Antiqua" w:hAnsi="Book Antiqua" w:cs="Arial"/>
        </w:rPr>
        <w:t xml:space="preserve">s.  Yet experience with its implementation also reveals significant problems associated with such centralized </w:t>
      </w:r>
      <w:r w:rsidR="00480D3D">
        <w:rPr>
          <w:rFonts w:ascii="Book Antiqua" w:hAnsi="Book Antiqua" w:cs="Arial"/>
        </w:rPr>
        <w:t>programme</w:t>
      </w:r>
      <w:r w:rsidRPr="00EC1298">
        <w:rPr>
          <w:rFonts w:ascii="Book Antiqua" w:hAnsi="Book Antiqua" w:cs="Arial"/>
        </w:rPr>
        <w:t>s.</w:t>
      </w:r>
    </w:p>
    <w:p w:rsidR="00351F2C" w:rsidRPr="00EC1298" w:rsidRDefault="00351F2C" w:rsidP="00A256CB">
      <w:pPr>
        <w:spacing w:after="0" w:line="300" w:lineRule="atLeast"/>
        <w:contextualSpacing/>
        <w:rPr>
          <w:rFonts w:ascii="Book Antiqua" w:hAnsi="Book Antiqua" w:cs="Arial"/>
        </w:rPr>
      </w:pPr>
    </w:p>
    <w:p w:rsidR="00351F2C" w:rsidRPr="00EC1298" w:rsidRDefault="00351F2C" w:rsidP="00A256CB">
      <w:pPr>
        <w:spacing w:after="0" w:line="300" w:lineRule="atLeast"/>
        <w:contextualSpacing/>
        <w:jc w:val="both"/>
        <w:rPr>
          <w:rFonts w:ascii="Book Antiqua" w:hAnsi="Book Antiqua" w:cs="Arial"/>
        </w:rPr>
      </w:pPr>
      <w:r w:rsidRPr="00EC1298">
        <w:rPr>
          <w:rFonts w:ascii="Book Antiqua" w:hAnsi="Book Antiqua" w:cs="Arial"/>
        </w:rPr>
        <w:t xml:space="preserve">A key problem is that </w:t>
      </w:r>
      <w:r w:rsidRPr="00EC1298">
        <w:rPr>
          <w:rFonts w:ascii="Book Antiqua" w:hAnsi="Book Antiqua" w:cs="Arial"/>
          <w:u w:val="single"/>
        </w:rPr>
        <w:t>project resources are spread too thin</w:t>
      </w:r>
      <w:r w:rsidRPr="00EC1298">
        <w:rPr>
          <w:rFonts w:ascii="Book Antiqua" w:hAnsi="Book Antiqua" w:cs="Arial"/>
        </w:rPr>
        <w:t>.  The Programme provides limited support to forest protection and tree plantations due to high targets in terms of area covered and households supported, even after MARD increased some of the national cost norms in late 2007.</w:t>
      </w:r>
      <w:r w:rsidRPr="00EC1298">
        <w:rPr>
          <w:rStyle w:val="FootnoteReference"/>
          <w:rFonts w:ascii="Book Antiqua" w:hAnsi="Book Antiqua" w:cs="Arial"/>
        </w:rPr>
        <w:footnoteReference w:id="13"/>
      </w:r>
      <w:r w:rsidRPr="00EC1298">
        <w:rPr>
          <w:rFonts w:ascii="Book Antiqua" w:hAnsi="Book Antiqua" w:cs="Arial"/>
        </w:rPr>
        <w:t xml:space="preserve">  The free inputs supplied are unlikely to provide sufficient incentives for households to plant new trees unless they have decided to do so anyway (Sikor 2009).  Also, many 661 projects could benefit from better planning, capacity building, monitoring and checking, and the purchase of additional equipment and </w:t>
      </w:r>
      <w:r w:rsidRPr="00EC1298">
        <w:rPr>
          <w:rFonts w:ascii="Book Antiqua" w:hAnsi="Book Antiqua" w:cs="Arial"/>
        </w:rPr>
        <w:lastRenderedPageBreak/>
        <w:t>vehicles (van der Poel 2007).  Similarly, it is highly doubtful that the protection payments cause any changes in local forest management practices that go beyond those due to the enforcement of forest protection regulations (Wunder et al. 2005).</w:t>
      </w:r>
    </w:p>
    <w:p w:rsidR="00351F2C" w:rsidRPr="00EC1298" w:rsidRDefault="00351F2C" w:rsidP="00A256CB">
      <w:pPr>
        <w:spacing w:after="0" w:line="300" w:lineRule="atLeast"/>
        <w:contextualSpacing/>
        <w:rPr>
          <w:rFonts w:ascii="Book Antiqua" w:hAnsi="Book Antiqua" w:cs="Arial"/>
        </w:rPr>
      </w:pPr>
    </w:p>
    <w:p w:rsidR="00351F2C" w:rsidRPr="00EC1298" w:rsidRDefault="00351F2C" w:rsidP="00A256CB">
      <w:pPr>
        <w:spacing w:after="0" w:line="300" w:lineRule="atLeast"/>
        <w:contextualSpacing/>
        <w:jc w:val="both"/>
        <w:rPr>
          <w:rFonts w:ascii="Book Antiqua" w:hAnsi="Book Antiqua" w:cs="Arial"/>
        </w:rPr>
      </w:pPr>
      <w:r w:rsidRPr="00EC1298">
        <w:rPr>
          <w:rFonts w:ascii="Book Antiqua" w:hAnsi="Book Antiqua" w:cs="Arial"/>
        </w:rPr>
        <w:t xml:space="preserve">Another key problem constraining the effectiveness of the 661 </w:t>
      </w:r>
      <w:r w:rsidR="00480D3D">
        <w:rPr>
          <w:rFonts w:ascii="Book Antiqua" w:hAnsi="Book Antiqua" w:cs="Arial"/>
        </w:rPr>
        <w:t>Programme</w:t>
      </w:r>
      <w:r w:rsidRPr="00EC1298">
        <w:rPr>
          <w:rFonts w:ascii="Book Antiqua" w:hAnsi="Book Antiqua" w:cs="Arial"/>
        </w:rPr>
        <w:t xml:space="preserve"> is its </w:t>
      </w:r>
      <w:r w:rsidRPr="00EC1298">
        <w:rPr>
          <w:rFonts w:ascii="Book Antiqua" w:hAnsi="Book Antiqua" w:cs="Arial"/>
          <w:u w:val="single"/>
        </w:rPr>
        <w:t>centralized structure</w:t>
      </w:r>
      <w:r w:rsidRPr="00EC1298">
        <w:rPr>
          <w:rFonts w:ascii="Book Antiqua" w:hAnsi="Book Antiqua" w:cs="Arial"/>
        </w:rPr>
        <w:t>.  The allowable activities, implementation procedures, cost norms, etc. are all decided at the central level.  Local people have no influence on project design and planning (van der Poel 2007).  They become mere hired labor in the case of the protection of natural forest, contracted on an annual basis to PAMBs and other state units which hold legal title to the land.  Moreover, payments to individual households does not match communal forms of forest management that are found in many upland communities.  As a result, significant discrepancies arise between the contracts awarded by project executing agencies, on the one hand, and forest management activities and the actual distribution of protection payments, on the other (Sikor 2001; To 2007).</w:t>
      </w:r>
    </w:p>
    <w:p w:rsidR="00351F2C" w:rsidRPr="00EC1298" w:rsidRDefault="00351F2C" w:rsidP="00A256CB">
      <w:pPr>
        <w:spacing w:after="0" w:line="300" w:lineRule="atLeast"/>
        <w:contextualSpacing/>
        <w:rPr>
          <w:rFonts w:ascii="Book Antiqua" w:hAnsi="Book Antiqua" w:cs="Arial"/>
        </w:rPr>
      </w:pPr>
    </w:p>
    <w:p w:rsidR="00351F2C" w:rsidRPr="00EC1298" w:rsidRDefault="00351F2C" w:rsidP="00A256CB">
      <w:pPr>
        <w:spacing w:after="0" w:line="300" w:lineRule="atLeast"/>
        <w:contextualSpacing/>
        <w:jc w:val="both"/>
        <w:rPr>
          <w:rFonts w:ascii="Book Antiqua" w:hAnsi="Book Antiqua" w:cs="Arial"/>
        </w:rPr>
      </w:pPr>
      <w:r w:rsidRPr="00EC1298">
        <w:rPr>
          <w:rFonts w:ascii="Book Antiqua" w:hAnsi="Book Antiqua" w:cs="Arial"/>
        </w:rPr>
        <w:t xml:space="preserve">661 projects have also been found to be subject to </w:t>
      </w:r>
      <w:r w:rsidRPr="00EC1298">
        <w:rPr>
          <w:rFonts w:ascii="Book Antiqua" w:hAnsi="Book Antiqua" w:cs="Arial"/>
          <w:u w:val="single"/>
        </w:rPr>
        <w:t>elite capture</w:t>
      </w:r>
      <w:r w:rsidRPr="00EC1298">
        <w:rPr>
          <w:rFonts w:ascii="Book Antiqua" w:hAnsi="Book Antiqua" w:cs="Arial"/>
        </w:rPr>
        <w:t xml:space="preserve">.  For example, the administration of </w:t>
      </w:r>
      <w:smartTag w:uri="urn:schemas-microsoft-com:office:smarttags" w:element="place">
        <w:smartTag w:uri="urn:schemas-microsoft-com:office:smarttags" w:element="PlaceName">
          <w:r w:rsidRPr="00EC1298">
            <w:rPr>
              <w:rFonts w:ascii="Book Antiqua" w:hAnsi="Book Antiqua" w:cs="Arial"/>
            </w:rPr>
            <w:t>Ba</w:t>
          </w:r>
        </w:smartTag>
        <w:r w:rsidRPr="00EC1298">
          <w:rPr>
            <w:rFonts w:ascii="Book Antiqua" w:hAnsi="Book Antiqua" w:cs="Arial"/>
          </w:rPr>
          <w:t xml:space="preserve"> </w:t>
        </w:r>
        <w:smartTag w:uri="urn:schemas-microsoft-com:office:smarttags" w:element="PlaceName">
          <w:r w:rsidRPr="00EC1298">
            <w:rPr>
              <w:rFonts w:ascii="Book Antiqua" w:hAnsi="Book Antiqua" w:cs="Arial"/>
            </w:rPr>
            <w:t>Vi</w:t>
          </w:r>
        </w:smartTag>
        <w:r w:rsidRPr="00EC1298">
          <w:rPr>
            <w:rFonts w:ascii="Book Antiqua" w:hAnsi="Book Antiqua" w:cs="Arial"/>
          </w:rPr>
          <w:t xml:space="preserve"> </w:t>
        </w:r>
        <w:smartTag w:uri="urn:schemas-microsoft-com:office:smarttags" w:element="PlaceType">
          <w:r w:rsidRPr="00EC1298">
            <w:rPr>
              <w:rFonts w:ascii="Book Antiqua" w:hAnsi="Book Antiqua" w:cs="Arial"/>
            </w:rPr>
            <w:t>National Park</w:t>
          </w:r>
        </w:smartTag>
      </w:smartTag>
      <w:r w:rsidRPr="00EC1298">
        <w:rPr>
          <w:rFonts w:ascii="Book Antiqua" w:hAnsi="Book Antiqua" w:cs="Arial"/>
        </w:rPr>
        <w:t xml:space="preserve"> contracted a few influential people for the establishment of tree plantations on park land located next to a village.  Not a single villager received a reforestation contract for land that villagers had used customarily for the cultivation of food crops and livestock husbandry until the expansion of </w:t>
      </w:r>
      <w:smartTag w:uri="urn:schemas-microsoft-com:office:smarttags" w:element="place">
        <w:smartTag w:uri="urn:schemas-microsoft-com:office:smarttags" w:element="PlaceName">
          <w:r w:rsidRPr="00EC1298">
            <w:rPr>
              <w:rFonts w:ascii="Book Antiqua" w:hAnsi="Book Antiqua" w:cs="Arial"/>
            </w:rPr>
            <w:t>Ba</w:t>
          </w:r>
        </w:smartTag>
        <w:r w:rsidRPr="00EC1298">
          <w:rPr>
            <w:rFonts w:ascii="Book Antiqua" w:hAnsi="Book Antiqua" w:cs="Arial"/>
          </w:rPr>
          <w:t xml:space="preserve"> </w:t>
        </w:r>
        <w:smartTag w:uri="urn:schemas-microsoft-com:office:smarttags" w:element="PlaceName">
          <w:r w:rsidRPr="00EC1298">
            <w:rPr>
              <w:rFonts w:ascii="Book Antiqua" w:hAnsi="Book Antiqua" w:cs="Arial"/>
            </w:rPr>
            <w:t>Vi</w:t>
          </w:r>
        </w:smartTag>
        <w:r w:rsidRPr="00EC1298">
          <w:rPr>
            <w:rFonts w:ascii="Book Antiqua" w:hAnsi="Book Antiqua" w:cs="Arial"/>
          </w:rPr>
          <w:t xml:space="preserve"> </w:t>
        </w:r>
        <w:smartTag w:uri="urn:schemas-microsoft-com:office:smarttags" w:element="PlaceType">
          <w:r w:rsidRPr="00EC1298">
            <w:rPr>
              <w:rFonts w:ascii="Book Antiqua" w:hAnsi="Book Antiqua" w:cs="Arial"/>
            </w:rPr>
            <w:t>National Park</w:t>
          </w:r>
        </w:smartTag>
      </w:smartTag>
      <w:r w:rsidRPr="00EC1298">
        <w:rPr>
          <w:rFonts w:ascii="Book Antiqua" w:hAnsi="Book Antiqua" w:cs="Arial"/>
        </w:rPr>
        <w:t>.  Villagers instead were forced to team up with the contract holders under very unfavorable contractual conditions (To, 2009).  In another case in Phu Tho province, a village head was able to capture all payments made from the 661 budget for the protection of a natural forest located on the village territory.  Over time, he included relatives and close friends in forest protection, but other villagers did not participate and consequently continued to extract trees from the forest (To, 2007).</w:t>
      </w:r>
    </w:p>
    <w:p w:rsidR="00351F2C" w:rsidRPr="00EC1298" w:rsidRDefault="00351F2C" w:rsidP="00A256CB">
      <w:pPr>
        <w:spacing w:after="0" w:line="300" w:lineRule="atLeast"/>
        <w:rPr>
          <w:rFonts w:ascii="Book Antiqua" w:hAnsi="Book Antiqua" w:cs="Arial"/>
          <w:u w:val="single"/>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The problems hampering the 661 </w:t>
      </w:r>
      <w:r w:rsidR="00480D3D">
        <w:rPr>
          <w:rFonts w:ascii="Book Antiqua" w:hAnsi="Book Antiqua" w:cs="Arial"/>
        </w:rPr>
        <w:t>Programme</w:t>
      </w:r>
      <w:r w:rsidRPr="00EC1298">
        <w:rPr>
          <w:rFonts w:ascii="Book Antiqua" w:hAnsi="Book Antiqua" w:cs="Arial"/>
        </w:rPr>
        <w:t xml:space="preserve"> generate two important lessons for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’s future </w:t>
      </w:r>
      <w:r w:rsidR="00480D3D">
        <w:rPr>
          <w:rFonts w:ascii="Book Antiqua" w:hAnsi="Book Antiqua" w:cs="Arial"/>
        </w:rPr>
        <w:t>REDD+</w:t>
      </w:r>
      <w:r w:rsidRPr="00EC1298">
        <w:rPr>
          <w:rFonts w:ascii="Book Antiqua" w:hAnsi="Book Antiqua" w:cs="Arial"/>
        </w:rPr>
        <w:t xml:space="preserve"> Programme.  First, the Programme needs to distinguish clearly between the entities implementing actions and those monitoring their performance. The lack of such separation leads to conflicts of interest within the agency in charge of implementation and monitoring.  Second, payments delivered by state agencies are impossible to recover once they have been disbursed originally.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’s future </w:t>
      </w:r>
      <w:r w:rsidR="00480D3D">
        <w:rPr>
          <w:rFonts w:ascii="Book Antiqua" w:hAnsi="Book Antiqua" w:cs="Arial"/>
        </w:rPr>
        <w:t>REDD+</w:t>
      </w:r>
      <w:r w:rsidRPr="00EC1298">
        <w:rPr>
          <w:rFonts w:ascii="Book Antiqua" w:hAnsi="Book Antiqua" w:cs="Arial"/>
        </w:rPr>
        <w:t xml:space="preserve"> </w:t>
      </w:r>
      <w:r w:rsidR="00480D3D">
        <w:rPr>
          <w:rFonts w:ascii="Book Antiqua" w:hAnsi="Book Antiqua" w:cs="Arial"/>
        </w:rPr>
        <w:t>programme</w:t>
      </w:r>
      <w:r w:rsidRPr="00EC1298">
        <w:rPr>
          <w:rFonts w:ascii="Book Antiqua" w:hAnsi="Book Antiqua" w:cs="Arial"/>
        </w:rPr>
        <w:t xml:space="preserve"> either needs to make payments </w:t>
      </w:r>
      <w:r w:rsidRPr="00EC1298">
        <w:rPr>
          <w:rFonts w:ascii="Book Antiqua" w:hAnsi="Book Antiqua" w:cs="Arial"/>
          <w:i/>
        </w:rPr>
        <w:t>ex post</w:t>
      </w:r>
      <w:r w:rsidRPr="00EC1298">
        <w:rPr>
          <w:rFonts w:ascii="Book Antiqua" w:hAnsi="Book Antiqua" w:cs="Arial"/>
        </w:rPr>
        <w:t xml:space="preserve"> or find a new way of making them conditional upon performance.</w:t>
      </w:r>
    </w:p>
    <w:p w:rsidR="00351F2C" w:rsidRPr="00EC1298" w:rsidRDefault="00351F2C" w:rsidP="00A256CB">
      <w:pPr>
        <w:spacing w:after="0" w:line="300" w:lineRule="atLeast"/>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Centralized bureaucratic allocation may not meet the requirements of a REDD-compliant </w:t>
      </w:r>
      <w:r w:rsidR="00765C66">
        <w:rPr>
          <w:rFonts w:ascii="Book Antiqua" w:hAnsi="Book Antiqua" w:cs="Arial"/>
        </w:rPr>
        <w:t>BDS</w:t>
      </w:r>
      <w:r w:rsidRPr="00EC1298">
        <w:rPr>
          <w:rFonts w:ascii="Book Antiqua" w:hAnsi="Book Antiqua" w:cs="Arial"/>
        </w:rPr>
        <w:t xml:space="preserve">.  Centralized bureaucratic allocation is likely to lead to significant inefficiencies in the allocation of </w:t>
      </w:r>
      <w:r w:rsidR="00480D3D">
        <w:rPr>
          <w:rFonts w:ascii="Book Antiqua" w:hAnsi="Book Antiqua" w:cs="Arial"/>
        </w:rPr>
        <w:t>REDD+</w:t>
      </w:r>
      <w:r w:rsidRPr="00EC1298">
        <w:rPr>
          <w:rFonts w:ascii="Book Antiqua" w:hAnsi="Book Antiqua" w:cs="Arial"/>
        </w:rPr>
        <w:t xml:space="preserve"> funds.  Uniform payments would lead to a situation where payments are too high in some areas, as they exceed forest managers’ opportunity costs, and too low in other areas in order to cause a change in forest management (see Section 5.4).  For similar reasons, centralized decision-making are unlikely to facilitate the allocation of </w:t>
      </w:r>
      <w:r w:rsidR="00480D3D">
        <w:rPr>
          <w:rFonts w:ascii="Book Antiqua" w:hAnsi="Book Antiqua" w:cs="Arial"/>
        </w:rPr>
        <w:t>REDD+</w:t>
      </w:r>
      <w:r w:rsidRPr="00EC1298">
        <w:rPr>
          <w:rFonts w:ascii="Book Antiqua" w:hAnsi="Book Antiqua" w:cs="Arial"/>
        </w:rPr>
        <w:t xml:space="preserve"> funds to the areas with the highest potential for increases in carbon stocks.  However, such an approach may be considered the politically most convenient mechanism, as the principle of uniform cost norms is well established.  </w:t>
      </w:r>
    </w:p>
    <w:p w:rsidR="00351F2C" w:rsidRPr="00445F77" w:rsidRDefault="00351F2C" w:rsidP="00A256CB">
      <w:pPr>
        <w:spacing w:after="0" w:line="300" w:lineRule="atLeast"/>
        <w:rPr>
          <w:rFonts w:ascii="Arial" w:hAnsi="Arial" w:cs="Arial"/>
          <w:sz w:val="24"/>
          <w:szCs w:val="24"/>
        </w:rPr>
      </w:pPr>
    </w:p>
    <w:p w:rsidR="008F6D17" w:rsidRDefault="008F6D17" w:rsidP="00A256CB">
      <w:pPr>
        <w:spacing w:after="0"/>
        <w:jc w:val="both"/>
        <w:rPr>
          <w:rFonts w:ascii="Arial" w:hAnsi="Arial" w:cs="Arial"/>
          <w:color w:val="1F497D"/>
          <w:sz w:val="24"/>
          <w:szCs w:val="24"/>
        </w:rPr>
      </w:pPr>
    </w:p>
    <w:p w:rsidR="00351F2C" w:rsidRPr="00445F77" w:rsidRDefault="00351F2C" w:rsidP="00A256CB">
      <w:pPr>
        <w:spacing w:after="0"/>
        <w:jc w:val="both"/>
        <w:rPr>
          <w:rFonts w:ascii="Arial" w:hAnsi="Arial" w:cs="Arial"/>
          <w:color w:val="1F497D"/>
          <w:sz w:val="24"/>
          <w:szCs w:val="24"/>
        </w:rPr>
      </w:pPr>
      <w:r w:rsidRPr="00445F77">
        <w:rPr>
          <w:rFonts w:ascii="Arial" w:hAnsi="Arial" w:cs="Arial"/>
          <w:color w:val="1F497D"/>
          <w:sz w:val="24"/>
          <w:szCs w:val="24"/>
        </w:rPr>
        <w:t xml:space="preserve">2.2: </w:t>
      </w:r>
      <w:r w:rsidRPr="00445F77">
        <w:rPr>
          <w:rStyle w:val="Heading2Char"/>
          <w:rFonts w:ascii="Arial" w:eastAsia="Calibri" w:hAnsi="Arial" w:cs="Arial"/>
          <w:sz w:val="24"/>
          <w:szCs w:val="24"/>
        </w:rPr>
        <w:t>The 135 Programme</w:t>
      </w: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The socio-economic development </w:t>
      </w:r>
      <w:r w:rsidR="00480D3D">
        <w:rPr>
          <w:rFonts w:ascii="Book Antiqua" w:hAnsi="Book Antiqua" w:cs="Arial"/>
        </w:rPr>
        <w:t>programme</w:t>
      </w:r>
      <w:r w:rsidRPr="00EC1298">
        <w:rPr>
          <w:rFonts w:ascii="Book Antiqua" w:hAnsi="Book Antiqua" w:cs="Arial"/>
        </w:rPr>
        <w:t xml:space="preserve"> for special difficult, mountainous and remote communes, known as </w:t>
      </w:r>
      <w:r w:rsidR="00480D3D">
        <w:rPr>
          <w:rFonts w:ascii="Book Antiqua" w:hAnsi="Book Antiqua" w:cs="Arial"/>
        </w:rPr>
        <w:t>Programme</w:t>
      </w:r>
      <w:r w:rsidRPr="00EC1298">
        <w:rPr>
          <w:rFonts w:ascii="Book Antiqua" w:hAnsi="Book Antiqua" w:cs="Arial"/>
        </w:rPr>
        <w:t xml:space="preserve"> 135 for short was launched after Decision 135/1998/QD-TTg of the Prime Minister dated 31 July 1998. For the period of 1998-2005, the </w:t>
      </w:r>
      <w:r w:rsidR="00480D3D">
        <w:rPr>
          <w:rFonts w:ascii="Book Antiqua" w:hAnsi="Book Antiqua" w:cs="Arial"/>
        </w:rPr>
        <w:t>Programme</w:t>
      </w:r>
      <w:r w:rsidRPr="00EC1298">
        <w:rPr>
          <w:rFonts w:ascii="Book Antiqua" w:hAnsi="Book Antiqua" w:cs="Arial"/>
        </w:rPr>
        <w:t xml:space="preserve"> had the following objectives:</w:t>
      </w:r>
    </w:p>
    <w:p w:rsidR="00351F2C" w:rsidRPr="00EC1298" w:rsidRDefault="00351F2C" w:rsidP="00A256CB">
      <w:pPr>
        <w:spacing w:after="0" w:line="300" w:lineRule="atLeast"/>
        <w:jc w:val="both"/>
        <w:rPr>
          <w:rFonts w:ascii="Book Antiqua" w:hAnsi="Book Antiqua" w:cs="Arial"/>
        </w:rPr>
      </w:pPr>
    </w:p>
    <w:p w:rsidR="00351F2C" w:rsidRPr="00EC1298" w:rsidRDefault="00EC1298" w:rsidP="003E3CBA">
      <w:pPr>
        <w:numPr>
          <w:ilvl w:val="0"/>
          <w:numId w:val="36"/>
        </w:numPr>
        <w:tabs>
          <w:tab w:val="clear" w:pos="720"/>
          <w:tab w:val="num" w:pos="360"/>
        </w:tabs>
        <w:spacing w:after="0" w:line="300" w:lineRule="atLeast"/>
        <w:ind w:left="360"/>
        <w:jc w:val="both"/>
        <w:rPr>
          <w:rFonts w:ascii="Book Antiqua" w:hAnsi="Book Antiqua" w:cs="Arial"/>
        </w:rPr>
      </w:pPr>
      <w:r>
        <w:rPr>
          <w:rFonts w:ascii="Book Antiqua" w:hAnsi="Book Antiqua" w:cs="Arial"/>
        </w:rPr>
        <w:t>T</w:t>
      </w:r>
      <w:r w:rsidR="00351F2C" w:rsidRPr="00EC1298">
        <w:rPr>
          <w:rFonts w:ascii="Book Antiqua" w:hAnsi="Book Antiqua" w:cs="Arial"/>
        </w:rPr>
        <w:t>o eradicate the number of chronic hungry households by the year 2000; to reduce poor and hungry households by 4-5% annually, to provide clean fresh water to people, control dangerous epidemics and diseases, and to build roads to residential centers</w:t>
      </w:r>
    </w:p>
    <w:p w:rsidR="00351F2C" w:rsidRPr="00EC1298" w:rsidRDefault="00EC1298" w:rsidP="003E3CBA">
      <w:pPr>
        <w:numPr>
          <w:ilvl w:val="0"/>
          <w:numId w:val="36"/>
        </w:numPr>
        <w:tabs>
          <w:tab w:val="clear" w:pos="720"/>
          <w:tab w:val="num" w:pos="360"/>
        </w:tabs>
        <w:spacing w:after="0" w:line="300" w:lineRule="atLeast"/>
        <w:ind w:left="360"/>
        <w:jc w:val="both"/>
        <w:rPr>
          <w:rFonts w:ascii="Book Antiqua" w:hAnsi="Book Antiqua" w:cs="Arial"/>
        </w:rPr>
      </w:pPr>
      <w:r>
        <w:rPr>
          <w:rFonts w:ascii="Book Antiqua" w:hAnsi="Book Antiqua" w:cs="Arial"/>
        </w:rPr>
        <w:t>B</w:t>
      </w:r>
      <w:r w:rsidR="00351F2C" w:rsidRPr="00EC1298">
        <w:rPr>
          <w:rFonts w:ascii="Book Antiqua" w:hAnsi="Book Antiqua" w:cs="Arial"/>
        </w:rPr>
        <w:t>y the year 2005, to reduce poverty and hunger in special difficult, mountainous and remote communes to 25%, secure over 70% child enrolment in schools, and provide training in production.</w:t>
      </w:r>
    </w:p>
    <w:p w:rsidR="00351F2C" w:rsidRPr="00EC1298" w:rsidRDefault="00351F2C" w:rsidP="00A256CB">
      <w:pPr>
        <w:spacing w:after="0" w:line="300" w:lineRule="atLeast"/>
        <w:jc w:val="both"/>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By the end of 2004, the </w:t>
      </w:r>
      <w:r w:rsidR="00480D3D">
        <w:rPr>
          <w:rFonts w:ascii="Book Antiqua" w:hAnsi="Book Antiqua" w:cs="Arial"/>
        </w:rPr>
        <w:t>Programme</w:t>
      </w:r>
      <w:r w:rsidRPr="00EC1298">
        <w:rPr>
          <w:rFonts w:ascii="Book Antiqua" w:hAnsi="Book Antiqua" w:cs="Arial"/>
        </w:rPr>
        <w:t xml:space="preserve"> covered 2,374 communes in 52 provinces; of which 2,240 communes were funded through the national budget and 134 communes from local budgets.  A total amount of around 7,228 billion VND were spent on the </w:t>
      </w:r>
      <w:r w:rsidR="00480D3D">
        <w:rPr>
          <w:rFonts w:ascii="Book Antiqua" w:hAnsi="Book Antiqua" w:cs="Arial"/>
        </w:rPr>
        <w:t>programme</w:t>
      </w:r>
      <w:r w:rsidRPr="00EC1298">
        <w:rPr>
          <w:rFonts w:ascii="Book Antiqua" w:hAnsi="Book Antiqua" w:cs="Arial"/>
        </w:rPr>
        <w:t xml:space="preserve"> during this period, most of which were for infrastructure construction (see Figure 2.2). In general, the </w:t>
      </w:r>
      <w:r w:rsidR="00480D3D">
        <w:rPr>
          <w:rFonts w:ascii="Book Antiqua" w:hAnsi="Book Antiqua" w:cs="Arial"/>
        </w:rPr>
        <w:t>Programme</w:t>
      </w:r>
      <w:r w:rsidRPr="00EC1298">
        <w:rPr>
          <w:rFonts w:ascii="Book Antiqua" w:hAnsi="Book Antiqua" w:cs="Arial"/>
        </w:rPr>
        <w:t xml:space="preserve"> contributed to the reduction of poverty rate in </w:t>
      </w:r>
      <w:smartTag w:uri="urn:schemas-microsoft-com:office:smarttags" w:element="country-region">
        <w:smartTag w:uri="urn:schemas-microsoft-com:office:smarttags" w:element="place">
          <w:r w:rsidR="00480D3D">
            <w:rPr>
              <w:rFonts w:ascii="Book Antiqua" w:hAnsi="Book Antiqua" w:cs="Arial"/>
            </w:rPr>
            <w:t>Viet Nam</w:t>
          </w:r>
        </w:smartTag>
      </w:smartTag>
      <w:r w:rsidRPr="00EC1298">
        <w:rPr>
          <w:rFonts w:ascii="Book Antiqua" w:hAnsi="Book Antiqua" w:cs="Arial"/>
        </w:rPr>
        <w:t xml:space="preserve"> from 37.4% in 1998 to 19.5% in 2004 and of the food poverty rate from 15% to 6.9% in the same period.</w:t>
      </w:r>
    </w:p>
    <w:p w:rsidR="00AD2B5E" w:rsidRDefault="00AD2B5E" w:rsidP="00AD2B5E">
      <w:pPr>
        <w:pStyle w:val="Caption"/>
        <w:keepNext/>
        <w:spacing w:after="0"/>
        <w:jc w:val="center"/>
        <w:rPr>
          <w:rFonts w:ascii="Book Antiqua" w:hAnsi="Book Antiqua" w:cs="Arial"/>
          <w:sz w:val="22"/>
          <w:szCs w:val="22"/>
        </w:rPr>
      </w:pPr>
    </w:p>
    <w:p w:rsidR="00351F2C" w:rsidRPr="00445F77" w:rsidRDefault="00351F2C" w:rsidP="00AD2B5E">
      <w:pPr>
        <w:pStyle w:val="Caption"/>
        <w:keepNext/>
        <w:spacing w:after="0"/>
        <w:jc w:val="center"/>
        <w:rPr>
          <w:rFonts w:ascii="Arial" w:hAnsi="Arial" w:cs="Arial"/>
          <w:sz w:val="24"/>
          <w:szCs w:val="24"/>
        </w:rPr>
      </w:pPr>
      <w:r w:rsidRPr="00EC1298">
        <w:rPr>
          <w:rFonts w:ascii="Book Antiqua" w:hAnsi="Book Antiqua" w:cs="Arial"/>
          <w:sz w:val="22"/>
          <w:szCs w:val="22"/>
        </w:rPr>
        <w:t xml:space="preserve">Figure </w:t>
      </w:r>
      <w:bookmarkEnd w:id="60"/>
      <w:r w:rsidRPr="00EC1298">
        <w:rPr>
          <w:rFonts w:ascii="Book Antiqua" w:hAnsi="Book Antiqua" w:cs="Arial"/>
          <w:sz w:val="22"/>
          <w:szCs w:val="22"/>
        </w:rPr>
        <w:t>2.2:</w:t>
      </w:r>
      <w:r w:rsidRPr="00EC1298">
        <w:rPr>
          <w:rFonts w:ascii="Book Antiqua" w:hAnsi="Book Antiqua" w:cs="Arial"/>
          <w:noProof/>
          <w:sz w:val="22"/>
          <w:szCs w:val="22"/>
        </w:rPr>
        <w:t xml:space="preserve"> Use of funds from </w:t>
      </w:r>
      <w:r w:rsidR="00480D3D">
        <w:rPr>
          <w:rFonts w:ascii="Book Antiqua" w:hAnsi="Book Antiqua" w:cs="Arial"/>
          <w:noProof/>
          <w:sz w:val="22"/>
          <w:szCs w:val="22"/>
        </w:rPr>
        <w:t>Programme</w:t>
      </w:r>
      <w:r w:rsidRPr="00EC1298">
        <w:rPr>
          <w:rFonts w:ascii="Book Antiqua" w:hAnsi="Book Antiqua" w:cs="Arial"/>
          <w:noProof/>
          <w:sz w:val="22"/>
          <w:szCs w:val="22"/>
        </w:rPr>
        <w:t xml:space="preserve"> 135 for the period 1998-2004</w:t>
      </w:r>
      <w:bookmarkEnd w:id="61"/>
      <w:r w:rsidR="000D756D">
        <w:rPr>
          <w:rFonts w:ascii="Arial" w:hAnsi="Arial" w:cs="Arial"/>
          <w:noProof/>
          <w:sz w:val="24"/>
          <w:szCs w:val="24"/>
          <w:lang w:val="en-US"/>
        </w:rPr>
        <w:drawing>
          <wp:inline distT="0" distB="0" distL="0" distR="0">
            <wp:extent cx="5572125" cy="2809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572125" cy="2809875"/>
                    </a:xfrm>
                    <a:prstGeom prst="rect">
                      <a:avLst/>
                    </a:prstGeom>
                    <a:noFill/>
                    <a:ln w="9525">
                      <a:noFill/>
                      <a:miter lim="800000"/>
                      <a:headEnd/>
                      <a:tailEnd/>
                    </a:ln>
                  </pic:spPr>
                </pic:pic>
              </a:graphicData>
            </a:graphic>
          </wp:inline>
        </w:drawing>
      </w:r>
    </w:p>
    <w:p w:rsidR="00351F2C" w:rsidRPr="00EC1298" w:rsidRDefault="00351F2C" w:rsidP="00A256CB">
      <w:pPr>
        <w:spacing w:after="0" w:line="240" w:lineRule="auto"/>
        <w:jc w:val="both"/>
        <w:rPr>
          <w:rFonts w:ascii="Book Antiqua" w:hAnsi="Book Antiqua" w:cs="Arial"/>
          <w:sz w:val="20"/>
          <w:szCs w:val="20"/>
        </w:rPr>
      </w:pPr>
      <w:r w:rsidRPr="00EC1298">
        <w:rPr>
          <w:rFonts w:ascii="Book Antiqua" w:hAnsi="Book Antiqua" w:cs="Arial"/>
          <w:sz w:val="20"/>
          <w:szCs w:val="20"/>
        </w:rPr>
        <w:t xml:space="preserve">Source: </w:t>
      </w:r>
      <w:r w:rsidR="00C47C3B" w:rsidRPr="00EC1298">
        <w:rPr>
          <w:rFonts w:ascii="Book Antiqua" w:hAnsi="Book Antiqua" w:cs="Arial"/>
          <w:sz w:val="20"/>
          <w:szCs w:val="20"/>
        </w:rPr>
        <w:fldChar w:fldCharType="begin"/>
      </w:r>
      <w:r w:rsidRPr="00EC1298">
        <w:rPr>
          <w:rFonts w:ascii="Book Antiqua" w:hAnsi="Book Antiqua" w:cs="Arial"/>
          <w:sz w:val="20"/>
          <w:szCs w:val="20"/>
        </w:rPr>
        <w:instrText xml:space="preserve"> QUOTE "(Anonymous 2005)" </w:instrText>
      </w:r>
      <w:r w:rsidR="00C47C3B" w:rsidRPr="00EC1298">
        <w:rPr>
          <w:rFonts w:ascii="Book Antiqua" w:hAnsi="Book Antiqua" w:cs="Arial"/>
          <w:vanish/>
          <w:sz w:val="20"/>
          <w:szCs w:val="20"/>
        </w:rPr>
        <w:fldChar w:fldCharType="begin"/>
      </w:r>
      <w:r w:rsidRPr="00EC1298">
        <w:rPr>
          <w:rFonts w:ascii="Book Antiqua" w:hAnsi="Book Antiqua" w:cs="Arial"/>
          <w:vanish/>
          <w:sz w:val="20"/>
          <w:szCs w:val="20"/>
        </w:rPr>
        <w:instrText xml:space="preserve"> ADDIN REFMAN ÿ\11\05‘\19\01\00\00\00\10(Anonymous 2005)\00\10\00cC:\5CDocuments and Settings\5CAdministrator\5CDesktop\5CUN-REDD study\5COwn documents\5CUN-REDD study reference\03\00\016\14Anonymous 2005 6 /id\00\14\00 </w:instrText>
      </w:r>
      <w:r w:rsidR="00C47C3B" w:rsidRPr="00EC1298">
        <w:rPr>
          <w:rFonts w:ascii="Book Antiqua" w:hAnsi="Book Antiqua" w:cs="Arial"/>
          <w:vanish/>
          <w:sz w:val="20"/>
          <w:szCs w:val="20"/>
        </w:rPr>
        <w:fldChar w:fldCharType="end"/>
      </w:r>
      <w:r w:rsidR="00C47C3B" w:rsidRPr="00EC1298">
        <w:rPr>
          <w:rFonts w:ascii="Book Antiqua" w:hAnsi="Book Antiqua" w:cs="Arial"/>
          <w:sz w:val="20"/>
          <w:szCs w:val="20"/>
        </w:rPr>
        <w:fldChar w:fldCharType="separate"/>
      </w:r>
      <w:r w:rsidRPr="00EC1298">
        <w:rPr>
          <w:rFonts w:ascii="Book Antiqua" w:hAnsi="Book Antiqua" w:cs="Arial"/>
          <w:sz w:val="20"/>
          <w:szCs w:val="20"/>
        </w:rPr>
        <w:t>Anonymous (2005)</w:t>
      </w:r>
      <w:r w:rsidR="00C47C3B" w:rsidRPr="00EC1298">
        <w:rPr>
          <w:rFonts w:ascii="Book Antiqua" w:hAnsi="Book Antiqua" w:cs="Arial"/>
          <w:sz w:val="20"/>
          <w:szCs w:val="20"/>
        </w:rPr>
        <w:fldChar w:fldCharType="end"/>
      </w:r>
      <w:r w:rsidRPr="00EC1298">
        <w:rPr>
          <w:rFonts w:ascii="Book Antiqua" w:hAnsi="Book Antiqua" w:cs="Arial"/>
          <w:sz w:val="20"/>
          <w:szCs w:val="20"/>
        </w:rPr>
        <w:t xml:space="preserve"> </w:t>
      </w:r>
    </w:p>
    <w:p w:rsidR="00351F2C" w:rsidRPr="00445F77" w:rsidRDefault="00351F2C" w:rsidP="00A256CB">
      <w:pPr>
        <w:autoSpaceDE w:val="0"/>
        <w:autoSpaceDN w:val="0"/>
        <w:adjustRightInd w:val="0"/>
        <w:spacing w:after="0"/>
        <w:rPr>
          <w:rFonts w:ascii="Arial" w:hAnsi="Arial" w:cs="Arial"/>
          <w:sz w:val="24"/>
          <w:szCs w:val="24"/>
        </w:rPr>
      </w:pPr>
    </w:p>
    <w:p w:rsidR="0092792E" w:rsidRDefault="0092792E" w:rsidP="00A256CB">
      <w:pPr>
        <w:autoSpaceDE w:val="0"/>
        <w:autoSpaceDN w:val="0"/>
        <w:adjustRightInd w:val="0"/>
        <w:spacing w:after="0"/>
        <w:jc w:val="both"/>
        <w:rPr>
          <w:rFonts w:ascii="Arial" w:hAnsi="Arial" w:cs="Arial"/>
          <w:i/>
          <w:color w:val="1F497D"/>
          <w:sz w:val="24"/>
          <w:szCs w:val="24"/>
        </w:rPr>
      </w:pPr>
    </w:p>
    <w:p w:rsidR="00351F2C" w:rsidRPr="00445F77" w:rsidRDefault="00351F2C" w:rsidP="00A256CB">
      <w:pPr>
        <w:autoSpaceDE w:val="0"/>
        <w:autoSpaceDN w:val="0"/>
        <w:adjustRightInd w:val="0"/>
        <w:spacing w:after="0"/>
        <w:jc w:val="both"/>
        <w:rPr>
          <w:rFonts w:ascii="Arial" w:hAnsi="Arial" w:cs="Arial"/>
          <w:i/>
          <w:color w:val="1F497D"/>
          <w:sz w:val="24"/>
          <w:szCs w:val="24"/>
        </w:rPr>
      </w:pPr>
      <w:r w:rsidRPr="00445F77">
        <w:rPr>
          <w:rFonts w:ascii="Arial" w:hAnsi="Arial" w:cs="Arial"/>
          <w:i/>
          <w:color w:val="1F497D"/>
          <w:sz w:val="24"/>
          <w:szCs w:val="24"/>
        </w:rPr>
        <w:t>Analysis</w:t>
      </w:r>
    </w:p>
    <w:p w:rsidR="00351F2C" w:rsidRPr="00EC1298" w:rsidRDefault="00351F2C" w:rsidP="00EC1298">
      <w:pPr>
        <w:autoSpaceDE w:val="0"/>
        <w:autoSpaceDN w:val="0"/>
        <w:adjustRightInd w:val="0"/>
        <w:spacing w:after="0" w:line="300" w:lineRule="exact"/>
        <w:jc w:val="both"/>
        <w:rPr>
          <w:rFonts w:ascii="Book Antiqua" w:hAnsi="Book Antiqua" w:cs="Arial"/>
        </w:rPr>
      </w:pPr>
      <w:r w:rsidRPr="00EC1298">
        <w:rPr>
          <w:rFonts w:ascii="Book Antiqua" w:hAnsi="Book Antiqua" w:cs="Arial"/>
        </w:rPr>
        <w:t xml:space="preserve">An assessment of the </w:t>
      </w:r>
      <w:r w:rsidR="00480D3D">
        <w:rPr>
          <w:rFonts w:ascii="Book Antiqua" w:hAnsi="Book Antiqua" w:cs="Arial"/>
        </w:rPr>
        <w:t>Programme</w:t>
      </w:r>
      <w:r w:rsidRPr="00EC1298">
        <w:rPr>
          <w:rFonts w:ascii="Book Antiqua" w:hAnsi="Book Antiqua" w:cs="Arial"/>
        </w:rPr>
        <w:t xml:space="preserve"> 135 conducted by </w:t>
      </w:r>
      <w:r w:rsidR="000D7D36">
        <w:rPr>
          <w:rFonts w:ascii="Book Antiqua" w:hAnsi="Book Antiqua" w:cs="Arial"/>
        </w:rPr>
        <w:t>The UK Department for International Development (</w:t>
      </w:r>
      <w:r w:rsidRPr="00EC1298">
        <w:rPr>
          <w:rFonts w:ascii="Book Antiqua" w:hAnsi="Book Antiqua" w:cs="Arial"/>
        </w:rPr>
        <w:t>DfID</w:t>
      </w:r>
      <w:r w:rsidR="000D7D36">
        <w:rPr>
          <w:rFonts w:ascii="Book Antiqua" w:hAnsi="Book Antiqua" w:cs="Arial"/>
        </w:rPr>
        <w:t>)</w:t>
      </w:r>
      <w:r w:rsidRPr="00EC1298">
        <w:rPr>
          <w:rFonts w:ascii="Book Antiqua" w:hAnsi="Book Antiqua" w:cs="Arial"/>
        </w:rPr>
        <w:t xml:space="preserve"> in 2006 for the period of 1999-2005 indicates that (cited in </w:t>
      </w:r>
      <w:r w:rsidR="00C47C3B" w:rsidRPr="00EC1298">
        <w:rPr>
          <w:rFonts w:ascii="Book Antiqua" w:hAnsi="Book Antiqua" w:cs="Arial"/>
        </w:rPr>
        <w:fldChar w:fldCharType="begin"/>
      </w:r>
      <w:r w:rsidRPr="00EC1298">
        <w:rPr>
          <w:rFonts w:ascii="Book Antiqua" w:hAnsi="Book Antiqua" w:cs="Arial"/>
        </w:rPr>
        <w:instrText xml:space="preserve"> QUOTE "(Van de Poel 2007)" </w:instrText>
      </w:r>
      <w:r w:rsidR="00C47C3B" w:rsidRPr="00EC1298">
        <w:rPr>
          <w:rFonts w:ascii="Book Antiqua" w:hAnsi="Book Antiqua" w:cs="Arial"/>
          <w:vanish/>
        </w:rPr>
        <w:fldChar w:fldCharType="begin"/>
      </w:r>
      <w:r w:rsidRPr="00EC1298">
        <w:rPr>
          <w:rFonts w:ascii="Book Antiqua" w:hAnsi="Book Antiqua" w:cs="Arial"/>
          <w:vanish/>
        </w:rPr>
        <w:instrText xml:space="preserve"> ADDIN REFMAN ÿ\11\05‘\19\01\00\00\00\12(Van de Poel 2007)\00\12\00cC:\5CDocuments and Settings\5CAdministrator\5CDesktop\5CUN-REDD study\5COwn documents\5CUN-REDD study reference\03\00\017\16Van de Poel 2007 7 /id\00\16\00 </w:instrText>
      </w:r>
      <w:r w:rsidR="00C47C3B" w:rsidRPr="00EC1298">
        <w:rPr>
          <w:rFonts w:ascii="Book Antiqua" w:hAnsi="Book Antiqua" w:cs="Arial"/>
          <w:vanish/>
        </w:rPr>
        <w:fldChar w:fldCharType="end"/>
      </w:r>
      <w:r w:rsidR="00C47C3B" w:rsidRPr="00EC1298">
        <w:rPr>
          <w:rFonts w:ascii="Book Antiqua" w:hAnsi="Book Antiqua" w:cs="Arial"/>
        </w:rPr>
        <w:fldChar w:fldCharType="separate"/>
      </w:r>
      <w:r w:rsidRPr="00EC1298">
        <w:rPr>
          <w:rFonts w:ascii="Book Antiqua" w:hAnsi="Book Antiqua" w:cs="Arial"/>
        </w:rPr>
        <w:t>Van de Poel (2007</w:t>
      </w:r>
      <w:r w:rsidR="00C47C3B" w:rsidRPr="00EC1298">
        <w:rPr>
          <w:rFonts w:ascii="Book Antiqua" w:hAnsi="Book Antiqua" w:cs="Arial"/>
        </w:rPr>
        <w:fldChar w:fldCharType="end"/>
      </w:r>
      <w:r w:rsidRPr="00EC1298">
        <w:rPr>
          <w:rFonts w:ascii="Book Antiqua" w:hAnsi="Book Antiqua" w:cs="Arial"/>
        </w:rPr>
        <w:t>, p. 24):</w:t>
      </w:r>
    </w:p>
    <w:p w:rsidR="00351F2C" w:rsidRPr="00EC1298" w:rsidRDefault="00351F2C" w:rsidP="00EC1298">
      <w:pPr>
        <w:autoSpaceDE w:val="0"/>
        <w:autoSpaceDN w:val="0"/>
        <w:adjustRightInd w:val="0"/>
        <w:spacing w:after="0" w:line="300" w:lineRule="exact"/>
        <w:ind w:right="268"/>
        <w:jc w:val="both"/>
        <w:rPr>
          <w:rFonts w:ascii="Book Antiqua" w:hAnsi="Book Antiqua" w:cs="Arial"/>
        </w:rPr>
      </w:pPr>
    </w:p>
    <w:p w:rsidR="00351F2C" w:rsidRPr="00EC1298" w:rsidRDefault="00351F2C" w:rsidP="003E3CBA">
      <w:pPr>
        <w:pStyle w:val="ListParagraph"/>
        <w:numPr>
          <w:ilvl w:val="0"/>
          <w:numId w:val="37"/>
        </w:numPr>
        <w:autoSpaceDE w:val="0"/>
        <w:autoSpaceDN w:val="0"/>
        <w:adjustRightInd w:val="0"/>
        <w:spacing w:after="0" w:line="300" w:lineRule="exact"/>
        <w:ind w:left="360"/>
        <w:jc w:val="both"/>
        <w:rPr>
          <w:rFonts w:ascii="Book Antiqua" w:hAnsi="Book Antiqua" w:cs="Arial"/>
        </w:rPr>
      </w:pPr>
      <w:r w:rsidRPr="00EC1298">
        <w:rPr>
          <w:rFonts w:ascii="Book Antiqua" w:hAnsi="Book Antiqua" w:cs="Arial"/>
        </w:rPr>
        <w:t>Leakages occur in resource use which we have estimated to be about 20-25 % based on our assessment of procurement and administrative practices.</w:t>
      </w:r>
    </w:p>
    <w:p w:rsidR="00351F2C" w:rsidRPr="00EC1298" w:rsidRDefault="00351F2C" w:rsidP="003E3CBA">
      <w:pPr>
        <w:pStyle w:val="ListParagraph"/>
        <w:numPr>
          <w:ilvl w:val="0"/>
          <w:numId w:val="37"/>
        </w:numPr>
        <w:autoSpaceDE w:val="0"/>
        <w:autoSpaceDN w:val="0"/>
        <w:adjustRightInd w:val="0"/>
        <w:spacing w:after="0" w:line="300" w:lineRule="exact"/>
        <w:ind w:left="360"/>
        <w:jc w:val="both"/>
        <w:rPr>
          <w:rFonts w:ascii="Book Antiqua" w:hAnsi="Book Antiqua" w:cs="Arial"/>
        </w:rPr>
      </w:pPr>
      <w:r w:rsidRPr="00EC1298">
        <w:rPr>
          <w:rFonts w:ascii="Book Antiqua" w:hAnsi="Book Antiqua" w:cs="Arial"/>
        </w:rPr>
        <w:t xml:space="preserve">Several sources of leakage of funds were identified at the provincial level including the possibility of overlap in allocation of resources for managing the programme. </w:t>
      </w:r>
    </w:p>
    <w:p w:rsidR="00351F2C" w:rsidRPr="00EC1298" w:rsidRDefault="00351F2C" w:rsidP="003E3CBA">
      <w:pPr>
        <w:pStyle w:val="ListParagraph"/>
        <w:numPr>
          <w:ilvl w:val="0"/>
          <w:numId w:val="37"/>
        </w:numPr>
        <w:autoSpaceDE w:val="0"/>
        <w:autoSpaceDN w:val="0"/>
        <w:adjustRightInd w:val="0"/>
        <w:spacing w:after="0" w:line="300" w:lineRule="exact"/>
        <w:ind w:left="360"/>
        <w:jc w:val="both"/>
        <w:rPr>
          <w:rFonts w:ascii="Book Antiqua" w:hAnsi="Book Antiqua" w:cs="Arial"/>
        </w:rPr>
      </w:pPr>
      <w:r w:rsidRPr="00EC1298">
        <w:rPr>
          <w:rFonts w:ascii="Book Antiqua" w:hAnsi="Book Antiqua" w:cs="Arial"/>
        </w:rPr>
        <w:t>The district level is another source of potential leakage of resources. District officials award contracts on behalf of the communes who have very little knowledge of the amount of resources and what they are entitled to have. Most of the problems at the national and provincial levels cascade to the district level in the sense of opacity of financial reporting, accountability, weak procurement, and the lack of monitoring and evaluation capacity.</w:t>
      </w:r>
    </w:p>
    <w:p w:rsidR="00351F2C" w:rsidRPr="00EC1298" w:rsidRDefault="00351F2C" w:rsidP="00EC1298">
      <w:pPr>
        <w:autoSpaceDE w:val="0"/>
        <w:autoSpaceDN w:val="0"/>
        <w:adjustRightInd w:val="0"/>
        <w:spacing w:after="0" w:line="300" w:lineRule="exact"/>
        <w:jc w:val="both"/>
        <w:rPr>
          <w:rFonts w:ascii="Book Antiqua" w:hAnsi="Book Antiqua" w:cs="Arial"/>
        </w:rPr>
      </w:pPr>
    </w:p>
    <w:p w:rsidR="00351F2C" w:rsidRPr="00EC1298" w:rsidRDefault="00351F2C" w:rsidP="00EC1298">
      <w:pPr>
        <w:autoSpaceDE w:val="0"/>
        <w:autoSpaceDN w:val="0"/>
        <w:adjustRightInd w:val="0"/>
        <w:spacing w:after="0" w:line="300" w:lineRule="exact"/>
        <w:jc w:val="both"/>
        <w:rPr>
          <w:rFonts w:ascii="Book Antiqua" w:hAnsi="Book Antiqua" w:cs="Arial"/>
        </w:rPr>
      </w:pPr>
      <w:r w:rsidRPr="00EC1298">
        <w:rPr>
          <w:rFonts w:ascii="Book Antiqua" w:hAnsi="Book Antiqua" w:cs="Arial"/>
        </w:rPr>
        <w:t>The study also reveals confusion and variation in the management of the funds at the provincial level and below:</w:t>
      </w:r>
    </w:p>
    <w:p w:rsidR="00351F2C" w:rsidRPr="00EC1298" w:rsidRDefault="00351F2C" w:rsidP="00EC1298">
      <w:pPr>
        <w:autoSpaceDE w:val="0"/>
        <w:autoSpaceDN w:val="0"/>
        <w:adjustRightInd w:val="0"/>
        <w:spacing w:after="0" w:line="300" w:lineRule="exact"/>
        <w:jc w:val="both"/>
        <w:rPr>
          <w:rFonts w:ascii="Book Antiqua" w:hAnsi="Book Antiqua" w:cs="Arial"/>
        </w:rPr>
      </w:pPr>
    </w:p>
    <w:p w:rsidR="00351F2C" w:rsidRPr="00EC1298" w:rsidRDefault="00351F2C" w:rsidP="003E3CBA">
      <w:pPr>
        <w:pStyle w:val="ListParagraph"/>
        <w:numPr>
          <w:ilvl w:val="0"/>
          <w:numId w:val="38"/>
        </w:numPr>
        <w:autoSpaceDE w:val="0"/>
        <w:autoSpaceDN w:val="0"/>
        <w:adjustRightInd w:val="0"/>
        <w:spacing w:after="0" w:line="300" w:lineRule="exact"/>
        <w:ind w:left="360"/>
        <w:jc w:val="both"/>
        <w:rPr>
          <w:rFonts w:ascii="Book Antiqua" w:hAnsi="Book Antiqua" w:cs="Arial"/>
        </w:rPr>
      </w:pPr>
      <w:r w:rsidRPr="00EC1298">
        <w:rPr>
          <w:rFonts w:ascii="Book Antiqua" w:hAnsi="Book Antiqua" w:cs="Arial"/>
        </w:rPr>
        <w:t xml:space="preserve">At the Provincial level there is opacity in how the </w:t>
      </w:r>
      <w:r w:rsidR="00480D3D">
        <w:rPr>
          <w:rFonts w:ascii="Book Antiqua" w:hAnsi="Book Antiqua" w:cs="Arial"/>
        </w:rPr>
        <w:t>programme</w:t>
      </w:r>
      <w:r w:rsidRPr="00EC1298">
        <w:rPr>
          <w:rFonts w:ascii="Book Antiqua" w:hAnsi="Book Antiqua" w:cs="Arial"/>
        </w:rPr>
        <w:t xml:space="preserve"> is managed. The province might retain P135 funds and manage communal projects at that level. In the sample we examined, it was not transparent whether those funds were maintained separately from the mainstream recurrent and capital expenditures of the province or they were merged with the rest of provincial funds.</w:t>
      </w:r>
    </w:p>
    <w:p w:rsidR="00351F2C" w:rsidRPr="00EC1298" w:rsidRDefault="00351F2C" w:rsidP="003E3CBA">
      <w:pPr>
        <w:pStyle w:val="ListParagraph"/>
        <w:numPr>
          <w:ilvl w:val="0"/>
          <w:numId w:val="38"/>
        </w:numPr>
        <w:autoSpaceDE w:val="0"/>
        <w:autoSpaceDN w:val="0"/>
        <w:adjustRightInd w:val="0"/>
        <w:spacing w:after="0" w:line="300" w:lineRule="exact"/>
        <w:ind w:left="360"/>
        <w:jc w:val="both"/>
        <w:rPr>
          <w:rFonts w:ascii="Book Antiqua" w:hAnsi="Book Antiqua" w:cs="Arial"/>
        </w:rPr>
      </w:pPr>
      <w:r w:rsidRPr="00EC1298">
        <w:rPr>
          <w:rFonts w:ascii="Book Antiqua" w:hAnsi="Book Antiqua" w:cs="Arial"/>
        </w:rPr>
        <w:t xml:space="preserve">Most funds are still controlled at the province level or district levels despite the intention to decentralize the </w:t>
      </w:r>
      <w:r w:rsidR="00480D3D">
        <w:rPr>
          <w:rFonts w:ascii="Book Antiqua" w:hAnsi="Book Antiqua" w:cs="Arial"/>
        </w:rPr>
        <w:t>programme</w:t>
      </w:r>
      <w:r w:rsidRPr="00EC1298">
        <w:rPr>
          <w:rFonts w:ascii="Book Antiqua" w:hAnsi="Book Antiqua" w:cs="Arial"/>
        </w:rPr>
        <w:t xml:space="preserve"> to lower levels of government. The degree of decentralization of the </w:t>
      </w:r>
      <w:r w:rsidR="00480D3D">
        <w:rPr>
          <w:rFonts w:ascii="Book Antiqua" w:hAnsi="Book Antiqua" w:cs="Arial"/>
        </w:rPr>
        <w:t>programme</w:t>
      </w:r>
      <w:r w:rsidRPr="00EC1298">
        <w:rPr>
          <w:rFonts w:ascii="Book Antiqua" w:hAnsi="Book Antiqua" w:cs="Arial"/>
        </w:rPr>
        <w:t xml:space="preserve"> implementation differs from one province to another. In some cases provinces and districts undertake the project planning, implementation and monitoring with little role delegated to the commune level.</w:t>
      </w:r>
    </w:p>
    <w:p w:rsidR="00351F2C" w:rsidRPr="00EC1298" w:rsidRDefault="00351F2C" w:rsidP="003E3CBA">
      <w:pPr>
        <w:pStyle w:val="ListParagraph"/>
        <w:numPr>
          <w:ilvl w:val="0"/>
          <w:numId w:val="38"/>
        </w:numPr>
        <w:autoSpaceDE w:val="0"/>
        <w:autoSpaceDN w:val="0"/>
        <w:adjustRightInd w:val="0"/>
        <w:spacing w:after="0" w:line="300" w:lineRule="exact"/>
        <w:ind w:left="360"/>
        <w:jc w:val="both"/>
        <w:rPr>
          <w:rFonts w:ascii="Book Antiqua" w:hAnsi="Book Antiqua" w:cs="Arial"/>
        </w:rPr>
      </w:pPr>
      <w:r w:rsidRPr="00EC1298">
        <w:rPr>
          <w:rFonts w:ascii="Book Antiqua" w:hAnsi="Book Antiqua" w:cs="Arial"/>
        </w:rPr>
        <w:t>At the commune level there is very little knowledge of public financial management issues. Asymmetry of information between the province/district level and the communes results in a situation where commune leaders hardly know in advance what public resources should be due to them. Record keeping at the commune level is very basic or very limited. The Central Treasury system does not extend to this level. There was no identified system of formal record keeping at the communes the consultants visited. There was also no formal reports produced for onwards transmission even though there seem to be an extended administrative connection with the district on weekly basis on all kinds of ad hoc issues.</w:t>
      </w:r>
    </w:p>
    <w:p w:rsidR="00351F2C" w:rsidRPr="00EC1298" w:rsidRDefault="00351F2C" w:rsidP="00EC1298">
      <w:pPr>
        <w:autoSpaceDE w:val="0"/>
        <w:autoSpaceDN w:val="0"/>
        <w:adjustRightInd w:val="0"/>
        <w:spacing w:after="0" w:line="300" w:lineRule="exact"/>
        <w:ind w:right="268"/>
        <w:jc w:val="both"/>
        <w:rPr>
          <w:rFonts w:ascii="Book Antiqua" w:hAnsi="Book Antiqua" w:cs="Arial"/>
        </w:rPr>
      </w:pPr>
    </w:p>
    <w:p w:rsidR="00351F2C" w:rsidRPr="00EC1298" w:rsidRDefault="00351F2C" w:rsidP="00EC1298">
      <w:pPr>
        <w:autoSpaceDE w:val="0"/>
        <w:autoSpaceDN w:val="0"/>
        <w:adjustRightInd w:val="0"/>
        <w:spacing w:after="0" w:line="300" w:lineRule="exact"/>
        <w:ind w:right="268"/>
        <w:jc w:val="both"/>
        <w:rPr>
          <w:rFonts w:ascii="Book Antiqua" w:hAnsi="Book Antiqua" w:cs="Arial"/>
        </w:rPr>
      </w:pPr>
      <w:r w:rsidRPr="00EC1298">
        <w:rPr>
          <w:rFonts w:ascii="Book Antiqua" w:hAnsi="Book Antiqua" w:cs="Arial"/>
        </w:rPr>
        <w:t xml:space="preserve">In addition, there was weak financial reporting and analysis within the Programme. </w:t>
      </w:r>
    </w:p>
    <w:p w:rsidR="00351F2C" w:rsidRPr="00EC1298" w:rsidRDefault="00351F2C" w:rsidP="00EC1298">
      <w:pPr>
        <w:autoSpaceDE w:val="0"/>
        <w:autoSpaceDN w:val="0"/>
        <w:adjustRightInd w:val="0"/>
        <w:spacing w:after="0" w:line="300" w:lineRule="exact"/>
        <w:ind w:right="268"/>
        <w:jc w:val="both"/>
        <w:rPr>
          <w:rFonts w:ascii="Book Antiqua" w:hAnsi="Book Antiqua" w:cs="Arial"/>
        </w:rPr>
      </w:pPr>
    </w:p>
    <w:p w:rsidR="00351F2C" w:rsidRPr="00EC1298" w:rsidRDefault="00351F2C" w:rsidP="00EC1298">
      <w:pPr>
        <w:autoSpaceDE w:val="0"/>
        <w:autoSpaceDN w:val="0"/>
        <w:adjustRightInd w:val="0"/>
        <w:spacing w:after="0" w:line="300" w:lineRule="exact"/>
        <w:ind w:left="480" w:right="268"/>
        <w:jc w:val="both"/>
        <w:rPr>
          <w:rFonts w:ascii="Book Antiqua" w:hAnsi="Book Antiqua" w:cs="Arial"/>
        </w:rPr>
      </w:pPr>
      <w:r w:rsidRPr="00EC1298">
        <w:rPr>
          <w:rFonts w:ascii="Book Antiqua" w:hAnsi="Book Antiqua" w:cs="Arial"/>
        </w:rPr>
        <w:t>“</w:t>
      </w:r>
      <w:r w:rsidRPr="00EC1298">
        <w:rPr>
          <w:rFonts w:ascii="Book Antiqua" w:hAnsi="Book Antiqua" w:cs="Arial"/>
          <w:i/>
        </w:rPr>
        <w:t>There was no evidence that financial management reports were produced at the provincial level ... Provincial steering committees are required to combine both the implementation progress and the disbursement figures of the treasury and to report to CEMMA</w:t>
      </w:r>
      <w:r w:rsidRPr="00EC1298">
        <w:rPr>
          <w:rStyle w:val="FootnoteReference"/>
          <w:rFonts w:ascii="Book Antiqua" w:hAnsi="Book Antiqua" w:cs="Arial"/>
          <w:i/>
        </w:rPr>
        <w:footnoteReference w:id="14"/>
      </w:r>
      <w:r w:rsidRPr="00EC1298">
        <w:rPr>
          <w:rFonts w:ascii="Book Antiqua" w:hAnsi="Book Antiqua" w:cs="Arial"/>
          <w:i/>
        </w:rPr>
        <w:t xml:space="preserve"> on quarterly, semi-annually and annually. This, however, was witnessed by CEMMA as a difficult task for steering committees as reports are usually not on time, do not contain the full required indicators, and are not accurate</w:t>
      </w:r>
      <w:r w:rsidRPr="00EC1298">
        <w:rPr>
          <w:rFonts w:ascii="Book Antiqua" w:hAnsi="Book Antiqua" w:cs="Arial"/>
        </w:rPr>
        <w:t>.”</w:t>
      </w:r>
    </w:p>
    <w:p w:rsidR="00351F2C" w:rsidRPr="00445F77" w:rsidRDefault="00351F2C" w:rsidP="00EC1298">
      <w:pPr>
        <w:spacing w:after="0" w:line="300" w:lineRule="exact"/>
        <w:rPr>
          <w:rFonts w:ascii="Arial" w:hAnsi="Arial" w:cs="Arial"/>
          <w:sz w:val="24"/>
          <w:szCs w:val="24"/>
        </w:rPr>
      </w:pPr>
    </w:p>
    <w:p w:rsidR="00351F2C" w:rsidRPr="00445F77" w:rsidRDefault="00351F2C" w:rsidP="00A256CB">
      <w:pPr>
        <w:pStyle w:val="Heading3"/>
        <w:rPr>
          <w:rStyle w:val="Heading2Char"/>
          <w:rFonts w:ascii="Arial" w:hAnsi="Arial" w:cs="Arial"/>
          <w:i w:val="0"/>
          <w:iCs/>
          <w:sz w:val="24"/>
          <w:szCs w:val="24"/>
        </w:rPr>
      </w:pPr>
      <w:bookmarkStart w:id="62" w:name="_Toc244586202"/>
      <w:r w:rsidRPr="008F6D17">
        <w:rPr>
          <w:rFonts w:ascii="Arial" w:hAnsi="Arial" w:cs="Arial"/>
          <w:i w:val="0"/>
        </w:rPr>
        <w:lastRenderedPageBreak/>
        <w:t>2.3.</w:t>
      </w:r>
      <w:r w:rsidRPr="00445F77">
        <w:rPr>
          <w:rFonts w:ascii="Arial" w:hAnsi="Arial" w:cs="Arial"/>
        </w:rPr>
        <w:t xml:space="preserve"> </w:t>
      </w:r>
      <w:r w:rsidRPr="00445F77">
        <w:rPr>
          <w:rStyle w:val="Heading2Char"/>
          <w:rFonts w:ascii="Arial" w:hAnsi="Arial" w:cs="Arial"/>
          <w:i w:val="0"/>
          <w:iCs/>
          <w:sz w:val="24"/>
          <w:szCs w:val="24"/>
        </w:rPr>
        <w:t>World Bank, Asian Development Bank and KfW-funded reforestation projects</w:t>
      </w:r>
      <w:bookmarkEnd w:id="62"/>
    </w:p>
    <w:p w:rsidR="00351F2C" w:rsidRPr="00EC1298" w:rsidRDefault="00351F2C" w:rsidP="00A256CB">
      <w:pPr>
        <w:spacing w:after="0" w:line="300" w:lineRule="atLeast"/>
        <w:contextualSpacing/>
        <w:jc w:val="both"/>
        <w:rPr>
          <w:rFonts w:ascii="Book Antiqua" w:hAnsi="Book Antiqua" w:cs="Arial"/>
        </w:rPr>
      </w:pPr>
      <w:r w:rsidRPr="00EC1298">
        <w:rPr>
          <w:rFonts w:ascii="Book Antiqua" w:hAnsi="Book Antiqua" w:cs="Arial"/>
        </w:rPr>
        <w:t xml:space="preserve">Reforestation projects supported by the </w:t>
      </w:r>
      <w:r w:rsidR="00D7117B">
        <w:rPr>
          <w:rFonts w:ascii="Book Antiqua" w:hAnsi="Book Antiqua" w:cs="Arial"/>
        </w:rPr>
        <w:t>WB</w:t>
      </w:r>
      <w:r w:rsidRPr="00EC1298">
        <w:rPr>
          <w:rFonts w:ascii="Book Antiqua" w:hAnsi="Book Antiqua" w:cs="Arial"/>
        </w:rPr>
        <w:t xml:space="preserve">, ADB and KfW provide alternative experiences on how government can provide direct support to individual households.  The Forest Sector Development Project (FSDP) funded by the </w:t>
      </w:r>
      <w:r w:rsidR="00D7117B">
        <w:rPr>
          <w:rFonts w:ascii="Book Antiqua" w:hAnsi="Book Antiqua" w:cs="Arial"/>
        </w:rPr>
        <w:t>WB</w:t>
      </w:r>
      <w:r w:rsidRPr="00EC1298">
        <w:rPr>
          <w:rFonts w:ascii="Book Antiqua" w:hAnsi="Book Antiqua" w:cs="Arial"/>
        </w:rPr>
        <w:t xml:space="preserve"> has the objective to establish plantations on 66,000 ha in four provinces located along </w:t>
      </w:r>
      <w:smartTag w:uri="urn:schemas-microsoft-com:office:smarttags" w:element="country-region">
        <w:r w:rsidR="00480D3D">
          <w:rPr>
            <w:rFonts w:ascii="Book Antiqua" w:hAnsi="Book Antiqua" w:cs="Arial"/>
          </w:rPr>
          <w:t>Viet Nam</w:t>
        </w:r>
      </w:smartTag>
      <w:r w:rsidRPr="00EC1298">
        <w:rPr>
          <w:rFonts w:ascii="Book Antiqua" w:hAnsi="Book Antiqua" w:cs="Arial"/>
        </w:rPr>
        <w:t xml:space="preserve">’s </w:t>
      </w:r>
      <w:smartTag w:uri="urn:schemas-microsoft-com:office:smarttags" w:element="place">
        <w:smartTag w:uri="urn:schemas-microsoft-com:office:smarttags" w:element="PlaceName">
          <w:r w:rsidRPr="00EC1298">
            <w:rPr>
              <w:rFonts w:ascii="Book Antiqua" w:hAnsi="Book Antiqua" w:cs="Arial"/>
            </w:rPr>
            <w:t>Central</w:t>
          </w:r>
        </w:smartTag>
        <w:r w:rsidRPr="00EC1298">
          <w:rPr>
            <w:rFonts w:ascii="Book Antiqua" w:hAnsi="Book Antiqua" w:cs="Arial"/>
          </w:rPr>
          <w:t xml:space="preserve"> </w:t>
        </w:r>
        <w:smartTag w:uri="urn:schemas-microsoft-com:office:smarttags" w:element="PlaceType">
          <w:r w:rsidRPr="00EC1298">
            <w:rPr>
              <w:rFonts w:ascii="Book Antiqua" w:hAnsi="Book Antiqua" w:cs="Arial"/>
            </w:rPr>
            <w:t>Coast</w:t>
          </w:r>
        </w:smartTag>
      </w:smartTag>
      <w:r w:rsidRPr="00EC1298">
        <w:rPr>
          <w:rFonts w:ascii="Book Antiqua" w:hAnsi="Book Antiqua" w:cs="Arial"/>
        </w:rPr>
        <w:t xml:space="preserve"> by 2010.  Total investment is US$59 million, including US$33 million allocated to the Bank for Social Policies for loans to be disbursed to individual households.  Currently, households can get loans for up to VND 15 million per ha (US$830) for duration up to 15 years if they commit to establish tree plantations for a minimum rotation period.  The maximum area for which a household can take out a loan is 10 ha, and the minimum area eligible for a loan is 0.5 ha.  Participating households also receive extension support in the form of training courses and information materials.</w:t>
      </w:r>
    </w:p>
    <w:p w:rsidR="00351F2C" w:rsidRPr="00EC1298" w:rsidRDefault="00351F2C" w:rsidP="00A256CB">
      <w:pPr>
        <w:spacing w:after="0" w:line="300" w:lineRule="atLeast"/>
        <w:contextualSpacing/>
        <w:rPr>
          <w:rFonts w:ascii="Book Antiqua" w:hAnsi="Book Antiqua" w:cs="Arial"/>
        </w:rPr>
      </w:pPr>
    </w:p>
    <w:p w:rsidR="00351F2C" w:rsidRPr="00EC1298" w:rsidRDefault="00351F2C" w:rsidP="00A256CB">
      <w:pPr>
        <w:spacing w:after="0" w:line="300" w:lineRule="atLeast"/>
        <w:contextualSpacing/>
        <w:jc w:val="both"/>
        <w:rPr>
          <w:rFonts w:ascii="Book Antiqua" w:hAnsi="Book Antiqua" w:cs="Arial"/>
        </w:rPr>
      </w:pPr>
      <w:r w:rsidRPr="00EC1298">
        <w:rPr>
          <w:rFonts w:ascii="Book Antiqua" w:hAnsi="Book Antiqua" w:cs="Arial"/>
        </w:rPr>
        <w:t xml:space="preserve">The </w:t>
      </w:r>
      <w:smartTag w:uri="urn:schemas-microsoft-com:office:smarttags" w:element="PlaceName">
        <w:r w:rsidRPr="00EC1298">
          <w:rPr>
            <w:rFonts w:ascii="Book Antiqua" w:hAnsi="Book Antiqua" w:cs="Arial"/>
          </w:rPr>
          <w:t>ADB-funded</w:t>
        </w:r>
      </w:smartTag>
      <w:r w:rsidRPr="00EC1298">
        <w:rPr>
          <w:rFonts w:ascii="Book Antiqua" w:hAnsi="Book Antiqua" w:cs="Arial"/>
        </w:rPr>
        <w:t xml:space="preserve"> </w:t>
      </w:r>
      <w:smartTag w:uri="urn:schemas-microsoft-com:office:smarttags" w:element="PlaceType">
        <w:r w:rsidRPr="00EC1298">
          <w:rPr>
            <w:rFonts w:ascii="Book Antiqua" w:hAnsi="Book Antiqua" w:cs="Arial"/>
          </w:rPr>
          <w:t>Forest</w:t>
        </w:r>
      </w:smartTag>
      <w:r w:rsidRPr="00EC1298">
        <w:rPr>
          <w:rFonts w:ascii="Book Antiqua" w:hAnsi="Book Antiqua" w:cs="Arial"/>
        </w:rPr>
        <w:t xml:space="preserve"> and Livelihoods Improvements in the Central Highlands project (FLITCH) is investing a total of US$91 million in the five provinces making up the </w:t>
      </w:r>
      <w:smartTag w:uri="urn:schemas-microsoft-com:office:smarttags" w:element="place">
        <w:smartTag w:uri="urn:schemas-microsoft-com:office:smarttags" w:element="PlaceName">
          <w:r w:rsidRPr="00EC1298">
            <w:rPr>
              <w:rFonts w:ascii="Book Antiqua" w:hAnsi="Book Antiqua" w:cs="Arial"/>
            </w:rPr>
            <w:t>Central</w:t>
          </w:r>
        </w:smartTag>
        <w:r w:rsidRPr="00EC1298">
          <w:rPr>
            <w:rFonts w:ascii="Book Antiqua" w:hAnsi="Book Antiqua" w:cs="Arial"/>
          </w:rPr>
          <w:t xml:space="preserve"> </w:t>
        </w:r>
        <w:smartTag w:uri="urn:schemas-microsoft-com:office:smarttags" w:element="PlaceType">
          <w:r w:rsidRPr="00EC1298">
            <w:rPr>
              <w:rFonts w:ascii="Book Antiqua" w:hAnsi="Book Antiqua" w:cs="Arial"/>
            </w:rPr>
            <w:t>Highlands</w:t>
          </w:r>
        </w:smartTag>
      </w:smartTag>
      <w:r w:rsidRPr="00EC1298">
        <w:rPr>
          <w:rFonts w:ascii="Book Antiqua" w:hAnsi="Book Antiqua" w:cs="Arial"/>
        </w:rPr>
        <w:t xml:space="preserve"> and three districts of Phu Yen province between 2007 and 2014.  It aims to help establish new plantations on 30,000 ha and protect 98,000 ha of natural forest, among other activities.  The project supports individual households to plant trees by providing free seedlings and fertilizer equivalent to US$500 per ha.  Upon harvest, recipient households are required to contribute US$150 per ha to a commune investment fund.</w:t>
      </w:r>
    </w:p>
    <w:p w:rsidR="00351F2C" w:rsidRPr="00EC1298" w:rsidRDefault="00351F2C" w:rsidP="00A256CB">
      <w:pPr>
        <w:spacing w:after="0" w:line="300" w:lineRule="atLeast"/>
        <w:contextualSpacing/>
        <w:rPr>
          <w:rFonts w:ascii="Book Antiqua" w:hAnsi="Book Antiqua" w:cs="Arial"/>
        </w:rPr>
      </w:pPr>
    </w:p>
    <w:p w:rsidR="00351F2C" w:rsidRPr="00EC1298" w:rsidRDefault="00351F2C" w:rsidP="008F6D17">
      <w:pPr>
        <w:spacing w:after="0" w:line="300" w:lineRule="atLeast"/>
        <w:contextualSpacing/>
        <w:jc w:val="both"/>
        <w:rPr>
          <w:rFonts w:ascii="Book Antiqua" w:hAnsi="Book Antiqua" w:cs="Arial"/>
        </w:rPr>
      </w:pPr>
      <w:r w:rsidRPr="00EC1298">
        <w:rPr>
          <w:rFonts w:ascii="Book Antiqua" w:hAnsi="Book Antiqua" w:cs="Arial"/>
        </w:rPr>
        <w:t xml:space="preserve">KfW has supported seven mid-sized reforestation projects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since the mid-1990s.  The sixth KfW-funded project (hereafter referred to as KfW-6) currently operates in 4 provinces of central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with total funding of US$18 million.</w:t>
      </w:r>
      <w:r w:rsidRPr="00EC1298">
        <w:rPr>
          <w:rStyle w:val="FootnoteReference"/>
          <w:rFonts w:ascii="Book Antiqua" w:hAnsi="Book Antiqua" w:cs="Arial"/>
        </w:rPr>
        <w:footnoteReference w:id="15"/>
      </w:r>
      <w:r w:rsidRPr="00EC1298">
        <w:rPr>
          <w:rFonts w:ascii="Book Antiqua" w:hAnsi="Book Antiqua" w:cs="Arial"/>
        </w:rPr>
        <w:t xml:space="preserve">  Like the previous KfW-funded projects, KfW-6 assists individual households in the establishment of “production forest with protective functions”.  It provides free tree seedlings and fertilizer to households and deposits financial payments on savings books at the Bank for Social Policies.  The savings books amount to VND2.0-3.4 (US$110-190) million per ha depending on the planted species.  The maximum area eligible for funding is 2 ha per household, the minimum being 0.5 ha.</w:t>
      </w:r>
    </w:p>
    <w:p w:rsidR="00351F2C" w:rsidRPr="00445F77" w:rsidRDefault="00351F2C" w:rsidP="008F6D17">
      <w:pPr>
        <w:spacing w:after="0" w:line="300" w:lineRule="atLeast"/>
        <w:contextualSpacing/>
        <w:rPr>
          <w:rFonts w:ascii="Arial" w:hAnsi="Arial" w:cs="Arial"/>
          <w:sz w:val="24"/>
          <w:szCs w:val="24"/>
        </w:rPr>
      </w:pPr>
    </w:p>
    <w:p w:rsidR="00351F2C" w:rsidRPr="00445F77" w:rsidRDefault="00351F2C" w:rsidP="008F6D17">
      <w:pPr>
        <w:pStyle w:val="Heading3"/>
        <w:spacing w:before="0" w:after="0"/>
        <w:rPr>
          <w:rFonts w:ascii="Arial" w:hAnsi="Arial" w:cs="Arial"/>
          <w:bCs w:val="0"/>
        </w:rPr>
      </w:pPr>
      <w:r w:rsidRPr="00445F77">
        <w:rPr>
          <w:rFonts w:ascii="Arial" w:hAnsi="Arial" w:cs="Arial"/>
        </w:rPr>
        <w:t xml:space="preserve">Linkage to performance: </w:t>
      </w:r>
    </w:p>
    <w:p w:rsidR="00351F2C" w:rsidRPr="00EC1298" w:rsidRDefault="00351F2C" w:rsidP="008F6D17">
      <w:pPr>
        <w:spacing w:after="0" w:line="300" w:lineRule="atLeast"/>
        <w:contextualSpacing/>
        <w:jc w:val="both"/>
        <w:rPr>
          <w:rFonts w:ascii="Book Antiqua" w:hAnsi="Book Antiqua" w:cs="Arial"/>
        </w:rPr>
      </w:pPr>
      <w:r w:rsidRPr="00EC1298">
        <w:rPr>
          <w:rFonts w:ascii="Book Antiqua" w:hAnsi="Book Antiqua" w:cs="Arial"/>
        </w:rPr>
        <w:t>The various reforestation projects funded by KfW have developed a novel mechanism to finance household plantations on a conditional basis.  They initially provide free tree seedlings and fertilizer to households.  They also establish savings books for the participating households at the Bank for Social Policies to compensate for their labor inputs</w:t>
      </w:r>
      <w:r w:rsidRPr="00EC1298">
        <w:rPr>
          <w:rStyle w:val="FootnoteReference"/>
          <w:rFonts w:ascii="Book Antiqua" w:hAnsi="Book Antiqua" w:cs="Arial"/>
        </w:rPr>
        <w:footnoteReference w:id="16"/>
      </w:r>
      <w:r w:rsidRPr="00EC1298">
        <w:rPr>
          <w:rFonts w:ascii="Book Antiqua" w:hAnsi="Book Antiqua" w:cs="Arial"/>
        </w:rPr>
        <w:t xml:space="preserve">.  Households receive the savings books 3 months after planting if the survival rate is at least 80%.  They can withdraw up to 20% of the deposited funds right away, and then an additional 15% every year up to year 6.  The projects reserve the rights the freeze or terminate savings books in case of household non-compliance with the required management practices.  It has direct leverage on the funds remaining in the savings books, as those are released gradually to households.  Yet it is likely to face difficulties </w:t>
      </w:r>
      <w:r w:rsidRPr="00EC1298">
        <w:rPr>
          <w:rFonts w:ascii="Book Antiqua" w:hAnsi="Book Antiqua" w:cs="Arial"/>
        </w:rPr>
        <w:lastRenderedPageBreak/>
        <w:t xml:space="preserve">demanding the repayment of withdrawn funds.  The KfW projects thus achieve a limited conditionality of the provided support by staggering the grant in multiple installments.  </w:t>
      </w:r>
    </w:p>
    <w:p w:rsidR="00351F2C" w:rsidRPr="00EC1298" w:rsidRDefault="00351F2C" w:rsidP="00A256CB">
      <w:pPr>
        <w:spacing w:after="0"/>
        <w:rPr>
          <w:rFonts w:ascii="Book Antiqua" w:hAnsi="Book Antiqua" w:cs="Arial"/>
        </w:rPr>
      </w:pPr>
    </w:p>
    <w:p w:rsidR="00351F2C" w:rsidRPr="00EC1298" w:rsidRDefault="00351F2C" w:rsidP="00A256CB">
      <w:pPr>
        <w:spacing w:after="0" w:line="300" w:lineRule="atLeast"/>
        <w:contextualSpacing/>
        <w:jc w:val="both"/>
        <w:rPr>
          <w:rFonts w:ascii="Book Antiqua" w:hAnsi="Book Antiqua" w:cs="Arial"/>
        </w:rPr>
      </w:pPr>
      <w:r w:rsidRPr="00EC1298">
        <w:rPr>
          <w:rFonts w:ascii="Book Antiqua" w:hAnsi="Book Antiqua" w:cs="Arial"/>
        </w:rPr>
        <w:t>The FLITCH project (Figure 2.3) is currently in the process of assisting the establishment of investment funds managed by commune-level Project Management Units.</w:t>
      </w:r>
      <w:r w:rsidRPr="00EC1298">
        <w:rPr>
          <w:rStyle w:val="FootnoteReference"/>
          <w:rFonts w:ascii="Book Antiqua" w:hAnsi="Book Antiqua" w:cs="Arial"/>
        </w:rPr>
        <w:footnoteReference w:id="17"/>
      </w:r>
      <w:r w:rsidRPr="00EC1298">
        <w:rPr>
          <w:rFonts w:ascii="Book Antiqua" w:hAnsi="Book Antiqua" w:cs="Arial"/>
        </w:rPr>
        <w:t xml:space="preserve">  According to the guidelines issued by MARD in September 2009, the commune investment funds will receive funding from various sides and disburse the available finance locally.  ADB will disburse seed grants of US$20,000 per commune.  Once households begin to harvest plantations established with financial support from the project, they will have to contribute US$150 per hectare (equivalent to 20% of the support received from the project) to the investment fund.  As for the disbursement of funds, villages will be able to apply for support to investment that falls within certain predefined categories.  Their eligibility will depend on their poverty status, the size of the village population, and distance from the commune center.  The more disadvantaged a village is the higher will be the priority given to that village.</w:t>
      </w:r>
    </w:p>
    <w:p w:rsidR="00A256CB" w:rsidRPr="00EC1298" w:rsidRDefault="00A256CB" w:rsidP="00A256CB">
      <w:pPr>
        <w:spacing w:after="0" w:line="300" w:lineRule="atLeast"/>
        <w:contextualSpacing/>
        <w:rPr>
          <w:rFonts w:ascii="Book Antiqua" w:hAnsi="Book Antiqua" w:cs="Arial"/>
        </w:rPr>
      </w:pPr>
    </w:p>
    <w:p w:rsidR="00A256CB" w:rsidRPr="00445F77" w:rsidRDefault="00351F2C" w:rsidP="00A256CB">
      <w:pPr>
        <w:spacing w:after="0"/>
        <w:contextualSpacing/>
        <w:jc w:val="center"/>
        <w:rPr>
          <w:rFonts w:ascii="Arial" w:hAnsi="Arial" w:cs="Arial"/>
          <w:sz w:val="24"/>
          <w:szCs w:val="24"/>
        </w:rPr>
      </w:pPr>
      <w:r w:rsidRPr="00EC1298">
        <w:rPr>
          <w:rFonts w:ascii="Book Antiqua" w:hAnsi="Book Antiqua" w:cs="Arial"/>
          <w:b/>
        </w:rPr>
        <w:t>Figure 2.3: Structure of FLITCH project</w:t>
      </w:r>
    </w:p>
    <w:p w:rsidR="00351F2C" w:rsidRPr="00445F77" w:rsidRDefault="000D756D" w:rsidP="00A256CB">
      <w:pPr>
        <w:jc w:val="center"/>
        <w:rPr>
          <w:rFonts w:ascii="Arial" w:hAnsi="Arial" w:cs="Arial"/>
          <w:sz w:val="24"/>
          <w:szCs w:val="24"/>
        </w:rPr>
      </w:pPr>
      <w:r>
        <w:rPr>
          <w:rFonts w:ascii="Arial" w:hAnsi="Arial" w:cs="Arial"/>
          <w:noProof/>
          <w:sz w:val="24"/>
          <w:szCs w:val="24"/>
          <w:lang w:val="en-US"/>
        </w:rPr>
        <w:drawing>
          <wp:inline distT="0" distB="0" distL="0" distR="0">
            <wp:extent cx="4819650" cy="3352800"/>
            <wp:effectExtent l="19050" t="19050" r="19050" b="1905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819650" cy="3352800"/>
                    </a:xfrm>
                    <a:prstGeom prst="rect">
                      <a:avLst/>
                    </a:prstGeom>
                    <a:solidFill>
                      <a:srgbClr val="CCFFCC"/>
                    </a:solidFill>
                    <a:ln w="19050" cmpd="sng">
                      <a:solidFill>
                        <a:srgbClr val="000000"/>
                      </a:solidFill>
                      <a:miter lim="800000"/>
                      <a:headEnd/>
                      <a:tailEnd/>
                    </a:ln>
                    <a:effectLst/>
                  </pic:spPr>
                </pic:pic>
              </a:graphicData>
            </a:graphic>
          </wp:inline>
        </w:drawing>
      </w:r>
    </w:p>
    <w:tbl>
      <w:tblPr>
        <w:tblW w:w="3904" w:type="dxa"/>
        <w:tblInd w:w="108" w:type="dxa"/>
        <w:tblLook w:val="0000"/>
      </w:tblPr>
      <w:tblGrid>
        <w:gridCol w:w="976"/>
        <w:gridCol w:w="2928"/>
      </w:tblGrid>
      <w:tr w:rsidR="00351F2C" w:rsidRPr="00EC1298">
        <w:trPr>
          <w:trHeight w:val="264"/>
        </w:trPr>
        <w:tc>
          <w:tcPr>
            <w:tcW w:w="976" w:type="dxa"/>
            <w:tcBorders>
              <w:top w:val="nil"/>
              <w:left w:val="nil"/>
              <w:bottom w:val="nil"/>
              <w:right w:val="nil"/>
            </w:tcBorders>
            <w:shd w:val="clear" w:color="auto" w:fill="auto"/>
            <w:noWrap/>
            <w:vAlign w:val="bottom"/>
          </w:tcPr>
          <w:p w:rsidR="00351F2C" w:rsidRPr="00EC1298" w:rsidRDefault="00351F2C" w:rsidP="0092792E">
            <w:pPr>
              <w:spacing w:after="0" w:line="240" w:lineRule="auto"/>
              <w:rPr>
                <w:rFonts w:ascii="Book Antiqua" w:eastAsia="MS Mincho" w:hAnsi="Book Antiqua" w:cs="Arial"/>
                <w:sz w:val="20"/>
                <w:szCs w:val="20"/>
                <w:lang w:val="en-CA" w:eastAsia="ja-JP"/>
              </w:rPr>
            </w:pPr>
            <w:r w:rsidRPr="00EC1298">
              <w:rPr>
                <w:rFonts w:ascii="Book Antiqua" w:eastAsia="MS Mincho" w:hAnsi="Book Antiqua" w:cs="Arial"/>
                <w:sz w:val="20"/>
                <w:szCs w:val="20"/>
                <w:lang w:val="en-CA" w:eastAsia="ja-JP"/>
              </w:rPr>
              <w:t xml:space="preserve">Legend </w:t>
            </w:r>
          </w:p>
        </w:tc>
        <w:tc>
          <w:tcPr>
            <w:tcW w:w="2928" w:type="dxa"/>
            <w:tcBorders>
              <w:top w:val="nil"/>
              <w:left w:val="nil"/>
              <w:bottom w:val="nil"/>
              <w:right w:val="nil"/>
            </w:tcBorders>
            <w:shd w:val="clear" w:color="auto" w:fill="auto"/>
            <w:noWrap/>
            <w:vAlign w:val="bottom"/>
          </w:tcPr>
          <w:p w:rsidR="00351F2C" w:rsidRPr="00EC1298" w:rsidRDefault="00351F2C" w:rsidP="0092792E">
            <w:pPr>
              <w:spacing w:after="0" w:line="240" w:lineRule="auto"/>
              <w:rPr>
                <w:rFonts w:ascii="Book Antiqua" w:eastAsia="MS Mincho" w:hAnsi="Book Antiqua" w:cs="Arial"/>
                <w:sz w:val="20"/>
                <w:szCs w:val="20"/>
                <w:lang w:val="en-CA" w:eastAsia="ja-JP"/>
              </w:rPr>
            </w:pPr>
          </w:p>
        </w:tc>
      </w:tr>
      <w:tr w:rsidR="00351F2C" w:rsidRPr="00EC1298">
        <w:trPr>
          <w:trHeight w:val="264"/>
        </w:trPr>
        <w:tc>
          <w:tcPr>
            <w:tcW w:w="976" w:type="dxa"/>
            <w:tcBorders>
              <w:top w:val="nil"/>
              <w:left w:val="nil"/>
              <w:bottom w:val="nil"/>
              <w:right w:val="nil"/>
            </w:tcBorders>
            <w:shd w:val="clear" w:color="auto" w:fill="auto"/>
            <w:noWrap/>
            <w:vAlign w:val="bottom"/>
          </w:tcPr>
          <w:p w:rsidR="00351F2C" w:rsidRPr="00EC1298" w:rsidRDefault="00C47C3B" w:rsidP="0092792E">
            <w:pPr>
              <w:spacing w:after="0" w:line="240" w:lineRule="auto"/>
              <w:rPr>
                <w:rFonts w:ascii="Book Antiqua" w:eastAsia="MS Mincho" w:hAnsi="Book Antiqua" w:cs="Arial"/>
                <w:sz w:val="20"/>
                <w:szCs w:val="20"/>
                <w:lang w:val="en-CA" w:eastAsia="ja-JP"/>
              </w:rPr>
            </w:pPr>
            <w:r w:rsidRPr="00C47C3B">
              <w:rPr>
                <w:rFonts w:ascii="Book Antiqua" w:eastAsia="MS Mincho" w:hAnsi="Book Antiqua" w:cs="Arial"/>
                <w:sz w:val="20"/>
                <w:szCs w:val="20"/>
                <w:lang w:val="en-CA" w:eastAsia="ja-JP"/>
              </w:rPr>
              <w:pict>
                <v:line id="_x0000_s1128" style="position:absolute;z-index:251605504;mso-position-horizontal-relative:text;mso-position-vertical-relative:text" from="-4.4pt,6.6pt" to="41.8pt,6.6pt" strokecolor="windowText" o:insetmode="auto">
                  <v:stroke endarrow="block"/>
                </v:line>
              </w:pict>
            </w:r>
          </w:p>
        </w:tc>
        <w:tc>
          <w:tcPr>
            <w:tcW w:w="2928" w:type="dxa"/>
            <w:tcBorders>
              <w:top w:val="nil"/>
              <w:left w:val="nil"/>
              <w:bottom w:val="nil"/>
              <w:right w:val="nil"/>
            </w:tcBorders>
            <w:shd w:val="clear" w:color="auto" w:fill="auto"/>
            <w:noWrap/>
            <w:vAlign w:val="bottom"/>
          </w:tcPr>
          <w:p w:rsidR="00351F2C" w:rsidRPr="00EC1298" w:rsidRDefault="00351F2C" w:rsidP="0092792E">
            <w:pPr>
              <w:spacing w:after="0" w:line="240" w:lineRule="auto"/>
              <w:rPr>
                <w:rFonts w:ascii="Book Antiqua" w:eastAsia="MS Mincho" w:hAnsi="Book Antiqua" w:cs="Arial"/>
                <w:sz w:val="20"/>
                <w:szCs w:val="20"/>
                <w:lang w:val="en-CA" w:eastAsia="ja-JP"/>
              </w:rPr>
            </w:pPr>
            <w:r w:rsidRPr="00EC1298">
              <w:rPr>
                <w:rFonts w:ascii="Book Antiqua" w:eastAsia="MS Mincho" w:hAnsi="Book Antiqua" w:cs="Arial"/>
                <w:sz w:val="20"/>
                <w:szCs w:val="20"/>
                <w:lang w:val="en-CA" w:eastAsia="ja-JP"/>
              </w:rPr>
              <w:t xml:space="preserve">Technical support/supervision </w:t>
            </w:r>
          </w:p>
        </w:tc>
      </w:tr>
      <w:tr w:rsidR="00351F2C" w:rsidRPr="00EC1298">
        <w:trPr>
          <w:trHeight w:val="264"/>
        </w:trPr>
        <w:tc>
          <w:tcPr>
            <w:tcW w:w="976" w:type="dxa"/>
            <w:tcBorders>
              <w:top w:val="nil"/>
              <w:left w:val="nil"/>
              <w:bottom w:val="nil"/>
              <w:right w:val="nil"/>
            </w:tcBorders>
            <w:shd w:val="clear" w:color="auto" w:fill="auto"/>
            <w:noWrap/>
            <w:vAlign w:val="bottom"/>
          </w:tcPr>
          <w:p w:rsidR="00351F2C" w:rsidRPr="00EC1298" w:rsidRDefault="00C47C3B" w:rsidP="0092792E">
            <w:pPr>
              <w:spacing w:after="0" w:line="240" w:lineRule="auto"/>
              <w:rPr>
                <w:rFonts w:ascii="Book Antiqua" w:eastAsia="MS Mincho" w:hAnsi="Book Antiqua" w:cs="Arial"/>
                <w:sz w:val="20"/>
                <w:szCs w:val="20"/>
                <w:lang w:val="en-CA" w:eastAsia="ja-JP"/>
              </w:rPr>
            </w:pPr>
            <w:r w:rsidRPr="00C47C3B">
              <w:rPr>
                <w:rFonts w:ascii="Book Antiqua" w:eastAsia="MS Mincho" w:hAnsi="Book Antiqua" w:cs="Arial"/>
                <w:sz w:val="20"/>
                <w:szCs w:val="20"/>
                <w:lang w:val="en-CA" w:eastAsia="ja-JP"/>
              </w:rPr>
              <w:pict>
                <v:line id="_x0000_s1129" style="position:absolute;z-index:251606528;mso-position-horizontal-relative:text;mso-position-vertical-relative:text" from="-3.35pt,7.8pt" to="41.05pt,7.8pt" strokecolor="windowText" strokeweight="1pt" o:insetmode="auto">
                  <v:stroke dashstyle="1 1" endarrow="block"/>
                </v:line>
              </w:pict>
            </w:r>
          </w:p>
        </w:tc>
        <w:tc>
          <w:tcPr>
            <w:tcW w:w="2928" w:type="dxa"/>
            <w:tcBorders>
              <w:top w:val="nil"/>
              <w:left w:val="nil"/>
              <w:bottom w:val="nil"/>
              <w:right w:val="nil"/>
            </w:tcBorders>
            <w:shd w:val="clear" w:color="auto" w:fill="auto"/>
            <w:noWrap/>
            <w:vAlign w:val="bottom"/>
          </w:tcPr>
          <w:p w:rsidR="00351F2C" w:rsidRPr="00EC1298" w:rsidRDefault="00351F2C" w:rsidP="0092792E">
            <w:pPr>
              <w:spacing w:after="0" w:line="240" w:lineRule="auto"/>
              <w:rPr>
                <w:rFonts w:ascii="Book Antiqua" w:eastAsia="MS Mincho" w:hAnsi="Book Antiqua" w:cs="Arial"/>
                <w:sz w:val="20"/>
                <w:szCs w:val="20"/>
                <w:lang w:val="en-CA" w:eastAsia="ja-JP"/>
              </w:rPr>
            </w:pPr>
            <w:r w:rsidRPr="00EC1298">
              <w:rPr>
                <w:rFonts w:ascii="Book Antiqua" w:eastAsia="MS Mincho" w:hAnsi="Book Antiqua" w:cs="Arial"/>
                <w:sz w:val="20"/>
                <w:szCs w:val="20"/>
                <w:lang w:val="en-CA" w:eastAsia="ja-JP"/>
              </w:rPr>
              <w:t xml:space="preserve">Flow of money </w:t>
            </w:r>
          </w:p>
        </w:tc>
      </w:tr>
      <w:tr w:rsidR="00351F2C" w:rsidRPr="00EC1298">
        <w:trPr>
          <w:trHeight w:val="264"/>
        </w:trPr>
        <w:tc>
          <w:tcPr>
            <w:tcW w:w="976" w:type="dxa"/>
            <w:tcBorders>
              <w:top w:val="nil"/>
              <w:left w:val="nil"/>
              <w:bottom w:val="nil"/>
              <w:right w:val="nil"/>
            </w:tcBorders>
            <w:shd w:val="clear" w:color="auto" w:fill="auto"/>
            <w:noWrap/>
            <w:vAlign w:val="bottom"/>
          </w:tcPr>
          <w:p w:rsidR="00351F2C" w:rsidRPr="00EC1298" w:rsidRDefault="00C47C3B" w:rsidP="0092792E">
            <w:pPr>
              <w:spacing w:after="0" w:line="240" w:lineRule="auto"/>
              <w:rPr>
                <w:rFonts w:ascii="Book Antiqua" w:eastAsia="MS Mincho" w:hAnsi="Book Antiqua" w:cs="Arial"/>
                <w:sz w:val="20"/>
                <w:szCs w:val="20"/>
                <w:lang w:val="en-CA" w:eastAsia="ja-JP"/>
              </w:rPr>
            </w:pPr>
            <w:r w:rsidRPr="00C47C3B">
              <w:rPr>
                <w:rFonts w:ascii="Book Antiqua" w:eastAsia="MS Mincho" w:hAnsi="Book Antiqua" w:cs="Arial"/>
                <w:sz w:val="20"/>
                <w:szCs w:val="20"/>
                <w:lang w:val="en-CA" w:eastAsia="ja-JP"/>
              </w:rPr>
              <w:pict>
                <v:line id="_x0000_s1130" style="position:absolute;z-index:251607552;mso-position-horizontal-relative:text;mso-position-vertical-relative:text" from="-3.95pt,6.6pt" to="38.05pt,6.6pt" strokecolor="windowText" strokeweight="1pt" o:insetmode="auto">
                  <v:stroke endarrow="oval"/>
                </v:line>
              </w:pict>
            </w:r>
          </w:p>
        </w:tc>
        <w:tc>
          <w:tcPr>
            <w:tcW w:w="2928" w:type="dxa"/>
            <w:tcBorders>
              <w:top w:val="nil"/>
              <w:left w:val="nil"/>
              <w:bottom w:val="nil"/>
              <w:right w:val="nil"/>
            </w:tcBorders>
            <w:shd w:val="clear" w:color="auto" w:fill="auto"/>
            <w:noWrap/>
            <w:vAlign w:val="bottom"/>
          </w:tcPr>
          <w:p w:rsidR="00351F2C" w:rsidRPr="00EC1298" w:rsidRDefault="00351F2C" w:rsidP="0092792E">
            <w:pPr>
              <w:spacing w:after="0" w:line="240" w:lineRule="auto"/>
              <w:rPr>
                <w:rFonts w:ascii="Book Antiqua" w:eastAsia="MS Mincho" w:hAnsi="Book Antiqua" w:cs="Arial"/>
                <w:sz w:val="20"/>
                <w:szCs w:val="20"/>
                <w:lang w:val="en-CA" w:eastAsia="ja-JP"/>
              </w:rPr>
            </w:pPr>
            <w:r w:rsidRPr="00EC1298">
              <w:rPr>
                <w:rFonts w:ascii="Book Antiqua" w:eastAsia="MS Mincho" w:hAnsi="Book Antiqua" w:cs="Arial"/>
                <w:sz w:val="20"/>
                <w:szCs w:val="20"/>
                <w:lang w:val="en-CA" w:eastAsia="ja-JP"/>
              </w:rPr>
              <w:t>Reporting/annual action plan</w:t>
            </w:r>
          </w:p>
        </w:tc>
      </w:tr>
    </w:tbl>
    <w:p w:rsidR="00351F2C" w:rsidRPr="00445F77" w:rsidRDefault="00351F2C" w:rsidP="00A256CB">
      <w:pPr>
        <w:spacing w:after="0" w:line="300" w:lineRule="exact"/>
        <w:jc w:val="both"/>
        <w:rPr>
          <w:rFonts w:ascii="Arial" w:hAnsi="Arial" w:cs="Arial"/>
          <w:sz w:val="24"/>
          <w:szCs w:val="24"/>
        </w:rPr>
      </w:pPr>
    </w:p>
    <w:p w:rsidR="00351F2C" w:rsidRPr="00EC1298" w:rsidRDefault="00351F2C" w:rsidP="00A256CB">
      <w:pPr>
        <w:spacing w:after="0" w:line="300" w:lineRule="exact"/>
        <w:jc w:val="both"/>
        <w:rPr>
          <w:rFonts w:ascii="Book Antiqua" w:hAnsi="Book Antiqua" w:cs="Arial"/>
        </w:rPr>
      </w:pPr>
      <w:r w:rsidRPr="00EC1298">
        <w:rPr>
          <w:rFonts w:ascii="Book Antiqua" w:hAnsi="Book Antiqua" w:cs="Arial"/>
        </w:rPr>
        <w:t xml:space="preserve">Under the </w:t>
      </w:r>
      <w:r w:rsidR="00D7117B">
        <w:rPr>
          <w:rFonts w:ascii="Book Antiqua" w:hAnsi="Book Antiqua" w:cs="Arial"/>
        </w:rPr>
        <w:t>WB</w:t>
      </w:r>
      <w:r w:rsidRPr="00EC1298">
        <w:rPr>
          <w:rFonts w:ascii="Book Antiqua" w:hAnsi="Book Antiqua" w:cs="Arial"/>
        </w:rPr>
        <w:t xml:space="preserve">-funded reforestation project on the </w:t>
      </w:r>
      <w:smartTag w:uri="urn:schemas-microsoft-com:office:smarttags" w:element="place">
        <w:smartTag w:uri="urn:schemas-microsoft-com:office:smarttags" w:element="PlaceName">
          <w:r w:rsidRPr="00EC1298">
            <w:rPr>
              <w:rFonts w:ascii="Book Antiqua" w:hAnsi="Book Antiqua" w:cs="Arial"/>
            </w:rPr>
            <w:t>Central</w:t>
          </w:r>
        </w:smartTag>
        <w:r w:rsidRPr="00EC1298">
          <w:rPr>
            <w:rFonts w:ascii="Book Antiqua" w:hAnsi="Book Antiqua" w:cs="Arial"/>
          </w:rPr>
          <w:t xml:space="preserve"> </w:t>
        </w:r>
        <w:smartTag w:uri="urn:schemas-microsoft-com:office:smarttags" w:element="PlaceType">
          <w:r w:rsidRPr="00EC1298">
            <w:rPr>
              <w:rFonts w:ascii="Book Antiqua" w:hAnsi="Book Antiqua" w:cs="Arial"/>
            </w:rPr>
            <w:t>Coast</w:t>
          </w:r>
        </w:smartTag>
      </w:smartTag>
      <w:r w:rsidRPr="00EC1298">
        <w:rPr>
          <w:rFonts w:ascii="Book Antiqua" w:hAnsi="Book Antiqua" w:cs="Arial"/>
        </w:rPr>
        <w:t xml:space="preserve">, households can request loans from the Bank for Social Policies for up to 75% of total investment costs for duration of up to 15 years.  They receive the loan in three </w:t>
      </w:r>
      <w:r w:rsidR="004C7E6C" w:rsidRPr="00EC1298">
        <w:rPr>
          <w:rFonts w:ascii="Book Antiqua" w:hAnsi="Book Antiqua" w:cs="Arial"/>
        </w:rPr>
        <w:t>instalments</w:t>
      </w:r>
      <w:r w:rsidRPr="00EC1298">
        <w:rPr>
          <w:rFonts w:ascii="Book Antiqua" w:hAnsi="Book Antiqua" w:cs="Arial"/>
        </w:rPr>
        <w:t xml:space="preserve">: 50% at the point of planting, </w:t>
      </w:r>
      <w:r w:rsidRPr="00EC1298">
        <w:rPr>
          <w:rFonts w:ascii="Book Antiqua" w:hAnsi="Book Antiqua" w:cs="Arial"/>
        </w:rPr>
        <w:lastRenderedPageBreak/>
        <w:t xml:space="preserve">40% in the second year, and the remaining 10% in the third year.  Project staff inspect the tree plantations each time before </w:t>
      </w:r>
      <w:r w:rsidR="004C7E6C" w:rsidRPr="00EC1298">
        <w:rPr>
          <w:rFonts w:ascii="Book Antiqua" w:hAnsi="Book Antiqua" w:cs="Arial"/>
        </w:rPr>
        <w:t>instalments</w:t>
      </w:r>
      <w:r w:rsidRPr="00EC1298">
        <w:rPr>
          <w:rFonts w:ascii="Book Antiqua" w:hAnsi="Book Antiqua" w:cs="Arial"/>
        </w:rPr>
        <w:t xml:space="preserve"> are disbursed.  Households make annual payments on the due interest, but are not required to repay the principal before the end of the loan period.  The underlying assumption is that the eventual sale of timber generates the required revenues for households to repay the loan (see Figure 2.4).  </w:t>
      </w:r>
    </w:p>
    <w:p w:rsidR="00351F2C" w:rsidRPr="00EC1298" w:rsidRDefault="00351F2C" w:rsidP="00A256CB">
      <w:pPr>
        <w:spacing w:after="0" w:line="300" w:lineRule="atLeast"/>
        <w:rPr>
          <w:rFonts w:ascii="Book Antiqua" w:hAnsi="Book Antiqua" w:cs="Arial"/>
        </w:rPr>
      </w:pPr>
    </w:p>
    <w:p w:rsidR="00351F2C" w:rsidRPr="00EC1298" w:rsidRDefault="00351F2C" w:rsidP="00AD2B5E">
      <w:pPr>
        <w:pStyle w:val="Caption"/>
        <w:spacing w:after="0"/>
        <w:jc w:val="center"/>
        <w:rPr>
          <w:rFonts w:ascii="Book Antiqua" w:hAnsi="Book Antiqua" w:cs="Arial"/>
          <w:sz w:val="22"/>
          <w:szCs w:val="22"/>
        </w:rPr>
      </w:pPr>
      <w:r w:rsidRPr="00EC1298">
        <w:rPr>
          <w:rFonts w:ascii="Book Antiqua" w:hAnsi="Book Antiqua" w:cs="Arial"/>
          <w:sz w:val="22"/>
          <w:szCs w:val="22"/>
        </w:rPr>
        <w:t>Figure 2.4: Loan model with a single repayment</w:t>
      </w:r>
    </w:p>
    <w:p w:rsidR="00351F2C" w:rsidRPr="00445F77" w:rsidRDefault="000D756D" w:rsidP="00A256CB">
      <w:pPr>
        <w:keepNext/>
        <w:jc w:val="center"/>
        <w:rPr>
          <w:rFonts w:ascii="Arial" w:hAnsi="Arial" w:cs="Arial"/>
          <w:sz w:val="24"/>
          <w:szCs w:val="24"/>
        </w:rPr>
      </w:pPr>
      <w:r>
        <w:rPr>
          <w:rFonts w:ascii="Arial" w:hAnsi="Arial" w:cs="Arial"/>
          <w:noProof/>
          <w:sz w:val="24"/>
          <w:szCs w:val="24"/>
          <w:lang w:val="en-US"/>
        </w:rPr>
        <w:drawing>
          <wp:inline distT="0" distB="0" distL="0" distR="0">
            <wp:extent cx="3657600" cy="2495550"/>
            <wp:effectExtent l="0" t="0" r="0" b="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3657600" cy="2495550"/>
                    </a:xfrm>
                    <a:prstGeom prst="rect">
                      <a:avLst/>
                    </a:prstGeom>
                    <a:noFill/>
                    <a:ln w="9525">
                      <a:noFill/>
                      <a:miter lim="800000"/>
                      <a:headEnd/>
                      <a:tailEnd/>
                    </a:ln>
                  </pic:spPr>
                </pic:pic>
              </a:graphicData>
            </a:graphic>
          </wp:inline>
        </w:drawing>
      </w:r>
    </w:p>
    <w:p w:rsidR="00351F2C" w:rsidRPr="00445F77" w:rsidRDefault="00351F2C" w:rsidP="00A256CB">
      <w:pPr>
        <w:spacing w:after="0"/>
        <w:rPr>
          <w:rFonts w:ascii="Arial" w:hAnsi="Arial" w:cs="Arial"/>
          <w:sz w:val="24"/>
          <w:szCs w:val="24"/>
        </w:rPr>
      </w:pPr>
    </w:p>
    <w:p w:rsidR="00351F2C" w:rsidRPr="00445F77" w:rsidRDefault="00351F2C" w:rsidP="00A256CB">
      <w:pPr>
        <w:spacing w:after="0" w:line="300" w:lineRule="atLeast"/>
        <w:contextualSpacing/>
        <w:rPr>
          <w:rFonts w:ascii="Arial" w:hAnsi="Arial" w:cs="Arial"/>
          <w:i/>
          <w:color w:val="1F497D"/>
          <w:sz w:val="24"/>
          <w:szCs w:val="24"/>
        </w:rPr>
      </w:pPr>
      <w:r w:rsidRPr="00445F77">
        <w:rPr>
          <w:rFonts w:ascii="Arial" w:hAnsi="Arial" w:cs="Arial"/>
          <w:i/>
          <w:color w:val="1F497D"/>
          <w:sz w:val="24"/>
          <w:szCs w:val="24"/>
        </w:rPr>
        <w:t>Analysis</w:t>
      </w:r>
    </w:p>
    <w:p w:rsidR="00351F2C" w:rsidRPr="00EC1298" w:rsidRDefault="00351F2C" w:rsidP="00A256CB">
      <w:pPr>
        <w:spacing w:after="0" w:line="300" w:lineRule="atLeast"/>
        <w:contextualSpacing/>
        <w:jc w:val="both"/>
        <w:rPr>
          <w:rFonts w:ascii="Book Antiqua" w:hAnsi="Book Antiqua" w:cs="Arial"/>
        </w:rPr>
      </w:pPr>
      <w:r w:rsidRPr="00EC1298">
        <w:rPr>
          <w:rFonts w:ascii="Book Antiqua" w:hAnsi="Book Antiqua" w:cs="Arial"/>
        </w:rPr>
        <w:t xml:space="preserve">These donor-funded reforestation </w:t>
      </w:r>
      <w:r w:rsidR="00480D3D">
        <w:rPr>
          <w:rFonts w:ascii="Book Antiqua" w:hAnsi="Book Antiqua" w:cs="Arial"/>
        </w:rPr>
        <w:t>programme</w:t>
      </w:r>
      <w:r w:rsidRPr="00EC1298">
        <w:rPr>
          <w:rFonts w:ascii="Book Antiqua" w:hAnsi="Book Antiqua" w:cs="Arial"/>
        </w:rPr>
        <w:t xml:space="preserve">s have tackled the problems hampering the 661 </w:t>
      </w:r>
      <w:r w:rsidR="00480D3D">
        <w:rPr>
          <w:rFonts w:ascii="Book Antiqua" w:hAnsi="Book Antiqua" w:cs="Arial"/>
        </w:rPr>
        <w:t>Programme</w:t>
      </w:r>
      <w:r w:rsidRPr="00EC1298">
        <w:rPr>
          <w:rFonts w:ascii="Book Antiqua" w:hAnsi="Book Antiqua" w:cs="Arial"/>
        </w:rPr>
        <w:t xml:space="preserve"> with some success.  They allocate funds to </w:t>
      </w:r>
      <w:r w:rsidRPr="00EC1298">
        <w:rPr>
          <w:rFonts w:ascii="Book Antiqua" w:hAnsi="Book Antiqua" w:cs="Arial"/>
          <w:u w:val="single"/>
        </w:rPr>
        <w:t xml:space="preserve">project activities that could not be funded under the 661 </w:t>
      </w:r>
      <w:r w:rsidR="00480D3D">
        <w:rPr>
          <w:rFonts w:ascii="Book Antiqua" w:hAnsi="Book Antiqua" w:cs="Arial"/>
          <w:u w:val="single"/>
        </w:rPr>
        <w:t>Programme</w:t>
      </w:r>
      <w:r w:rsidRPr="00EC1298">
        <w:rPr>
          <w:rFonts w:ascii="Book Antiqua" w:hAnsi="Book Antiqua" w:cs="Arial"/>
        </w:rPr>
        <w:t>.</w:t>
      </w:r>
      <w:r w:rsidRPr="00EC1298">
        <w:rPr>
          <w:rStyle w:val="FootnoteReference"/>
          <w:rFonts w:ascii="Book Antiqua" w:hAnsi="Book Antiqua" w:cs="Arial"/>
        </w:rPr>
        <w:footnoteReference w:id="18"/>
      </w:r>
      <w:r w:rsidRPr="00EC1298">
        <w:rPr>
          <w:rFonts w:ascii="Book Antiqua" w:hAnsi="Book Antiqua" w:cs="Arial"/>
        </w:rPr>
        <w:t xml:space="preserve">  They undertake additional steps to prepare plantation investments, such as land allocation, participatory land use planning, site mapping, area measurement and rechecking.  They improve the capacity of local extension staff, train households, monitor project progress, and practice quality control.  These additional activities tend to raise the effectiveness of external support, as indicated by a comparative evaluation of 661 and KfW-supported plantations in 2005.</w:t>
      </w:r>
      <w:r w:rsidRPr="00EC1298">
        <w:rPr>
          <w:rStyle w:val="FootnoteReference"/>
          <w:rFonts w:ascii="Book Antiqua" w:hAnsi="Book Antiqua" w:cs="Arial"/>
        </w:rPr>
        <w:footnoteReference w:id="19"/>
      </w:r>
      <w:r w:rsidRPr="00EC1298">
        <w:rPr>
          <w:rFonts w:ascii="Book Antiqua" w:hAnsi="Book Antiqua" w:cs="Arial"/>
        </w:rPr>
        <w:t xml:space="preserve">  Moreover, some activities, such as area measurement and rechecking, reduce the possibilities of elite capture.</w:t>
      </w:r>
    </w:p>
    <w:p w:rsidR="00351F2C" w:rsidRPr="00EC1298" w:rsidRDefault="00351F2C" w:rsidP="00A256CB">
      <w:pPr>
        <w:spacing w:after="0" w:line="300" w:lineRule="atLeast"/>
        <w:contextualSpacing/>
        <w:rPr>
          <w:rFonts w:ascii="Book Antiqua" w:hAnsi="Book Antiqua" w:cs="Arial"/>
        </w:rPr>
      </w:pPr>
    </w:p>
    <w:p w:rsidR="00351F2C" w:rsidRPr="00EC1298" w:rsidRDefault="00351F2C" w:rsidP="00A256CB">
      <w:pPr>
        <w:spacing w:after="0" w:line="300" w:lineRule="atLeast"/>
        <w:contextualSpacing/>
        <w:jc w:val="both"/>
        <w:rPr>
          <w:rFonts w:ascii="Book Antiqua" w:hAnsi="Book Antiqua" w:cs="Arial"/>
        </w:rPr>
      </w:pPr>
      <w:r w:rsidRPr="00EC1298">
        <w:rPr>
          <w:rFonts w:ascii="Book Antiqua" w:hAnsi="Book Antiqua" w:cs="Arial"/>
        </w:rPr>
        <w:t xml:space="preserve">At the same time, the additional activities </w:t>
      </w:r>
      <w:r w:rsidRPr="00EC1298">
        <w:rPr>
          <w:rFonts w:ascii="Book Antiqua" w:hAnsi="Book Antiqua" w:cs="Arial"/>
          <w:u w:val="single"/>
        </w:rPr>
        <w:t>raise the transaction costs</w:t>
      </w:r>
      <w:r w:rsidRPr="00EC1298">
        <w:rPr>
          <w:rFonts w:ascii="Book Antiqua" w:hAnsi="Book Antiqua" w:cs="Arial"/>
        </w:rPr>
        <w:t xml:space="preserve"> incurred in the direct provision of support to individual households.  Some of these costs, such as those associated with land use planning and site mapping, occur regardless of whether the external support is given to individual households, groups or entire village communities.  Yet other costs increase significantly when external support is targeted to individual households.  For example, the costs of land allocation, area measurement, rechecking and training are significantly higher for a project dealing with 200 individual households than one working with 4 groups of 50 households each or another one targeting the entire </w:t>
      </w:r>
      <w:r w:rsidRPr="00EC1298">
        <w:rPr>
          <w:rFonts w:ascii="Book Antiqua" w:hAnsi="Book Antiqua" w:cs="Arial"/>
        </w:rPr>
        <w:lastRenderedPageBreak/>
        <w:t>village community.  This is particularly true in areas with household forest holdings as small as 0.5 ha (the minimum size in the FSDP and KfW-6).</w:t>
      </w:r>
    </w:p>
    <w:p w:rsidR="00351F2C" w:rsidRPr="00EC1298" w:rsidRDefault="00351F2C" w:rsidP="00A256CB">
      <w:pPr>
        <w:spacing w:after="0" w:line="300" w:lineRule="atLeast"/>
        <w:contextualSpacing/>
        <w:rPr>
          <w:rFonts w:ascii="Book Antiqua" w:hAnsi="Book Antiqua" w:cs="Arial"/>
        </w:rPr>
      </w:pPr>
    </w:p>
    <w:p w:rsidR="00351F2C" w:rsidRPr="00EC1298" w:rsidRDefault="00351F2C" w:rsidP="00A256CB">
      <w:pPr>
        <w:spacing w:after="0" w:line="300" w:lineRule="atLeast"/>
        <w:jc w:val="both"/>
        <w:rPr>
          <w:rFonts w:ascii="Book Antiqua" w:hAnsi="Book Antiqua" w:cs="Arial"/>
          <w:color w:val="FF0000"/>
        </w:rPr>
      </w:pPr>
      <w:r w:rsidRPr="00EC1298">
        <w:rPr>
          <w:rFonts w:ascii="Book Antiqua" w:hAnsi="Book Antiqua" w:cs="Arial"/>
        </w:rPr>
        <w:t xml:space="preserve">In addition, the effectiveness of the large reforestation projects is restricted by similarly </w:t>
      </w:r>
      <w:r w:rsidRPr="00EC1298">
        <w:rPr>
          <w:rFonts w:ascii="Book Antiqua" w:hAnsi="Book Antiqua" w:cs="Arial"/>
          <w:u w:val="single"/>
        </w:rPr>
        <w:t>centralized project structures</w:t>
      </w:r>
      <w:r w:rsidRPr="00EC1298">
        <w:rPr>
          <w:rFonts w:ascii="Book Antiqua" w:hAnsi="Book Antiqua" w:cs="Arial"/>
        </w:rPr>
        <w:t xml:space="preserve"> as the one found in the 661 </w:t>
      </w:r>
      <w:r w:rsidR="00480D3D">
        <w:rPr>
          <w:rFonts w:ascii="Book Antiqua" w:hAnsi="Book Antiqua" w:cs="Arial"/>
        </w:rPr>
        <w:t>Programme</w:t>
      </w:r>
      <w:r w:rsidRPr="00EC1298">
        <w:rPr>
          <w:rFonts w:ascii="Book Antiqua" w:hAnsi="Book Antiqua" w:cs="Arial"/>
        </w:rPr>
        <w:t>.  For example, local government officials in Dak Lak openly voiced their frustrations with the centralized planning and budget allocation procedures under the FLITCH project to the authors (see Figure 5.2).</w:t>
      </w:r>
      <w:r w:rsidRPr="00EC1298">
        <w:rPr>
          <w:rStyle w:val="FootnoteReference"/>
          <w:rFonts w:ascii="Book Antiqua" w:hAnsi="Book Antiqua" w:cs="Arial"/>
        </w:rPr>
        <w:footnoteReference w:id="20"/>
      </w:r>
      <w:r w:rsidRPr="00EC1298">
        <w:rPr>
          <w:rFonts w:ascii="Book Antiqua" w:hAnsi="Book Antiqua" w:cs="Arial"/>
        </w:rPr>
        <w:t xml:space="preserve">  Commune officials and village leaders are requested to prepare village plans every year in August or September but see their plans revised if they do not meet the approval of PMUs at the commune, district or provincial level, or if they do not comply with the requirements imposed by the government and ADB.  Once they have prepared the required plan, villagers have no further influence on the project but are relegated to the role of a passive recipient of free inputs.  Due to the cumbersome and time-consuming nature of the planning process, inputs are sometimes delivered at the wrong time (e.g., tree seedlings outside the planting season).  Moreover, villagers and local government officials at the commune and district levels do not perceive any ownership in the project and provide minimal support.  The projects retain the principle of centralized administrative allocation. </w:t>
      </w:r>
    </w:p>
    <w:p w:rsidR="00351F2C" w:rsidRPr="00EC1298" w:rsidRDefault="00351F2C" w:rsidP="00A256CB">
      <w:pPr>
        <w:spacing w:after="0" w:line="300" w:lineRule="atLeast"/>
        <w:contextualSpacing/>
        <w:rPr>
          <w:rFonts w:ascii="Book Antiqua" w:hAnsi="Book Antiqua" w:cs="Arial"/>
        </w:rPr>
      </w:pPr>
    </w:p>
    <w:p w:rsidR="00351F2C" w:rsidRPr="00EC1298" w:rsidRDefault="00351F2C" w:rsidP="00A256CB">
      <w:pPr>
        <w:spacing w:after="0" w:line="300" w:lineRule="exact"/>
        <w:jc w:val="both"/>
        <w:rPr>
          <w:rFonts w:ascii="Book Antiqua" w:hAnsi="Book Antiqua" w:cs="Arial"/>
        </w:rPr>
      </w:pPr>
      <w:r w:rsidRPr="00EC1298">
        <w:rPr>
          <w:rFonts w:ascii="Book Antiqua" w:hAnsi="Book Antiqua" w:cs="Arial"/>
        </w:rPr>
        <w:t xml:space="preserve">The </w:t>
      </w:r>
      <w:r w:rsidR="00D7117B">
        <w:rPr>
          <w:rFonts w:ascii="Book Antiqua" w:hAnsi="Book Antiqua" w:cs="Arial"/>
        </w:rPr>
        <w:t>WB</w:t>
      </w:r>
      <w:r w:rsidRPr="00EC1298">
        <w:rPr>
          <w:rFonts w:ascii="Book Antiqua" w:hAnsi="Book Antiqua" w:cs="Arial"/>
        </w:rPr>
        <w:t xml:space="preserve"> loan model is also possible for </w:t>
      </w:r>
      <w:r w:rsidR="00480D3D">
        <w:rPr>
          <w:rFonts w:ascii="Book Antiqua" w:hAnsi="Book Antiqua" w:cs="Arial"/>
        </w:rPr>
        <w:t>REDD+</w:t>
      </w:r>
      <w:r w:rsidRPr="00EC1298">
        <w:rPr>
          <w:rFonts w:ascii="Book Antiqua" w:hAnsi="Book Antiqua" w:cs="Arial"/>
        </w:rPr>
        <w:t xml:space="preserve"> payments, i.e., that households take up a loan and, if successful, eventually repay the loan from any carbon credits earned.  The obvious disadvantage of the model is that it makes households bear all the incurred risks.  Households are liable to loan repayment regardless of any unforeseen biophysical or socio-economic events.  If they cannot repay the loan at the end of its duration, the applicable interest rate increases by one half.  More importantly, households face the risk of losing their Land Use Right Certificate deposited with the Bank as collateral.</w:t>
      </w:r>
    </w:p>
    <w:p w:rsidR="00351F2C" w:rsidRPr="00EC1298" w:rsidRDefault="00351F2C" w:rsidP="00A256CB">
      <w:pPr>
        <w:spacing w:after="0" w:line="300" w:lineRule="atLeast"/>
        <w:contextualSpacing/>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It remains unclear at this point how the commune investment funds will function in practice due to their novelty.  While ADB is about to disburse seed money to funds, there are no viable procedures in place for fund management at the commune level.  Similarly, there are no guidelines on how villages develop project proposals and eventually distribute available funds among member households.  More importantly, commune officials and village leaders voice concerns that the highly centralized project structure will severely constrain the space for local decision-making and make the disbursement of investment funds unpredictable.  Thus, the commune investment funds are very different from the community forest funds established by the KfW-6 project and other community-based forest management initiatives piloted across the country.  Moreover, there are good reasons for skepticism about the future performance of commune-level investment funds.  Their ability to support community-based forest management requires thorough evaluation before they can be considered a suitable model for the disbursement of </w:t>
      </w:r>
      <w:r w:rsidR="00480D3D">
        <w:rPr>
          <w:rFonts w:ascii="Book Antiqua" w:hAnsi="Book Antiqua" w:cs="Arial"/>
        </w:rPr>
        <w:t>REDD+</w:t>
      </w:r>
      <w:r w:rsidRPr="00EC1298">
        <w:rPr>
          <w:rFonts w:ascii="Book Antiqua" w:hAnsi="Book Antiqua" w:cs="Arial"/>
        </w:rPr>
        <w:t xml:space="preserve"> finance to local communities.</w:t>
      </w:r>
    </w:p>
    <w:p w:rsidR="00351F2C" w:rsidRPr="00EC1298" w:rsidRDefault="00351F2C" w:rsidP="00A256CB">
      <w:pPr>
        <w:spacing w:after="0" w:line="300" w:lineRule="atLeast"/>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In sum, the KfW-funded projects and </w:t>
      </w:r>
      <w:r w:rsidR="00D7117B">
        <w:rPr>
          <w:rFonts w:ascii="Book Antiqua" w:hAnsi="Book Antiqua" w:cs="Arial"/>
        </w:rPr>
        <w:t>WB</w:t>
      </w:r>
      <w:r w:rsidRPr="00EC1298">
        <w:rPr>
          <w:rFonts w:ascii="Book Antiqua" w:hAnsi="Book Antiqua" w:cs="Arial"/>
        </w:rPr>
        <w:t xml:space="preserve">-funded reforestation </w:t>
      </w:r>
      <w:r w:rsidR="00480D3D">
        <w:rPr>
          <w:rFonts w:ascii="Book Antiqua" w:hAnsi="Book Antiqua" w:cs="Arial"/>
        </w:rPr>
        <w:t>programme</w:t>
      </w:r>
      <w:r w:rsidRPr="00EC1298">
        <w:rPr>
          <w:rFonts w:ascii="Book Antiqua" w:hAnsi="Book Antiqua" w:cs="Arial"/>
        </w:rPr>
        <w:t xml:space="preserve"> reveal possibilities of how </w:t>
      </w:r>
      <w:r w:rsidRPr="00EC1298">
        <w:rPr>
          <w:rFonts w:ascii="Book Antiqua" w:hAnsi="Book Antiqua" w:cs="Arial"/>
          <w:i/>
        </w:rPr>
        <w:t>ex post</w:t>
      </w:r>
      <w:r w:rsidRPr="00EC1298">
        <w:rPr>
          <w:rFonts w:ascii="Book Antiqua" w:hAnsi="Book Antiqua" w:cs="Arial"/>
        </w:rPr>
        <w:t xml:space="preserve"> payments based in performance can be combined with the </w:t>
      </w:r>
      <w:r w:rsidRPr="00EC1298">
        <w:rPr>
          <w:rFonts w:ascii="Book Antiqua" w:hAnsi="Book Antiqua" w:cs="Arial"/>
          <w:i/>
        </w:rPr>
        <w:t xml:space="preserve">ex </w:t>
      </w:r>
      <w:r w:rsidRPr="00EC1298">
        <w:rPr>
          <w:rFonts w:ascii="Book Antiqua" w:hAnsi="Book Antiqua" w:cs="Arial"/>
          <w:i/>
        </w:rPr>
        <w:lastRenderedPageBreak/>
        <w:t>ante</w:t>
      </w:r>
      <w:r w:rsidRPr="00EC1298">
        <w:rPr>
          <w:rFonts w:ascii="Book Antiqua" w:hAnsi="Book Antiqua" w:cs="Arial"/>
        </w:rPr>
        <w:t xml:space="preserve"> provision of financial means to make the necessary investments.  Neither initiative solely relies exclusively on </w:t>
      </w:r>
      <w:r w:rsidRPr="00EC1298">
        <w:rPr>
          <w:rFonts w:ascii="Book Antiqua" w:hAnsi="Book Antiqua" w:cs="Arial"/>
          <w:i/>
        </w:rPr>
        <w:t>ex post</w:t>
      </w:r>
      <w:r w:rsidRPr="00EC1298">
        <w:rPr>
          <w:rFonts w:ascii="Book Antiqua" w:hAnsi="Book Antiqua" w:cs="Arial"/>
        </w:rPr>
        <w:t xml:space="preserve"> disbursements to link payments to performance.  Neither disburses payments </w:t>
      </w:r>
      <w:r w:rsidRPr="00EC1298">
        <w:rPr>
          <w:rFonts w:ascii="Book Antiqua" w:hAnsi="Book Antiqua" w:cs="Arial"/>
          <w:i/>
        </w:rPr>
        <w:t>ex ante</w:t>
      </w:r>
      <w:r w:rsidRPr="00EC1298">
        <w:rPr>
          <w:rFonts w:ascii="Book Antiqua" w:hAnsi="Book Antiqua" w:cs="Arial"/>
        </w:rPr>
        <w:t xml:space="preserve"> as simple transfers.  They share the same underlying idea, even though they chose different mechanisms to implement it in practice.  The different mechanisms imply significant differences in the distribution of risk.  The loan model puts all risks on forest users in principle, as those are obliged to repay the loans even if plantations fail.  It may be difficult in practice, however, to recover loans in case of non performance, as it is politically unfeasible for the Bank to collect land use rights certificates.  The conditional savings books distribute the involved risks more evenly between the bank, the state and the forest user.  Moreover, the threat to stop further payments in the case of non-compliance is more credible than the threat to seize land use right certificates.</w:t>
      </w:r>
    </w:p>
    <w:p w:rsidR="00351F2C" w:rsidRPr="00445F77" w:rsidRDefault="00351F2C" w:rsidP="00A256CB">
      <w:pPr>
        <w:spacing w:after="0" w:line="300" w:lineRule="atLeast"/>
        <w:rPr>
          <w:rFonts w:ascii="Arial" w:hAnsi="Arial" w:cs="Arial"/>
          <w:sz w:val="24"/>
          <w:szCs w:val="24"/>
        </w:rPr>
      </w:pPr>
    </w:p>
    <w:p w:rsidR="00351F2C" w:rsidRPr="00445F77" w:rsidRDefault="00351F2C" w:rsidP="00A256CB">
      <w:pPr>
        <w:pStyle w:val="Heading3"/>
        <w:rPr>
          <w:rStyle w:val="Heading2Char"/>
          <w:rFonts w:ascii="Arial" w:hAnsi="Arial" w:cs="Arial"/>
          <w:i w:val="0"/>
          <w:iCs/>
          <w:sz w:val="24"/>
          <w:szCs w:val="24"/>
        </w:rPr>
      </w:pPr>
      <w:bookmarkStart w:id="63" w:name="_Toc244586165"/>
      <w:r w:rsidRPr="00445F77">
        <w:rPr>
          <w:rFonts w:ascii="Arial" w:hAnsi="Arial" w:cs="Arial"/>
          <w:i w:val="0"/>
          <w:iCs/>
        </w:rPr>
        <w:t xml:space="preserve">2.4 </w:t>
      </w:r>
      <w:r w:rsidRPr="00445F77">
        <w:rPr>
          <w:rStyle w:val="Heading2Char"/>
          <w:rFonts w:ascii="Arial" w:hAnsi="Arial" w:cs="Arial"/>
          <w:i w:val="0"/>
          <w:iCs/>
          <w:sz w:val="24"/>
          <w:szCs w:val="24"/>
        </w:rPr>
        <w:t xml:space="preserve">The </w:t>
      </w:r>
      <w:smartTag w:uri="urn:schemas-microsoft-com:office:smarttags" w:element="place">
        <w:r w:rsidRPr="00445F77">
          <w:rPr>
            <w:rStyle w:val="Heading2Char"/>
            <w:rFonts w:ascii="Arial" w:hAnsi="Arial" w:cs="Arial"/>
            <w:i w:val="0"/>
            <w:iCs/>
            <w:sz w:val="24"/>
            <w:szCs w:val="24"/>
          </w:rPr>
          <w:t>Forest</w:t>
        </w:r>
      </w:smartTag>
      <w:r w:rsidRPr="00445F77">
        <w:rPr>
          <w:rStyle w:val="Heading2Char"/>
          <w:rFonts w:ascii="Arial" w:hAnsi="Arial" w:cs="Arial"/>
          <w:i w:val="0"/>
          <w:iCs/>
          <w:sz w:val="24"/>
          <w:szCs w:val="24"/>
        </w:rPr>
        <w:t xml:space="preserve"> Protection and Development Fund</w:t>
      </w:r>
      <w:bookmarkEnd w:id="63"/>
      <w:r w:rsidRPr="00445F77">
        <w:rPr>
          <w:rStyle w:val="Heading2Char"/>
          <w:rFonts w:ascii="Arial" w:hAnsi="Arial" w:cs="Arial"/>
          <w:i w:val="0"/>
          <w:iCs/>
          <w:sz w:val="24"/>
          <w:szCs w:val="24"/>
        </w:rPr>
        <w:t xml:space="preserve"> and Pilot PFES</w:t>
      </w:r>
    </w:p>
    <w:p w:rsidR="00351F2C" w:rsidRPr="00EC1298" w:rsidRDefault="00351F2C" w:rsidP="00A256CB">
      <w:pPr>
        <w:spacing w:after="0" w:line="300" w:lineRule="exact"/>
        <w:jc w:val="both"/>
        <w:rPr>
          <w:rFonts w:ascii="Book Antiqua" w:hAnsi="Book Antiqua" w:cs="Arial"/>
        </w:rPr>
      </w:pPr>
      <w:bookmarkStart w:id="64" w:name="_Ref242861568"/>
      <w:bookmarkStart w:id="65" w:name="_Toc243930053"/>
      <w:r w:rsidRPr="00EC1298">
        <w:rPr>
          <w:rFonts w:ascii="Book Antiqua" w:hAnsi="Book Antiqua" w:cs="Arial"/>
        </w:rPr>
        <w:t>On 14 January 2008, the Prime Minister issued Decree 05/2008/ND-CP on the Forest Protection and Development Fund (FPDF), creating the legal conditions for the establishment of FPDFs at national and sub-national levels.  The FPDFs fall outside the regular socio-economic development planning and budgeting process, as they are conceived as a novel public-private partnership. The fund aims:</w:t>
      </w:r>
    </w:p>
    <w:p w:rsidR="00351F2C" w:rsidRPr="00EC1298" w:rsidRDefault="00351F2C" w:rsidP="00A256CB">
      <w:pPr>
        <w:spacing w:after="0" w:line="300" w:lineRule="exact"/>
        <w:jc w:val="both"/>
        <w:rPr>
          <w:rFonts w:ascii="Book Antiqua" w:hAnsi="Book Antiqua" w:cs="Arial"/>
        </w:rPr>
      </w:pPr>
    </w:p>
    <w:p w:rsidR="00351F2C" w:rsidRPr="00EC1298" w:rsidRDefault="00EC1298" w:rsidP="003E3CBA">
      <w:pPr>
        <w:numPr>
          <w:ilvl w:val="0"/>
          <w:numId w:val="39"/>
        </w:numPr>
        <w:tabs>
          <w:tab w:val="clear" w:pos="720"/>
          <w:tab w:val="num" w:pos="360"/>
        </w:tabs>
        <w:spacing w:after="0" w:line="300" w:lineRule="exact"/>
        <w:ind w:left="360"/>
        <w:jc w:val="both"/>
        <w:rPr>
          <w:rFonts w:ascii="Book Antiqua" w:hAnsi="Book Antiqua" w:cs="Arial"/>
        </w:rPr>
      </w:pPr>
      <w:r>
        <w:rPr>
          <w:rFonts w:ascii="Book Antiqua" w:hAnsi="Book Antiqua" w:cs="Arial"/>
        </w:rPr>
        <w:t>T</w:t>
      </w:r>
      <w:r w:rsidR="00351F2C" w:rsidRPr="00EC1298">
        <w:rPr>
          <w:rFonts w:ascii="Book Antiqua" w:hAnsi="Book Antiqua" w:cs="Arial"/>
        </w:rPr>
        <w:t>o mobilize available resources in the society for the protection and development of forest resources and to contribute to the socialization of forestry</w:t>
      </w:r>
    </w:p>
    <w:p w:rsidR="00351F2C" w:rsidRPr="00EC1298" w:rsidRDefault="00EC1298" w:rsidP="003E3CBA">
      <w:pPr>
        <w:numPr>
          <w:ilvl w:val="0"/>
          <w:numId w:val="39"/>
        </w:numPr>
        <w:tabs>
          <w:tab w:val="clear" w:pos="720"/>
          <w:tab w:val="num" w:pos="360"/>
        </w:tabs>
        <w:spacing w:after="0" w:line="300" w:lineRule="exact"/>
        <w:ind w:left="360"/>
        <w:jc w:val="both"/>
        <w:rPr>
          <w:rFonts w:ascii="Book Antiqua" w:hAnsi="Book Antiqua" w:cs="Arial"/>
        </w:rPr>
      </w:pPr>
      <w:r>
        <w:rPr>
          <w:rFonts w:ascii="Book Antiqua" w:hAnsi="Book Antiqua" w:cs="Arial"/>
        </w:rPr>
        <w:t>T</w:t>
      </w:r>
      <w:r w:rsidR="00351F2C" w:rsidRPr="00EC1298">
        <w:rPr>
          <w:rFonts w:ascii="Book Antiqua" w:hAnsi="Book Antiqua" w:cs="Arial"/>
        </w:rPr>
        <w:t>o improve the sense of responsibility with regard to forest protection and development of people who benefit directly from the forest and those whose actions may have direct impacts on forest resources</w:t>
      </w:r>
    </w:p>
    <w:p w:rsidR="00351F2C" w:rsidRPr="00EC1298" w:rsidRDefault="00EC1298" w:rsidP="003E3CBA">
      <w:pPr>
        <w:numPr>
          <w:ilvl w:val="0"/>
          <w:numId w:val="39"/>
        </w:numPr>
        <w:tabs>
          <w:tab w:val="clear" w:pos="720"/>
          <w:tab w:val="num" w:pos="360"/>
        </w:tabs>
        <w:spacing w:after="0" w:line="300" w:lineRule="exact"/>
        <w:ind w:left="360"/>
        <w:jc w:val="both"/>
        <w:rPr>
          <w:rFonts w:ascii="Book Antiqua" w:hAnsi="Book Antiqua" w:cs="Arial"/>
        </w:rPr>
      </w:pPr>
      <w:r>
        <w:rPr>
          <w:rFonts w:ascii="Book Antiqua" w:hAnsi="Book Antiqua" w:cs="Arial"/>
        </w:rPr>
        <w:t>T</w:t>
      </w:r>
      <w:r w:rsidR="00351F2C" w:rsidRPr="00EC1298">
        <w:rPr>
          <w:rFonts w:ascii="Book Antiqua" w:hAnsi="Book Antiqua" w:cs="Arial"/>
        </w:rPr>
        <w:t xml:space="preserve">o enhance the efficiency in forest management, utilization and protection </w:t>
      </w:r>
    </w:p>
    <w:p w:rsidR="00351F2C" w:rsidRPr="00EC1298" w:rsidRDefault="00351F2C" w:rsidP="00A256CB">
      <w:pPr>
        <w:spacing w:after="0" w:line="300" w:lineRule="exact"/>
        <w:jc w:val="both"/>
        <w:rPr>
          <w:rFonts w:ascii="Book Antiqua" w:hAnsi="Book Antiqua" w:cs="Arial"/>
        </w:rPr>
      </w:pPr>
    </w:p>
    <w:p w:rsidR="00351F2C" w:rsidRPr="00EC1298" w:rsidRDefault="00351F2C" w:rsidP="00A256CB">
      <w:pPr>
        <w:spacing w:after="0" w:line="300" w:lineRule="exact"/>
        <w:jc w:val="both"/>
        <w:rPr>
          <w:rFonts w:ascii="Book Antiqua" w:hAnsi="Book Antiqua" w:cs="Arial"/>
        </w:rPr>
      </w:pPr>
      <w:r w:rsidRPr="00EC1298">
        <w:rPr>
          <w:rFonts w:ascii="Book Antiqua" w:hAnsi="Book Antiqua" w:cs="Arial"/>
        </w:rPr>
        <w:t xml:space="preserve">At the national level, the FPDF was established in November 2008 through Decision 114/2008/QD-BNN. The FPDF is a state owned financial institution based at MARD and directly responsible to the Minister of MARD. </w:t>
      </w:r>
      <w:r w:rsidR="00267325">
        <w:rPr>
          <w:rFonts w:ascii="Book Antiqua" w:hAnsi="Book Antiqua" w:cs="Arial"/>
        </w:rPr>
        <w:t xml:space="preserve"> </w:t>
      </w:r>
      <w:r w:rsidRPr="00EC1298">
        <w:rPr>
          <w:rFonts w:ascii="Book Antiqua" w:hAnsi="Book Antiqua" w:cs="Arial"/>
        </w:rPr>
        <w:t xml:space="preserve">The Fund is chaired by a council consisting of members from MARD and representative from MPI and MoF. </w:t>
      </w:r>
      <w:r w:rsidR="00267325">
        <w:rPr>
          <w:rFonts w:ascii="Book Antiqua" w:hAnsi="Book Antiqua" w:cs="Arial"/>
        </w:rPr>
        <w:t xml:space="preserve"> </w:t>
      </w:r>
      <w:r w:rsidRPr="00EC1298">
        <w:rPr>
          <w:rFonts w:ascii="Book Antiqua" w:hAnsi="Book Antiqua" w:cs="Arial"/>
        </w:rPr>
        <w:t>Under the council are the Fund Administration Board, based at DoF, and Fund Inspection Board (Figure 2.5). Sources of funding for national level FPDF include:</w:t>
      </w:r>
    </w:p>
    <w:p w:rsidR="00351F2C" w:rsidRPr="00EC1298" w:rsidRDefault="00351F2C" w:rsidP="00A256CB">
      <w:pPr>
        <w:spacing w:after="0" w:line="300" w:lineRule="exact"/>
        <w:jc w:val="both"/>
        <w:rPr>
          <w:rFonts w:ascii="Book Antiqua" w:hAnsi="Book Antiqua" w:cs="Arial"/>
        </w:rPr>
      </w:pPr>
    </w:p>
    <w:p w:rsidR="00351F2C" w:rsidRPr="00EC1298" w:rsidRDefault="00351F2C" w:rsidP="003E3CBA">
      <w:pPr>
        <w:numPr>
          <w:ilvl w:val="0"/>
          <w:numId w:val="40"/>
        </w:numPr>
        <w:tabs>
          <w:tab w:val="clear" w:pos="720"/>
          <w:tab w:val="num" w:pos="360"/>
        </w:tabs>
        <w:spacing w:after="0" w:line="300" w:lineRule="exact"/>
        <w:ind w:left="360"/>
        <w:jc w:val="both"/>
        <w:rPr>
          <w:rFonts w:ascii="Book Antiqua" w:hAnsi="Book Antiqua" w:cs="Arial"/>
        </w:rPr>
      </w:pPr>
      <w:r w:rsidRPr="00EC1298">
        <w:rPr>
          <w:rFonts w:ascii="Book Antiqua" w:hAnsi="Book Antiqua" w:cs="Arial"/>
        </w:rPr>
        <w:t>Seed money from the budget state of 100 billion VND to kick start the fund</w:t>
      </w:r>
    </w:p>
    <w:p w:rsidR="00351F2C" w:rsidRPr="00EC1298" w:rsidRDefault="00351F2C" w:rsidP="003E3CBA">
      <w:pPr>
        <w:numPr>
          <w:ilvl w:val="0"/>
          <w:numId w:val="40"/>
        </w:numPr>
        <w:tabs>
          <w:tab w:val="clear" w:pos="720"/>
          <w:tab w:val="num" w:pos="360"/>
        </w:tabs>
        <w:spacing w:after="0" w:line="300" w:lineRule="exact"/>
        <w:ind w:left="360"/>
        <w:jc w:val="both"/>
        <w:rPr>
          <w:rFonts w:ascii="Book Antiqua" w:hAnsi="Book Antiqua" w:cs="Arial"/>
        </w:rPr>
      </w:pPr>
      <w:r w:rsidRPr="00EC1298">
        <w:rPr>
          <w:rFonts w:ascii="Book Antiqua" w:hAnsi="Book Antiqua" w:cs="Arial"/>
        </w:rPr>
        <w:t>Voluntary contribution from domestic and international organizations and individuals</w:t>
      </w:r>
    </w:p>
    <w:p w:rsidR="00351F2C" w:rsidRPr="00EC1298" w:rsidRDefault="00351F2C" w:rsidP="003E3CBA">
      <w:pPr>
        <w:numPr>
          <w:ilvl w:val="0"/>
          <w:numId w:val="40"/>
        </w:numPr>
        <w:tabs>
          <w:tab w:val="clear" w:pos="720"/>
          <w:tab w:val="num" w:pos="360"/>
        </w:tabs>
        <w:spacing w:after="0" w:line="300" w:lineRule="exact"/>
        <w:ind w:left="360"/>
        <w:jc w:val="both"/>
        <w:rPr>
          <w:rFonts w:ascii="Book Antiqua" w:hAnsi="Book Antiqua" w:cs="Arial"/>
        </w:rPr>
      </w:pPr>
      <w:r w:rsidRPr="00EC1298">
        <w:rPr>
          <w:rFonts w:ascii="Book Antiqua" w:hAnsi="Book Antiqua" w:cs="Arial"/>
        </w:rPr>
        <w:t>Trust funds from domestic and international organizations and individuals</w:t>
      </w:r>
    </w:p>
    <w:p w:rsidR="00351F2C" w:rsidRPr="00EC1298" w:rsidRDefault="00351F2C" w:rsidP="00A256CB">
      <w:pPr>
        <w:spacing w:after="0" w:line="300" w:lineRule="exact"/>
        <w:jc w:val="both"/>
        <w:rPr>
          <w:rFonts w:ascii="Book Antiqua" w:hAnsi="Book Antiqua" w:cs="Arial"/>
        </w:rPr>
      </w:pPr>
    </w:p>
    <w:p w:rsidR="00351F2C" w:rsidRPr="00EC1298" w:rsidRDefault="00351F2C" w:rsidP="00A256CB">
      <w:pPr>
        <w:spacing w:after="0" w:line="300" w:lineRule="exact"/>
        <w:jc w:val="both"/>
        <w:rPr>
          <w:rFonts w:ascii="Book Antiqua" w:hAnsi="Book Antiqua" w:cs="Arial"/>
        </w:rPr>
      </w:pPr>
      <w:r w:rsidRPr="00EC1298">
        <w:rPr>
          <w:rFonts w:ascii="Book Antiqua" w:hAnsi="Book Antiqua" w:cs="Arial"/>
        </w:rPr>
        <w:t>To date, provincial FPDFs have been established in only two provinces, namely Son La</w:t>
      </w:r>
      <w:r w:rsidRPr="00EC1298">
        <w:rPr>
          <w:rStyle w:val="FootnoteReference"/>
          <w:rFonts w:ascii="Book Antiqua" w:hAnsi="Book Antiqua" w:cs="Arial"/>
        </w:rPr>
        <w:footnoteReference w:id="21"/>
      </w:r>
      <w:r w:rsidRPr="00EC1298">
        <w:rPr>
          <w:rFonts w:ascii="Book Antiqua" w:hAnsi="Book Antiqua" w:cs="Arial"/>
        </w:rPr>
        <w:t xml:space="preserve"> and Lam Dong</w:t>
      </w:r>
      <w:r w:rsidRPr="00EC1298">
        <w:rPr>
          <w:rStyle w:val="FootnoteReference"/>
          <w:rFonts w:ascii="Book Antiqua" w:hAnsi="Book Antiqua" w:cs="Arial"/>
        </w:rPr>
        <w:footnoteReference w:id="22"/>
      </w:r>
      <w:r w:rsidRPr="00EC1298">
        <w:rPr>
          <w:rFonts w:ascii="Book Antiqua" w:hAnsi="Book Antiqua" w:cs="Arial"/>
        </w:rPr>
        <w:t xml:space="preserve">. Fund governance at the provincial level mirrors that at national level: the Fund is chaired by a management council, under which are Fund Administration Board and Fund Inspection Board (Figure 2.5). Provincial FPDF is a state own financial </w:t>
      </w:r>
      <w:r w:rsidRPr="00EC1298">
        <w:rPr>
          <w:rFonts w:ascii="Book Antiqua" w:hAnsi="Book Antiqua" w:cs="Arial"/>
        </w:rPr>
        <w:lastRenderedPageBreak/>
        <w:t>institution directly reporting DARD.</w:t>
      </w:r>
      <w:r w:rsidR="00267325">
        <w:rPr>
          <w:rFonts w:ascii="Book Antiqua" w:hAnsi="Book Antiqua" w:cs="Arial"/>
        </w:rPr>
        <w:t xml:space="preserve">  PFES revenues accruing from within the province are paid directly into the provincial FPDF; whilst revenues accruing from land and resources that cross provincial borders (e.g. a multi-province watershed) are paid initially inot the national FPDF, then re-allocated to provincial FPFSs.</w:t>
      </w:r>
    </w:p>
    <w:p w:rsidR="00351F2C" w:rsidRPr="00EC1298" w:rsidRDefault="00351F2C" w:rsidP="00A256CB">
      <w:pPr>
        <w:spacing w:after="0" w:line="300" w:lineRule="exact"/>
        <w:jc w:val="both"/>
        <w:rPr>
          <w:rFonts w:ascii="Book Antiqua" w:hAnsi="Book Antiqua" w:cs="Arial"/>
        </w:rPr>
      </w:pPr>
    </w:p>
    <w:p w:rsidR="00351F2C" w:rsidRPr="00EC1298" w:rsidRDefault="00351F2C" w:rsidP="00A256CB">
      <w:pPr>
        <w:spacing w:after="0" w:line="300" w:lineRule="exact"/>
        <w:jc w:val="both"/>
        <w:rPr>
          <w:rFonts w:ascii="Book Antiqua" w:hAnsi="Book Antiqua" w:cs="Arial"/>
        </w:rPr>
      </w:pPr>
      <w:r w:rsidRPr="00EC1298">
        <w:rPr>
          <w:rFonts w:ascii="Book Antiqua" w:hAnsi="Book Antiqua" w:cs="Arial"/>
        </w:rPr>
        <w:t>The</w:t>
      </w:r>
      <w:r w:rsidR="00267325">
        <w:rPr>
          <w:rFonts w:ascii="Book Antiqua" w:hAnsi="Book Antiqua" w:cs="Arial"/>
        </w:rPr>
        <w:t>refore,</w:t>
      </w:r>
      <w:r w:rsidRPr="00EC1298">
        <w:rPr>
          <w:rFonts w:ascii="Book Antiqua" w:hAnsi="Book Antiqua" w:cs="Arial"/>
        </w:rPr>
        <w:t xml:space="preserve"> provincial FPDFs are financed from:</w:t>
      </w:r>
    </w:p>
    <w:p w:rsidR="00351F2C" w:rsidRPr="00EC1298" w:rsidRDefault="00351F2C" w:rsidP="003E3CBA">
      <w:pPr>
        <w:numPr>
          <w:ilvl w:val="0"/>
          <w:numId w:val="41"/>
        </w:numPr>
        <w:spacing w:after="0" w:line="300" w:lineRule="exact"/>
        <w:ind w:left="360"/>
        <w:jc w:val="both"/>
        <w:rPr>
          <w:rFonts w:ascii="Book Antiqua" w:hAnsi="Book Antiqua" w:cs="Arial"/>
        </w:rPr>
      </w:pPr>
      <w:r w:rsidRPr="00EC1298">
        <w:rPr>
          <w:rFonts w:ascii="Book Antiqua" w:hAnsi="Book Antiqua" w:cs="Arial"/>
        </w:rPr>
        <w:t>Seed money from provincial state budget to kick start the fund</w:t>
      </w:r>
    </w:p>
    <w:p w:rsidR="00351F2C" w:rsidRPr="00EC1298" w:rsidRDefault="00351F2C" w:rsidP="003E3CBA">
      <w:pPr>
        <w:numPr>
          <w:ilvl w:val="0"/>
          <w:numId w:val="41"/>
        </w:numPr>
        <w:spacing w:after="0" w:line="300" w:lineRule="exact"/>
        <w:ind w:left="360"/>
        <w:jc w:val="both"/>
        <w:rPr>
          <w:rFonts w:ascii="Book Antiqua" w:hAnsi="Book Antiqua" w:cs="Arial"/>
        </w:rPr>
      </w:pPr>
      <w:r w:rsidRPr="00EC1298">
        <w:rPr>
          <w:rFonts w:ascii="Book Antiqua" w:hAnsi="Book Antiqua" w:cs="Arial"/>
        </w:rPr>
        <w:t>Compulsory contribution from different stakeholders</w:t>
      </w:r>
    </w:p>
    <w:p w:rsidR="00351F2C" w:rsidRPr="00EC1298" w:rsidRDefault="00351F2C" w:rsidP="003E3CBA">
      <w:pPr>
        <w:numPr>
          <w:ilvl w:val="0"/>
          <w:numId w:val="41"/>
        </w:numPr>
        <w:spacing w:after="0" w:line="300" w:lineRule="exact"/>
        <w:ind w:left="360"/>
        <w:jc w:val="both"/>
        <w:rPr>
          <w:rFonts w:ascii="Book Antiqua" w:hAnsi="Book Antiqua" w:cs="Arial"/>
        </w:rPr>
      </w:pPr>
      <w:r w:rsidRPr="00EC1298">
        <w:rPr>
          <w:rFonts w:ascii="Book Antiqua" w:hAnsi="Book Antiqua" w:cs="Arial"/>
        </w:rPr>
        <w:t>Voluntary contribution from domestic and international organizations and individuals</w:t>
      </w:r>
    </w:p>
    <w:p w:rsidR="00351F2C" w:rsidRPr="00EC1298" w:rsidRDefault="00351F2C" w:rsidP="003E3CBA">
      <w:pPr>
        <w:numPr>
          <w:ilvl w:val="0"/>
          <w:numId w:val="41"/>
        </w:numPr>
        <w:spacing w:after="0" w:line="300" w:lineRule="exact"/>
        <w:ind w:left="360"/>
        <w:jc w:val="both"/>
        <w:rPr>
          <w:rFonts w:ascii="Book Antiqua" w:hAnsi="Book Antiqua" w:cs="Arial"/>
        </w:rPr>
      </w:pPr>
      <w:r w:rsidRPr="00EC1298">
        <w:rPr>
          <w:rFonts w:ascii="Book Antiqua" w:hAnsi="Book Antiqua" w:cs="Arial"/>
        </w:rPr>
        <w:t>Trust funds from domestic and international organizations and individuals</w:t>
      </w:r>
    </w:p>
    <w:p w:rsidR="00351F2C" w:rsidRPr="00EC1298" w:rsidRDefault="00351F2C" w:rsidP="003E3CBA">
      <w:pPr>
        <w:numPr>
          <w:ilvl w:val="0"/>
          <w:numId w:val="41"/>
        </w:numPr>
        <w:spacing w:after="0" w:line="300" w:lineRule="exact"/>
        <w:ind w:left="360"/>
        <w:jc w:val="both"/>
        <w:rPr>
          <w:rFonts w:ascii="Book Antiqua" w:hAnsi="Book Antiqua" w:cs="Arial"/>
        </w:rPr>
      </w:pPr>
      <w:r w:rsidRPr="00EC1298">
        <w:rPr>
          <w:rFonts w:ascii="Book Antiqua" w:hAnsi="Book Antiqua" w:cs="Arial"/>
        </w:rPr>
        <w:t>Support from the national FPDF</w:t>
      </w:r>
    </w:p>
    <w:p w:rsidR="00351F2C" w:rsidRPr="00445F77" w:rsidRDefault="00351F2C" w:rsidP="00A256CB">
      <w:pPr>
        <w:spacing w:after="0" w:line="300" w:lineRule="exact"/>
        <w:rPr>
          <w:rFonts w:ascii="Arial" w:hAnsi="Arial" w:cs="Arial"/>
          <w:sz w:val="24"/>
          <w:szCs w:val="24"/>
        </w:rPr>
      </w:pPr>
    </w:p>
    <w:p w:rsidR="00351F2C" w:rsidRPr="00EC1298" w:rsidRDefault="00351F2C" w:rsidP="00A256CB">
      <w:pPr>
        <w:pStyle w:val="Caption"/>
        <w:keepNext/>
        <w:jc w:val="center"/>
        <w:rPr>
          <w:rFonts w:ascii="Book Antiqua" w:hAnsi="Book Antiqua" w:cs="Arial"/>
          <w:noProof/>
          <w:sz w:val="22"/>
          <w:szCs w:val="22"/>
        </w:rPr>
      </w:pPr>
      <w:r w:rsidRPr="00EC1298">
        <w:rPr>
          <w:rFonts w:ascii="Book Antiqua" w:hAnsi="Book Antiqua" w:cs="Arial"/>
          <w:sz w:val="22"/>
          <w:szCs w:val="22"/>
        </w:rPr>
        <w:t>Figure 2.5</w:t>
      </w:r>
      <w:r w:rsidRPr="00EC1298">
        <w:rPr>
          <w:rFonts w:ascii="Book Antiqua" w:hAnsi="Book Antiqua" w:cs="Arial"/>
          <w:noProof/>
          <w:sz w:val="22"/>
          <w:szCs w:val="22"/>
        </w:rPr>
        <w:t xml:space="preserve">: Organizational structure of </w:t>
      </w:r>
      <w:smartTag w:uri="urn:schemas-microsoft-com:office:smarttags" w:element="place">
        <w:r w:rsidRPr="00EC1298">
          <w:rPr>
            <w:rFonts w:ascii="Book Antiqua" w:hAnsi="Book Antiqua" w:cs="Arial"/>
            <w:noProof/>
            <w:sz w:val="22"/>
            <w:szCs w:val="22"/>
          </w:rPr>
          <w:t>Forest</w:t>
        </w:r>
      </w:smartTag>
      <w:r w:rsidRPr="00EC1298">
        <w:rPr>
          <w:rFonts w:ascii="Book Antiqua" w:hAnsi="Book Antiqua" w:cs="Arial"/>
          <w:noProof/>
          <w:sz w:val="22"/>
          <w:szCs w:val="22"/>
        </w:rPr>
        <w:t xml:space="preserve"> Protection and Development Fund</w:t>
      </w:r>
    </w:p>
    <w:p w:rsidR="00351F2C" w:rsidRPr="00445F77" w:rsidRDefault="00C47C3B" w:rsidP="00A256CB">
      <w:pPr>
        <w:spacing w:before="120" w:after="120"/>
        <w:jc w:val="center"/>
        <w:rPr>
          <w:rFonts w:ascii="Arial" w:hAnsi="Arial" w:cs="Arial"/>
          <w:sz w:val="24"/>
          <w:szCs w:val="24"/>
        </w:rPr>
      </w:pPr>
      <w:r w:rsidRPr="00C47C3B">
        <w:rPr>
          <w:rFonts w:ascii="Arial" w:hAnsi="Arial" w:cs="Arial"/>
          <w:sz w:val="24"/>
          <w:szCs w:val="24"/>
        </w:rPr>
      </w:r>
      <w:r>
        <w:rPr>
          <w:rFonts w:ascii="Arial" w:hAnsi="Arial" w:cs="Arial"/>
          <w:sz w:val="24"/>
          <w:szCs w:val="24"/>
        </w:rPr>
        <w:pict>
          <v:group id="_x0000_s1085" editas="canvas" style="width:402pt;height:342.9pt;mso-position-horizontal-relative:char;mso-position-vertical-relative:line" coordsize="8040,68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width:8040;height:6858" o:preferrelative="f">
              <v:fill o:detectmouseclick="t"/>
              <v:path o:extrusionok="t" o:connecttype="none"/>
              <o:lock v:ext="edit" text="t"/>
            </v:shape>
            <v:group id="_x0000_s1087" style="position:absolute;top:3616;width:8016;height:2982" coordorigin="6,4180" coordsize="8016,3167">
              <v:rect id="_x0000_s1088" style="position:absolute;left:6;top:4180;width:8016;height:3167" stroked="f"/>
              <v:rect id="_x0000_s1089" style="position:absolute;left:6;top:4180;width:8016;height:3167" filled="f" strokeweight="42e-5mm">
                <v:stroke endcap="round"/>
              </v:rect>
            </v:group>
            <v:rect id="_x0000_s1090" style="position:absolute;left:1572;top:4066;width:5047;height:464;mso-wrap-style:none" filled="f" stroked="f">
              <v:textbox style="mso-next-textbox:#_x0000_s1090;mso-fit-shape-to-text:t" inset="0,0,0,0">
                <w:txbxContent>
                  <w:p w:rsidR="00B4351F" w:rsidRDefault="00B4351F" w:rsidP="00A256CB">
                    <w:r>
                      <w:rPr>
                        <w:rFonts w:ascii="Arial" w:hAnsi="Arial" w:cs="Arial"/>
                        <w:color w:val="000000"/>
                        <w:sz w:val="20"/>
                      </w:rPr>
                      <w:t>Provincial level Forest Protection and Development Fund</w:t>
                    </w:r>
                  </w:p>
                </w:txbxContent>
              </v:textbox>
            </v:rect>
            <v:group id="_x0000_s1091" style="position:absolute;left:6;top:6;width:8016;height:3167" coordorigin="6,6" coordsize="8016,3167">
              <v:rect id="_x0000_s1092" style="position:absolute;left:6;top:6;width:8016;height:3167" stroked="f"/>
              <v:rect id="_x0000_s1093" style="position:absolute;left:6;top:6;width:8016;height:3167" filled="f" strokeweight="42e-5mm">
                <v:stroke endcap="round"/>
              </v:rect>
            </v:group>
            <v:rect id="_x0000_s1094" style="position:absolute;left:1644;top:192;width:4914;height:464;mso-wrap-style:none" filled="f" stroked="f">
              <v:textbox style="mso-next-textbox:#_x0000_s1094;mso-fit-shape-to-text:t" inset="0,0,0,0">
                <w:txbxContent>
                  <w:p w:rsidR="00B4351F" w:rsidRDefault="00B4351F" w:rsidP="00A256CB">
                    <w:r>
                      <w:rPr>
                        <w:rFonts w:ascii="Arial" w:hAnsi="Arial" w:cs="Arial"/>
                        <w:color w:val="000000"/>
                        <w:sz w:val="20"/>
                      </w:rPr>
                      <w:t>National level Forest Protection and Development Fund</w:t>
                    </w:r>
                  </w:p>
                </w:txbxContent>
              </v:textbox>
            </v:rect>
            <v:group id="_x0000_s1095" style="position:absolute;left:2658;top:570;width:2700;height:887" coordorigin="2658,570" coordsize="2700,887">
              <v:rect id="_x0000_s1096" style="position:absolute;left:2658;top:570;width:2700;height:887" stroked="f"/>
              <v:rect id="_x0000_s1097" style="position:absolute;left:2658;top:570;width:2700;height:887" filled="f" strokeweight="42e-5mm">
                <v:stroke endcap="round"/>
              </v:rect>
            </v:group>
            <v:rect id="_x0000_s1098" style="position:absolute;left:2844;top:780;width:2402;height:464;mso-wrap-style:none" filled="f" stroked="f">
              <v:textbox style="mso-next-textbox:#_x0000_s1098;mso-fit-shape-to-text:t" inset="0,0,0,0">
                <w:txbxContent>
                  <w:p w:rsidR="00B4351F" w:rsidRDefault="00B4351F" w:rsidP="00A256CB">
                    <w:r>
                      <w:rPr>
                        <w:rFonts w:ascii="Arial" w:hAnsi="Arial" w:cs="Arial"/>
                        <w:color w:val="000000"/>
                        <w:sz w:val="20"/>
                      </w:rPr>
                      <w:t>Fund Management Council</w:t>
                    </w:r>
                  </w:p>
                </w:txbxContent>
              </v:textbox>
            </v:rect>
            <v:rect id="_x0000_s1099" style="position:absolute;left:3240;top:1044;width:1568;height:464;mso-wrap-style:none" filled="f" stroked="f">
              <v:textbox style="mso-next-textbox:#_x0000_s1099;mso-fit-shape-to-text:t" inset="0,0,0,0">
                <w:txbxContent>
                  <w:p w:rsidR="00B4351F" w:rsidRDefault="00B4351F" w:rsidP="00A256CB">
                    <w:r>
                      <w:rPr>
                        <w:rFonts w:ascii="Arial" w:hAnsi="Arial" w:cs="Arial"/>
                        <w:color w:val="000000"/>
                        <w:sz w:val="20"/>
                      </w:rPr>
                      <w:t>chaired by MARD</w:t>
                    </w:r>
                  </w:p>
                </w:txbxContent>
              </v:textbox>
            </v:rect>
            <v:group id="_x0000_s1100" style="position:absolute;left:5250;top:1949;width:2424;height:888" coordorigin="5250,1949" coordsize="2424,888">
              <v:rect id="_x0000_s1101" style="position:absolute;left:5250;top:1949;width:2424;height:888" stroked="f"/>
              <v:rect id="_x0000_s1102" style="position:absolute;left:5250;top:1949;width:2424;height:888" filled="f" strokeweight="42e-5mm">
                <v:stroke endcap="round"/>
              </v:rect>
            </v:group>
            <v:rect id="_x0000_s1103" style="position:absolute;left:5472;top:2291;width:2013;height:464;mso-wrap-style:none" filled="f" stroked="f">
              <v:textbox style="mso-next-textbox:#_x0000_s1103;mso-fit-shape-to-text:t" inset="0,0,0,0">
                <w:txbxContent>
                  <w:p w:rsidR="00B4351F" w:rsidRDefault="00B4351F" w:rsidP="00A256CB">
                    <w:r>
                      <w:rPr>
                        <w:rFonts w:ascii="Arial" w:hAnsi="Arial" w:cs="Arial"/>
                        <w:color w:val="000000"/>
                        <w:sz w:val="20"/>
                      </w:rPr>
                      <w:t>Fund Inspection Board</w:t>
                    </w:r>
                  </w:p>
                </w:txbxContent>
              </v:textbox>
            </v:rect>
            <v:group id="_x0000_s1104" style="position:absolute;left:294;top:1949;width:2424;height:888" coordorigin="294,1949" coordsize="2424,888">
              <v:rect id="_x0000_s1105" style="position:absolute;left:294;top:1949;width:2424;height:888" stroked="f"/>
              <v:rect id="_x0000_s1106" style="position:absolute;left:294;top:1949;width:2424;height:888" filled="f" strokeweight="42e-5mm">
                <v:stroke endcap="round"/>
              </v:rect>
            </v:group>
            <v:rect id="_x0000_s1107" style="position:absolute;left:348;top:2159;width:2368;height:464;mso-wrap-style:none" filled="f" stroked="f">
              <v:textbox style="mso-next-textbox:#_x0000_s1107;mso-fit-shape-to-text:t" inset="0,0,0,0">
                <w:txbxContent>
                  <w:p w:rsidR="00B4351F" w:rsidRDefault="00B4351F" w:rsidP="00A256CB">
                    <w:r>
                      <w:rPr>
                        <w:rFonts w:ascii="Arial" w:hAnsi="Arial" w:cs="Arial"/>
                        <w:color w:val="000000"/>
                        <w:sz w:val="20"/>
                      </w:rPr>
                      <w:t>Fund Administration Board</w:t>
                    </w:r>
                  </w:p>
                </w:txbxContent>
              </v:textbox>
            </v:rect>
            <v:rect id="_x0000_s1108" style="position:absolute;left:912;top:2423;width:1201;height:464;mso-wrap-style:none" filled="f" stroked="f">
              <v:textbox style="mso-next-textbox:#_x0000_s1108;mso-fit-shape-to-text:t" inset="0,0,0,0">
                <w:txbxContent>
                  <w:p w:rsidR="00B4351F" w:rsidRDefault="00B4351F" w:rsidP="00A256CB">
                    <w:r>
                      <w:rPr>
                        <w:rFonts w:ascii="Arial" w:hAnsi="Arial" w:cs="Arial"/>
                        <w:color w:val="000000"/>
                        <w:sz w:val="20"/>
                      </w:rPr>
                      <w:t>based at DoF</w:t>
                    </w:r>
                  </w:p>
                </w:txbxContent>
              </v:textbox>
            </v:rect>
            <v:group id="_x0000_s1109" style="position:absolute;left:2716;top:4530;width:2700;height:656" coordorigin="2658,4828" coordsize="2700,888">
              <v:rect id="_x0000_s1110" style="position:absolute;left:2658;top:4828;width:2700;height:888" stroked="f"/>
              <v:rect id="_x0000_s1111" style="position:absolute;left:2658;top:4828;width:2700;height:888" filled="f" strokeweight="42e-5mm">
                <v:stroke endcap="round"/>
              </v:rect>
            </v:group>
            <v:rect id="_x0000_s1112" style="position:absolute;left:2844;top:4574;width:2402;height:464;mso-wrap-style:none" filled="f" stroked="f">
              <v:textbox style="mso-next-textbox:#_x0000_s1112;mso-fit-shape-to-text:t" inset="0,0,0,0">
                <w:txbxContent>
                  <w:p w:rsidR="00B4351F" w:rsidRDefault="00B4351F" w:rsidP="00A256CB">
                    <w:r>
                      <w:rPr>
                        <w:rFonts w:ascii="Arial" w:hAnsi="Arial" w:cs="Arial"/>
                        <w:color w:val="000000"/>
                        <w:sz w:val="20"/>
                      </w:rPr>
                      <w:t>Fund Management Council</w:t>
                    </w:r>
                  </w:p>
                </w:txbxContent>
              </v:textbox>
            </v:rect>
            <v:rect id="_x0000_s1113" style="position:absolute;left:3262;top:4838;width:1546;height:464;mso-wrap-style:none" filled="f" stroked="f">
              <v:textbox style="mso-next-textbox:#_x0000_s1113;mso-fit-shape-to-text:t" inset="0,0,0,0">
                <w:txbxContent>
                  <w:p w:rsidR="00B4351F" w:rsidRDefault="00B4351F" w:rsidP="00A256CB">
                    <w:r>
                      <w:rPr>
                        <w:rFonts w:ascii="Arial" w:hAnsi="Arial" w:cs="Arial"/>
                        <w:color w:val="000000"/>
                        <w:sz w:val="20"/>
                      </w:rPr>
                      <w:t>chaired by DARD</w:t>
                    </w:r>
                  </w:p>
                </w:txbxContent>
              </v:textbox>
            </v:rect>
            <v:group id="_x0000_s1114" style="position:absolute;left:5250;top:5706;width:2424;height:604" coordorigin="5250,6148" coordsize="2424,887">
              <v:rect id="_x0000_s1115" style="position:absolute;left:5250;top:6148;width:2424;height:887" stroked="f"/>
              <v:rect id="_x0000_s1116" style="position:absolute;left:5250;top:6148;width:2424;height:887" filled="f" strokeweight="42e-5mm">
                <v:stroke endcap="round"/>
              </v:rect>
            </v:group>
            <v:rect id="_x0000_s1117" style="position:absolute;left:5472;top:5929;width:2013;height:464;mso-wrap-style:none" filled="f" stroked="f">
              <v:textbox style="mso-next-textbox:#_x0000_s1117;mso-fit-shape-to-text:t" inset="0,0,0,0">
                <w:txbxContent>
                  <w:p w:rsidR="00B4351F" w:rsidRDefault="00B4351F" w:rsidP="00A256CB">
                    <w:r>
                      <w:rPr>
                        <w:rFonts w:ascii="Arial" w:hAnsi="Arial" w:cs="Arial"/>
                        <w:color w:val="000000"/>
                        <w:sz w:val="20"/>
                      </w:rPr>
                      <w:t>Fund Inspection Board</w:t>
                    </w:r>
                  </w:p>
                </w:txbxContent>
              </v:textbox>
            </v:rect>
            <v:group id="_x0000_s1118" style="position:absolute;left:348;top:5770;width:2424;height:714" coordorigin="294,6184" coordsize="2424,887">
              <v:rect id="_x0000_s1119" style="position:absolute;left:294;top:6184;width:2424;height:887" stroked="f"/>
              <v:rect id="_x0000_s1120" style="position:absolute;left:294;top:6184;width:2424;height:887" filled="f" strokeweight="42e-5mm">
                <v:stroke endcap="round"/>
              </v:rect>
            </v:group>
            <v:rect id="_x0000_s1121" style="position:absolute;left:350;top:6129;width:2368;height:464;mso-wrap-style:none" filled="f" stroked="f">
              <v:textbox style="mso-next-textbox:#_x0000_s1121;mso-fit-shape-to-text:t" inset="0,0,0,0">
                <w:txbxContent>
                  <w:p w:rsidR="00B4351F" w:rsidRDefault="00B4351F" w:rsidP="00A256CB">
                    <w:r>
                      <w:rPr>
                        <w:rFonts w:ascii="Arial" w:hAnsi="Arial" w:cs="Arial"/>
                        <w:color w:val="000000"/>
                        <w:sz w:val="20"/>
                      </w:rPr>
                      <w:t>Fund Administration Board</w:t>
                    </w:r>
                  </w:p>
                </w:txbxContent>
              </v:textbox>
            </v:rect>
            <v:rect id="_x0000_s1122" style="position:absolute;left:720;top:5846;width:1612;height:464;mso-wrap-style:none" filled="f" stroked="f">
              <v:textbox style="mso-next-textbox:#_x0000_s1122;mso-fit-shape-to-text:t" inset="0,0,0,0">
                <w:txbxContent>
                  <w:p w:rsidR="00B4351F" w:rsidRDefault="00B4351F" w:rsidP="00A256CB">
                    <w:r>
                      <w:rPr>
                        <w:rFonts w:ascii="Arial" w:hAnsi="Arial" w:cs="Arial"/>
                        <w:color w:val="000000"/>
                        <w:sz w:val="20"/>
                      </w:rPr>
                      <w:t>Based at sub-DoF</w:t>
                    </w:r>
                  </w:p>
                </w:txbxContent>
              </v:textbox>
            </v:rect>
            <v:shape id="_x0000_s1123" style="position:absolute;left:1446;top:1448;width:2579;height:501" coordsize="3438,669" path="m3438,13r,320hdc3438,341,3432,347,3424,347hal80,347,94,333r,225hdc94,566,88,572,80,572v-7,,-13,-6,-13,-14hal67,333hdc67,326,73,320,80,320hal3424,320r-13,13l3411,13hdc3411,6,3417,,3424,v8,,14,6,14,13haxm160,509l80,669,,509r160,xe" fillcolor="black" strokeweight="33e-5mm">
              <v:stroke joinstyle="bevel"/>
              <v:path arrowok="t"/>
              <o:lock v:ext="edit" verticies="t"/>
            </v:shape>
            <v:shape id="_x0000_s1124" style="position:absolute;left:4005;top:1448;width:2517;height:501" coordsize="3357,669" path="m27,13r,320l13,320r3264,hdc3285,320,3291,326,3291,333hal3291,558hdc3291,566,3285,572,3277,572v-7,,-13,-6,-13,-14hal3264,333r13,14l13,347hdc6,347,,341,,333hal,13hdc,6,6,,13,v8,,14,6,14,13haxm3357,509r-80,160l3197,509r160,xe" fillcolor="black" strokeweight="33e-5mm">
              <v:stroke joinstyle="bevel"/>
              <v:path arrowok="t"/>
              <o:lock v:ext="edit" verticies="t"/>
            </v:shape>
            <v:shape id="_x0000_s1125" style="position:absolute;left:1375;top:5228;width:2579;height:478" coordsize="3438,637" path="m3438,13r,304hdc3438,325,3432,331,3424,331hal80,331,94,317r,209hdc94,534,88,540,80,540v-7,,-13,-6,-13,-14hal67,317hdc67,310,73,304,80,304hal3424,304r-13,13l3411,13hdc3411,6,3417,,3424,v8,,14,6,14,13haxm160,477l80,637,,477r160,xe" fillcolor="black" strokeweight="33e-5mm">
              <v:stroke joinstyle="bevel"/>
              <v:path arrowok="t"/>
              <o:lock v:ext="edit" verticies="t"/>
            </v:shape>
            <v:shape id="_x0000_s1126" style="position:absolute;left:3954;top:3163;width:120;height:453" coordsize="160,1357" path="m94,13r,1233hdc94,1254,88,1260,80,1260v-7,,-13,-6,-13,-14hal67,13hdc67,6,73,,80,v8,,14,6,14,13haxm160,1197l80,1357,,1197r160,xe" fillcolor="black" strokeweight="33e-5mm">
              <v:stroke joinstyle="bevel"/>
              <v:path arrowok="t"/>
              <o:lock v:ext="edit" verticies="t"/>
            </v:shape>
            <v:shape id="_x0000_s1127" style="position:absolute;left:3954;top:5186;width:2517;height:442" coordsize="3357,589" path="m27,13r,288l13,288r3264,hdc3285,288,3291,294,3291,301hal3291,478hdc3291,486,3285,492,3277,492v-7,,-13,-6,-13,-14hal3264,301r13,14l13,315hdc6,315,,309,,301hal,13hdc,6,6,,13,v8,,14,6,14,13haxm3357,429r-80,160l3197,429r160,xe" fillcolor="black" strokeweight="33e-5mm">
              <v:stroke joinstyle="bevel"/>
              <v:path arrowok="t"/>
              <o:lock v:ext="edit" verticies="t"/>
            </v:shape>
            <w10:wrap type="none"/>
            <w10:anchorlock/>
          </v:group>
        </w:pict>
      </w:r>
    </w:p>
    <w:p w:rsidR="00351F2C" w:rsidRPr="00EC1298" w:rsidRDefault="00351F2C" w:rsidP="00A256CB">
      <w:pPr>
        <w:spacing w:after="0" w:line="240" w:lineRule="auto"/>
        <w:rPr>
          <w:rFonts w:ascii="Book Antiqua" w:hAnsi="Book Antiqua" w:cs="Arial"/>
          <w:sz w:val="20"/>
          <w:szCs w:val="20"/>
        </w:rPr>
      </w:pPr>
      <w:r w:rsidRPr="00EC1298">
        <w:rPr>
          <w:rFonts w:ascii="Book Antiqua" w:hAnsi="Book Antiqua" w:cs="Arial"/>
          <w:sz w:val="20"/>
          <w:szCs w:val="20"/>
        </w:rPr>
        <w:t>Source: based on Decree 05/2008/ND-CP dated 14 January 2008</w:t>
      </w:r>
    </w:p>
    <w:p w:rsidR="00351F2C" w:rsidRPr="00445F77" w:rsidRDefault="00351F2C" w:rsidP="00A256CB">
      <w:pPr>
        <w:spacing w:after="0"/>
        <w:rPr>
          <w:rFonts w:ascii="Arial" w:hAnsi="Arial" w:cs="Arial"/>
          <w:sz w:val="24"/>
          <w:szCs w:val="24"/>
        </w:rPr>
      </w:pPr>
    </w:p>
    <w:p w:rsidR="00351F2C" w:rsidRPr="00EC1298" w:rsidRDefault="00351F2C" w:rsidP="00A256CB">
      <w:pPr>
        <w:spacing w:after="0" w:line="300" w:lineRule="exact"/>
        <w:jc w:val="both"/>
        <w:rPr>
          <w:rFonts w:ascii="Book Antiqua" w:hAnsi="Book Antiqua" w:cs="Arial"/>
        </w:rPr>
      </w:pPr>
      <w:r w:rsidRPr="00EC1298">
        <w:rPr>
          <w:rFonts w:ascii="Book Antiqua" w:hAnsi="Book Antiqua" w:cs="Arial"/>
        </w:rPr>
        <w:t xml:space="preserve">The Lam Dong People’s Committee set up the provincial FPDF in February 2009, after Decision 333/QD-UBND dated 17 February 2009. The fund has a kick-start amount of 10 billion VND contributed from state budget. Estimated inputs for the Fund are coming from two hydro power plants, two water supplies companies and nine tourism companies (see below). By September 2009, the Fund had received financial of around VND 24.5 billion. This was just a little more than half of the total payments of VND 47.3 billion </w:t>
      </w:r>
      <w:r w:rsidRPr="00EC1298">
        <w:rPr>
          <w:rFonts w:ascii="Book Antiqua" w:hAnsi="Book Antiqua" w:cs="Arial"/>
        </w:rPr>
        <w:lastRenderedPageBreak/>
        <w:t xml:space="preserve">collected every year from the service buyers, which was calculated based on the production capacity of the power plants and estimated contribution from the tourism company. Part of the money will come from two water supply companies located in Dong Nai province and </w:t>
      </w:r>
      <w:smartTag w:uri="urn:schemas-microsoft-com:office:smarttags" w:element="City">
        <w:smartTag w:uri="urn:schemas-microsoft-com:office:smarttags" w:element="place">
          <w:r w:rsidRPr="00EC1298">
            <w:rPr>
              <w:rFonts w:ascii="Book Antiqua" w:hAnsi="Book Antiqua" w:cs="Arial"/>
            </w:rPr>
            <w:t>Ho Chi Minh City</w:t>
          </w:r>
        </w:smartTag>
      </w:smartTag>
      <w:r w:rsidRPr="00EC1298">
        <w:rPr>
          <w:rFonts w:ascii="Book Antiqua" w:hAnsi="Book Antiqua" w:cs="Arial"/>
        </w:rPr>
        <w:t xml:space="preserve">, from which fees are to be collected by national FPDF and re-distributed to Lam Dong. </w:t>
      </w:r>
    </w:p>
    <w:p w:rsidR="00351F2C" w:rsidRPr="00EC1298" w:rsidRDefault="00351F2C" w:rsidP="00A256CB">
      <w:pPr>
        <w:spacing w:after="0" w:line="300" w:lineRule="exact"/>
        <w:jc w:val="both"/>
        <w:rPr>
          <w:rFonts w:ascii="Book Antiqua" w:hAnsi="Book Antiqua" w:cs="Arial"/>
        </w:rPr>
      </w:pPr>
    </w:p>
    <w:p w:rsidR="00351F2C" w:rsidRPr="00EC1298" w:rsidRDefault="00351F2C" w:rsidP="00A256CB">
      <w:pPr>
        <w:spacing w:after="0" w:line="300" w:lineRule="exact"/>
        <w:jc w:val="both"/>
        <w:rPr>
          <w:rFonts w:ascii="Book Antiqua" w:hAnsi="Book Antiqua" w:cs="Arial"/>
        </w:rPr>
      </w:pPr>
      <w:r w:rsidRPr="00EC1298">
        <w:rPr>
          <w:rFonts w:ascii="Book Antiqua" w:hAnsi="Book Antiqua" w:cs="Arial"/>
        </w:rPr>
        <w:t xml:space="preserve">Son La </w:t>
      </w:r>
      <w:r w:rsidR="00F65E5C">
        <w:rPr>
          <w:rFonts w:ascii="Book Antiqua" w:hAnsi="Book Antiqua" w:cs="Arial"/>
        </w:rPr>
        <w:t>wa</w:t>
      </w:r>
      <w:r w:rsidR="00F65E5C" w:rsidRPr="00EC1298">
        <w:rPr>
          <w:rFonts w:ascii="Book Antiqua" w:hAnsi="Book Antiqua" w:cs="Arial"/>
        </w:rPr>
        <w:t xml:space="preserve">s </w:t>
      </w:r>
      <w:r w:rsidRPr="00EC1298">
        <w:rPr>
          <w:rFonts w:ascii="Book Antiqua" w:hAnsi="Book Antiqua" w:cs="Arial"/>
        </w:rPr>
        <w:t>the second province to set up FPDF. The plan for FPDF was approved in April 2009 and the Fund was officially set up on 8 June 2009 following Decision 1535/QD-UBND of the Chairman of Son La PPC. Fund’s operations regulation approved in July 2009 and Fund Management Council set up in August 2009.  Inputs for Son La FPDF are expected to come from three buyers who are benefiting from environmental services provided by Song Da (</w:t>
      </w:r>
      <w:smartTag w:uri="urn:schemas-microsoft-com:office:smarttags" w:element="place">
        <w:r w:rsidRPr="00EC1298">
          <w:rPr>
            <w:rFonts w:ascii="Book Antiqua" w:hAnsi="Book Antiqua" w:cs="Arial"/>
          </w:rPr>
          <w:t>Black River</w:t>
        </w:r>
      </w:smartTag>
      <w:r w:rsidRPr="00EC1298">
        <w:rPr>
          <w:rFonts w:ascii="Book Antiqua" w:hAnsi="Book Antiqua" w:cs="Arial"/>
        </w:rPr>
        <w:t>) Watershed. One of these, the Hoa Binh Hydro-Power Plant derives benefits from outside Son La province, the PFES fee will be collected by national FPDF and reallocated to Son La FPDF based on its area of forest. Ten percent of the fee collected will be retained at the national level to cover overhead costs.</w:t>
      </w:r>
    </w:p>
    <w:p w:rsidR="00351F2C" w:rsidRPr="00EC1298" w:rsidRDefault="00351F2C" w:rsidP="00A256CB">
      <w:pPr>
        <w:spacing w:after="0" w:line="300" w:lineRule="exact"/>
        <w:jc w:val="both"/>
        <w:rPr>
          <w:rFonts w:ascii="Book Antiqua" w:hAnsi="Book Antiqua" w:cs="Arial"/>
          <w:color w:val="000000"/>
        </w:rPr>
      </w:pPr>
      <w:r w:rsidRPr="00EC1298">
        <w:rPr>
          <w:rFonts w:ascii="Book Antiqua" w:hAnsi="Book Antiqua" w:cs="Arial"/>
        </w:rPr>
        <w:br/>
        <w:t xml:space="preserve">The two remaining buyers pay their fees directly to Son La FPDF.  The total estimated fee to be collected from in Son La province is about 39.9 billion VND (from 397,292 ha of forest). Currently, no money has been channeled to the Fund. The reason for the delay is Suoi Sap Hydro-Power Plant has requested Son La PPC and MARD for exemption from the payment as 1) until now electricity has not been generated, and 2) the company already signed a contract with </w:t>
      </w:r>
      <w:smartTag w:uri="urn:schemas-microsoft-com:office:smarttags" w:element="country-region">
        <w:smartTag w:uri="urn:schemas-microsoft-com:office:smarttags" w:element="place">
          <w:r w:rsidR="00480D3D">
            <w:rPr>
              <w:rFonts w:ascii="Book Antiqua" w:hAnsi="Book Antiqua" w:cs="Arial"/>
            </w:rPr>
            <w:t>Viet Nam</w:t>
          </w:r>
        </w:smartTag>
      </w:smartTag>
      <w:r w:rsidRPr="00EC1298">
        <w:rPr>
          <w:rFonts w:ascii="Book Antiqua" w:hAnsi="Book Antiqua" w:cs="Arial"/>
        </w:rPr>
        <w:t xml:space="preserve"> </w:t>
      </w:r>
      <w:r w:rsidRPr="00EC1298">
        <w:rPr>
          <w:rFonts w:ascii="Book Antiqua" w:hAnsi="Book Antiqua" w:cs="Arial"/>
          <w:color w:val="000000"/>
        </w:rPr>
        <w:t xml:space="preserve">Energy Group with a fixed selling price for electricity, which does not include the PFES fee. Suoi Sap Hydro-Power Plant has asked Son La PPC and MARD to help negotiate with </w:t>
      </w:r>
      <w:r w:rsidR="00480D3D">
        <w:rPr>
          <w:rFonts w:ascii="Book Antiqua" w:hAnsi="Book Antiqua" w:cs="Arial"/>
          <w:color w:val="000000"/>
        </w:rPr>
        <w:t>Viet Nam</w:t>
      </w:r>
      <w:r w:rsidRPr="00EC1298">
        <w:rPr>
          <w:rFonts w:ascii="Book Antiqua" w:hAnsi="Book Antiqua" w:cs="Arial"/>
          <w:color w:val="000000"/>
        </w:rPr>
        <w:t xml:space="preserve"> Energy Group to readjust the selling price. No success has been gained so far though. </w:t>
      </w:r>
    </w:p>
    <w:p w:rsidR="00351F2C" w:rsidRPr="00EC1298" w:rsidRDefault="00351F2C" w:rsidP="00A256CB">
      <w:pPr>
        <w:spacing w:after="0" w:line="300" w:lineRule="exact"/>
        <w:jc w:val="both"/>
        <w:rPr>
          <w:rFonts w:ascii="Book Antiqua" w:eastAsia="Times New Roman" w:hAnsi="Book Antiqua" w:cs="Arial"/>
          <w:color w:val="000000"/>
        </w:rPr>
      </w:pPr>
    </w:p>
    <w:p w:rsidR="00351F2C" w:rsidRPr="00EC1298" w:rsidRDefault="00351F2C" w:rsidP="00A256CB">
      <w:pPr>
        <w:spacing w:after="0" w:line="300" w:lineRule="atLeast"/>
        <w:jc w:val="both"/>
        <w:rPr>
          <w:rFonts w:ascii="Book Antiqua" w:eastAsia="Times New Roman" w:hAnsi="Book Antiqua" w:cs="Arial"/>
          <w:color w:val="000000"/>
        </w:rPr>
      </w:pPr>
      <w:r w:rsidRPr="00EC1298">
        <w:rPr>
          <w:rFonts w:ascii="Book Antiqua" w:eastAsia="Times New Roman" w:hAnsi="Book Antiqua" w:cs="Arial"/>
          <w:color w:val="000000"/>
        </w:rPr>
        <w:t>There are also funds known as FPDF set up at the local (mostly commune level). For example, 38 communes under the Community Forest Management Pilot Project (see below) have set up the communal FPDF with 4,000 EUR provided by the Project as seed money (Enters and Nguyen 2009). However, such funds are only meant to cover the activities that the Project has planned. It is not clear what the future of such funds would be when the seed money is used up as there is no plan on how it is maintained after the end of the Project.</w:t>
      </w:r>
    </w:p>
    <w:p w:rsidR="00351F2C" w:rsidRPr="00EC1298" w:rsidRDefault="00351F2C" w:rsidP="00A256CB">
      <w:pPr>
        <w:spacing w:after="0" w:line="300" w:lineRule="atLeast"/>
        <w:jc w:val="both"/>
        <w:rPr>
          <w:rFonts w:ascii="Book Antiqua" w:eastAsia="Times New Roman" w:hAnsi="Book Antiqua" w:cs="Arial"/>
          <w:color w:val="000000"/>
        </w:rPr>
      </w:pPr>
    </w:p>
    <w:p w:rsidR="00351F2C" w:rsidRPr="00EC1298" w:rsidRDefault="00351F2C" w:rsidP="00A256CB">
      <w:pPr>
        <w:spacing w:after="0" w:line="300" w:lineRule="atLeast"/>
        <w:jc w:val="both"/>
        <w:rPr>
          <w:rStyle w:val="text"/>
          <w:rFonts w:ascii="Book Antiqua" w:hAnsi="Book Antiqua" w:cs="Arial"/>
        </w:rPr>
      </w:pPr>
      <w:r w:rsidRPr="00EC1298">
        <w:rPr>
          <w:rStyle w:val="text"/>
          <w:rFonts w:ascii="Book Antiqua" w:hAnsi="Book Antiqua" w:cs="Arial"/>
        </w:rPr>
        <w:t xml:space="preserve">In April 2008, GoV issued Decision No </w:t>
      </w:r>
      <w:r w:rsidRPr="00EC1298">
        <w:rPr>
          <w:rFonts w:ascii="Book Antiqua" w:hAnsi="Book Antiqua" w:cs="Arial"/>
        </w:rPr>
        <w:t>380/QD-TTg on piloting PFES in Lam Dong and Son La provinces.  Both PFES schemes have begun operations over the past year</w:t>
      </w:r>
      <w:r w:rsidRPr="00EC1298">
        <w:rPr>
          <w:rStyle w:val="text"/>
          <w:rFonts w:ascii="Book Antiqua" w:hAnsi="Book Antiqua" w:cs="Arial"/>
        </w:rPr>
        <w:t xml:space="preserve"> with external technical assistance.  GTZ assisted the Son La scheme through its national forestry </w:t>
      </w:r>
      <w:r w:rsidR="00480D3D">
        <w:rPr>
          <w:rStyle w:val="text"/>
          <w:rFonts w:ascii="Book Antiqua" w:hAnsi="Book Antiqua" w:cs="Arial"/>
        </w:rPr>
        <w:t>programme</w:t>
      </w:r>
      <w:r w:rsidRPr="00EC1298">
        <w:rPr>
          <w:rStyle w:val="text"/>
          <w:rFonts w:ascii="Book Antiqua" w:hAnsi="Book Antiqua" w:cs="Arial"/>
        </w:rPr>
        <w:t xml:space="preserve">.  The Lam Dong scheme </w:t>
      </w:r>
      <w:r w:rsidRPr="00EC1298">
        <w:rPr>
          <w:rFonts w:ascii="Book Antiqua" w:hAnsi="Book Antiqua" w:cs="Arial"/>
        </w:rPr>
        <w:t xml:space="preserve">received technical assistance from </w:t>
      </w:r>
      <w:r w:rsidRPr="00EC1298">
        <w:rPr>
          <w:rStyle w:val="text"/>
          <w:rFonts w:ascii="Book Antiqua" w:hAnsi="Book Antiqua" w:cs="Arial"/>
        </w:rPr>
        <w:t xml:space="preserve">Winrock International under the Asia Regional Biodiversity Conservation </w:t>
      </w:r>
      <w:r w:rsidR="00480D3D">
        <w:rPr>
          <w:rStyle w:val="text"/>
          <w:rFonts w:ascii="Book Antiqua" w:hAnsi="Book Antiqua" w:cs="Arial"/>
        </w:rPr>
        <w:t>Programme</w:t>
      </w:r>
      <w:r w:rsidRPr="00EC1298">
        <w:rPr>
          <w:rStyle w:val="text"/>
          <w:rFonts w:ascii="Book Antiqua" w:hAnsi="Book Antiqua" w:cs="Arial"/>
        </w:rPr>
        <w:t xml:space="preserve">.  </w:t>
      </w:r>
      <w:r w:rsidRPr="00EC1298">
        <w:rPr>
          <w:rFonts w:ascii="Book Antiqua" w:hAnsi="Book Antiqua" w:cs="Arial"/>
        </w:rPr>
        <w:t xml:space="preserve">Fees collected from payments for PFES are put into a separate bank account at </w:t>
      </w:r>
      <w:r w:rsidR="00480D3D">
        <w:rPr>
          <w:rFonts w:ascii="Book Antiqua" w:hAnsi="Book Antiqua" w:cs="Arial"/>
        </w:rPr>
        <w:t>Viet Nam</w:t>
      </w:r>
      <w:r w:rsidRPr="00EC1298">
        <w:rPr>
          <w:rFonts w:ascii="Book Antiqua" w:hAnsi="Book Antiqua" w:cs="Arial"/>
        </w:rPr>
        <w:t xml:space="preserve"> Bank for Agriculture and Rural Development (VBARD). The money does not go into the state treasury as it is not part of the state budget.</w:t>
      </w:r>
    </w:p>
    <w:p w:rsidR="00351F2C" w:rsidRPr="00EC1298" w:rsidRDefault="00351F2C" w:rsidP="00A256CB">
      <w:pPr>
        <w:spacing w:after="0" w:line="300" w:lineRule="atLeast"/>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The Son La pilot PFES scheme covers a total of 105,000 ha of forestland in two districts.  Using funds collected from two water supply companies and two hydro-power plants, </w:t>
      </w:r>
      <w:r w:rsidRPr="00EC1298">
        <w:rPr>
          <w:rFonts w:ascii="Book Antiqua" w:hAnsi="Book Antiqua" w:cs="Arial"/>
        </w:rPr>
        <w:lastRenderedPageBreak/>
        <w:t>the scheme intends</w:t>
      </w:r>
      <w:r w:rsidRPr="00EC1298">
        <w:rPr>
          <w:rStyle w:val="FootnoteReference"/>
          <w:rFonts w:ascii="Book Antiqua" w:hAnsi="Book Antiqua" w:cs="Arial"/>
        </w:rPr>
        <w:footnoteReference w:id="23"/>
      </w:r>
      <w:r w:rsidRPr="00EC1298">
        <w:rPr>
          <w:rFonts w:ascii="Book Antiqua" w:hAnsi="Book Antiqua" w:cs="Arial"/>
        </w:rPr>
        <w:t xml:space="preserve"> to pay a total of 7,585 forest owners for the protection of forest on a total of 12,227 plots at an average rate of VND 100,000 (US$5) per ha (Pancel and Huong 2009).</w:t>
      </w:r>
      <w:r w:rsidRPr="00EC1298">
        <w:rPr>
          <w:rStyle w:val="FootnoteReference"/>
          <w:rFonts w:ascii="Book Antiqua" w:hAnsi="Book Antiqua" w:cs="Arial"/>
        </w:rPr>
        <w:footnoteReference w:id="24"/>
      </w:r>
      <w:r w:rsidRPr="00EC1298">
        <w:rPr>
          <w:rFonts w:ascii="Book Antiqua" w:hAnsi="Book Antiqua" w:cs="Arial"/>
        </w:rPr>
        <w:t xml:space="preserve">  This corresponds with an average payment of VND 1.4 million (US$78) per forest owner.  This average number is highly misleading, though, as there is a high variation in the size of forest holdings in the two districts. A little more than 6,000 forest owners are individual households with small forest parcels. Very few of them receive more than VND 500,000 (US$28) a year from the PFES scheme. At the other end of the spectrum are PAMBs and </w:t>
      </w:r>
      <w:r w:rsidR="003A6A8D">
        <w:rPr>
          <w:rFonts w:ascii="Book Antiqua" w:hAnsi="Book Antiqua" w:cs="Arial"/>
        </w:rPr>
        <w:t>SOC</w:t>
      </w:r>
      <w:r w:rsidRPr="00EC1298">
        <w:rPr>
          <w:rFonts w:ascii="Book Antiqua" w:hAnsi="Book Antiqua" w:cs="Arial"/>
        </w:rPr>
        <w:t>s, which may not account for a large number of payment recipients but own a large share of the forestland in the two districts.</w:t>
      </w:r>
      <w:r w:rsidRPr="00EC1298">
        <w:rPr>
          <w:rStyle w:val="FootnoteReference"/>
          <w:rFonts w:ascii="Book Antiqua" w:hAnsi="Book Antiqua" w:cs="Arial"/>
        </w:rPr>
        <w:footnoteReference w:id="25"/>
      </w:r>
      <w:r w:rsidRPr="00EC1298">
        <w:rPr>
          <w:rFonts w:ascii="Book Antiqua" w:hAnsi="Book Antiqua" w:cs="Arial"/>
        </w:rPr>
        <w:t xml:space="preserve"> Moreover, the payments are adjusted in reflection of variation in the provision of ecosystem services.</w:t>
      </w:r>
    </w:p>
    <w:p w:rsidR="00351F2C" w:rsidRPr="00EC1298" w:rsidRDefault="00351F2C" w:rsidP="00A256CB">
      <w:pPr>
        <w:spacing w:after="0" w:line="300" w:lineRule="atLeast"/>
        <w:rPr>
          <w:rFonts w:ascii="Book Antiqua" w:hAnsi="Book Antiqua" w:cs="Arial"/>
        </w:rPr>
      </w:pPr>
    </w:p>
    <w:p w:rsidR="00351F2C" w:rsidRPr="00EC1298" w:rsidRDefault="00C47C3B" w:rsidP="00A256CB">
      <w:pPr>
        <w:spacing w:after="0" w:line="300" w:lineRule="atLeast"/>
        <w:jc w:val="both"/>
        <w:rPr>
          <w:rFonts w:ascii="Book Antiqua" w:hAnsi="Book Antiqua" w:cs="Arial"/>
        </w:rPr>
      </w:pPr>
      <w:r w:rsidRPr="00C47C3B">
        <w:rPr>
          <w:rFonts w:ascii="Book Antiqua" w:hAnsi="Book Antiqua" w:cs="Arial"/>
          <w:noProof/>
          <w:lang w:eastAsia="zh-TW"/>
        </w:rPr>
        <w:pict>
          <v:shape id="_x0000_s1133" type="#_x0000_t202" style="position:absolute;left:0;text-align:left;margin-left:-2.15pt;margin-top:302.25pt;width:196.15pt;height:300.25pt;z-index:251610624;mso-height-percent:200;mso-position-horizontal-relative:margin;mso-position-vertical-relative:margin;mso-height-percent:200;mso-width-relative:margin;mso-height-relative:margin" fillcolor="#dbe5f1" strokeweight="1.5pt">
            <v:shadow on="t" color="#95b3d7"/>
            <v:textbox style="mso-next-textbox:#_x0000_s1133;mso-fit-shape-to-text:t">
              <w:txbxContent>
                <w:p w:rsidR="00B4351F" w:rsidRPr="00385DF1" w:rsidRDefault="00B4351F" w:rsidP="00AD2B5E">
                  <w:pPr>
                    <w:pStyle w:val="Caption"/>
                    <w:spacing w:after="120" w:line="240" w:lineRule="auto"/>
                  </w:pPr>
                  <w:bookmarkStart w:id="66" w:name="_Ref243730484"/>
                  <w:bookmarkStart w:id="67" w:name="_Toc243930035"/>
                  <w:smartTag w:uri="urn:schemas-microsoft-com:office:smarttags" w:element="address">
                    <w:smartTag w:uri="urn:schemas-microsoft-com:office:smarttags" w:element="Street">
                      <w:r w:rsidRPr="00385DF1">
                        <w:t>Box</w:t>
                      </w:r>
                    </w:smartTag>
                    <w:r w:rsidRPr="00385DF1">
                      <w:t xml:space="preserve"> </w:t>
                    </w:r>
                    <w:bookmarkEnd w:id="66"/>
                    <w:r>
                      <w:t>2.3</w:t>
                    </w:r>
                  </w:smartTag>
                  <w:r w:rsidRPr="00385DF1">
                    <w:t xml:space="preserve">: Distribution of </w:t>
                  </w:r>
                  <w:r>
                    <w:t>PFES</w:t>
                  </w:r>
                  <w:r w:rsidRPr="00385DF1">
                    <w:t xml:space="preserve"> fund</w:t>
                  </w:r>
                  <w:r>
                    <w:t>s</w:t>
                  </w:r>
                  <w:r w:rsidRPr="00385DF1">
                    <w:t xml:space="preserve"> under Lam Dong FPDF in 2009</w:t>
                  </w:r>
                  <w:bookmarkEnd w:id="67"/>
                </w:p>
                <w:p w:rsidR="00B4351F" w:rsidRPr="00385DF1" w:rsidRDefault="00B4351F" w:rsidP="00A256CB">
                  <w:pPr>
                    <w:spacing w:before="120" w:after="120"/>
                    <w:rPr>
                      <w:sz w:val="20"/>
                    </w:rPr>
                  </w:pPr>
                  <w:r w:rsidRPr="00385DF1">
                    <w:rPr>
                      <w:sz w:val="20"/>
                    </w:rPr>
                    <w:t xml:space="preserve">The total 47.3 billion VND (to be) collected as </w:t>
                  </w:r>
                  <w:r>
                    <w:rPr>
                      <w:sz w:val="20"/>
                    </w:rPr>
                    <w:t>PFES</w:t>
                  </w:r>
                  <w:r w:rsidRPr="00385DF1">
                    <w:rPr>
                      <w:sz w:val="20"/>
                    </w:rPr>
                    <w:t xml:space="preserve"> fees will be distributed as follow</w:t>
                  </w:r>
                  <w:r>
                    <w:rPr>
                      <w:sz w:val="20"/>
                    </w:rPr>
                    <w:t>s</w:t>
                  </w:r>
                  <w:r w:rsidRPr="00385DF1">
                    <w:rPr>
                      <w:sz w:val="20"/>
                    </w:rPr>
                    <w:t>:</w:t>
                  </w:r>
                </w:p>
                <w:p w:rsidR="00B4351F" w:rsidRPr="00385DF1" w:rsidRDefault="00B4351F" w:rsidP="003E3CBA">
                  <w:pPr>
                    <w:numPr>
                      <w:ilvl w:val="1"/>
                      <w:numId w:val="14"/>
                    </w:numPr>
                    <w:tabs>
                      <w:tab w:val="clear" w:pos="1452"/>
                      <w:tab w:val="left" w:pos="180"/>
                    </w:tabs>
                    <w:spacing w:after="0" w:line="240" w:lineRule="auto"/>
                    <w:ind w:left="180" w:hanging="180"/>
                    <w:rPr>
                      <w:sz w:val="20"/>
                    </w:rPr>
                  </w:pPr>
                  <w:r w:rsidRPr="00385DF1">
                    <w:rPr>
                      <w:sz w:val="20"/>
                    </w:rPr>
                    <w:t>10% of the total or 4.731 billion VND is retained by (provincial) FPDF to cover its expenses</w:t>
                  </w:r>
                </w:p>
                <w:p w:rsidR="00B4351F" w:rsidRPr="00385DF1" w:rsidRDefault="00B4351F" w:rsidP="003E3CBA">
                  <w:pPr>
                    <w:numPr>
                      <w:ilvl w:val="1"/>
                      <w:numId w:val="14"/>
                    </w:numPr>
                    <w:tabs>
                      <w:tab w:val="clear" w:pos="1452"/>
                      <w:tab w:val="left" w:pos="180"/>
                    </w:tabs>
                    <w:spacing w:after="0" w:line="240" w:lineRule="auto"/>
                    <w:ind w:left="180" w:hanging="180"/>
                    <w:rPr>
                      <w:sz w:val="20"/>
                    </w:rPr>
                  </w:pPr>
                  <w:r w:rsidRPr="00385DF1">
                    <w:rPr>
                      <w:sz w:val="20"/>
                    </w:rPr>
                    <w:t>10% of the remaining fund (9% of the total) or 4.258 billion VND goes to 13 forest owners to cover their management costs</w:t>
                  </w:r>
                </w:p>
                <w:p w:rsidR="00B4351F" w:rsidRPr="00385DF1" w:rsidRDefault="00B4351F" w:rsidP="003E3CBA">
                  <w:pPr>
                    <w:numPr>
                      <w:ilvl w:val="1"/>
                      <w:numId w:val="14"/>
                    </w:numPr>
                    <w:tabs>
                      <w:tab w:val="clear" w:pos="1452"/>
                      <w:tab w:val="left" w:pos="180"/>
                    </w:tabs>
                    <w:spacing w:after="0" w:line="240" w:lineRule="auto"/>
                    <w:ind w:left="180" w:hanging="180"/>
                    <w:rPr>
                      <w:sz w:val="20"/>
                    </w:rPr>
                  </w:pPr>
                  <w:r w:rsidRPr="00385DF1">
                    <w:rPr>
                      <w:sz w:val="20"/>
                    </w:rPr>
                    <w:t>the remaining 90% (81% of the total) or 38.326 billion VND is used to pay for the costs of forest protection; of which</w:t>
                  </w:r>
                </w:p>
                <w:p w:rsidR="00B4351F" w:rsidRPr="00385DF1" w:rsidRDefault="00B4351F" w:rsidP="003E3CBA">
                  <w:pPr>
                    <w:numPr>
                      <w:ilvl w:val="0"/>
                      <w:numId w:val="13"/>
                    </w:numPr>
                    <w:tabs>
                      <w:tab w:val="clear" w:pos="1080"/>
                    </w:tabs>
                    <w:spacing w:after="0" w:line="240" w:lineRule="auto"/>
                    <w:ind w:left="360" w:hanging="180"/>
                    <w:rPr>
                      <w:sz w:val="20"/>
                    </w:rPr>
                  </w:pPr>
                  <w:r w:rsidRPr="00385DF1">
                    <w:rPr>
                      <w:sz w:val="20"/>
                    </w:rPr>
                    <w:t>20.8 billion VND is to pay local households for protecting 114,866.3 ha of forest in the pilot sites (four districts of Lac Duong, Don Duong, Duc Trong, Da Teh and Da Lat city)</w:t>
                  </w:r>
                </w:p>
                <w:p w:rsidR="00B4351F" w:rsidRPr="00385DF1" w:rsidRDefault="00B4351F" w:rsidP="003E3CBA">
                  <w:pPr>
                    <w:numPr>
                      <w:ilvl w:val="0"/>
                      <w:numId w:val="13"/>
                    </w:numPr>
                    <w:tabs>
                      <w:tab w:val="clear" w:pos="1080"/>
                    </w:tabs>
                    <w:spacing w:after="0" w:line="240" w:lineRule="auto"/>
                    <w:ind w:left="360" w:hanging="180"/>
                    <w:rPr>
                      <w:sz w:val="20"/>
                    </w:rPr>
                  </w:pPr>
                  <w:r w:rsidRPr="00385DF1">
                    <w:rPr>
                      <w:sz w:val="20"/>
                    </w:rPr>
                    <w:t>17.526 billion VND is kept as reserve fund</w:t>
                  </w:r>
                </w:p>
                <w:p w:rsidR="00B4351F" w:rsidRPr="00AD2B5E" w:rsidRDefault="00B4351F" w:rsidP="00A256CB">
                  <w:pPr>
                    <w:spacing w:after="0" w:line="240" w:lineRule="auto"/>
                    <w:rPr>
                      <w:sz w:val="16"/>
                      <w:szCs w:val="16"/>
                    </w:rPr>
                  </w:pPr>
                  <w:r w:rsidRPr="00AD2B5E">
                    <w:rPr>
                      <w:sz w:val="16"/>
                      <w:szCs w:val="16"/>
                    </w:rPr>
                    <w:t>Source: Decision 2091/QD-UBND of Lam Dong PPC, dated 19 August 2009</w:t>
                  </w:r>
                </w:p>
              </w:txbxContent>
            </v:textbox>
            <w10:wrap type="square" anchorx="margin" anchory="margin"/>
          </v:shape>
        </w:pict>
      </w:r>
      <w:r w:rsidR="00351F2C" w:rsidRPr="00EC1298">
        <w:rPr>
          <w:rFonts w:ascii="Book Antiqua" w:hAnsi="Book Antiqua" w:cs="Arial"/>
        </w:rPr>
        <w:t>The scheme operates through a nested structure of management boards at commune, district and provincial levels (see Figure 2.6).  The boards include members from the government, social organizations and local people.  Commune-level management boards establish inventories of individual households and household groups owning forest on their territory, make contracts with them and authorize the disbursement of payments via the Bank for Social Policies.  The two district-level management boards handle contracts with village communities. The provincial board takes care of all transactions with social organizations.  This project management structure and associated regulations originate from decisions made by the province.  Son La PC also set up a PFES steering committee led by a Vice Chairman and including representatives from relevant provincial departments, the PCs of the two pilot districts, and selected communal PCs (Pancel and To 2009).</w:t>
      </w:r>
    </w:p>
    <w:p w:rsidR="00351F2C" w:rsidRPr="00EC1298" w:rsidRDefault="00351F2C" w:rsidP="00A256CB">
      <w:pPr>
        <w:spacing w:after="0" w:line="300" w:lineRule="atLeast"/>
        <w:rPr>
          <w:rFonts w:ascii="Book Antiqua" w:hAnsi="Book Antiqua" w:cs="Arial"/>
        </w:rPr>
      </w:pPr>
    </w:p>
    <w:p w:rsidR="00351F2C" w:rsidRPr="00EC1298" w:rsidRDefault="00351F2C" w:rsidP="00A256CB">
      <w:pPr>
        <w:spacing w:after="0" w:line="300" w:lineRule="atLeast"/>
        <w:jc w:val="both"/>
        <w:rPr>
          <w:rStyle w:val="text"/>
          <w:rFonts w:ascii="Book Antiqua" w:hAnsi="Book Antiqua" w:cs="Arial"/>
        </w:rPr>
      </w:pPr>
      <w:r w:rsidRPr="00EC1298">
        <w:rPr>
          <w:rStyle w:val="text"/>
          <w:rFonts w:ascii="Book Antiqua" w:hAnsi="Book Antiqua" w:cs="Arial"/>
        </w:rPr>
        <w:t xml:space="preserve">The Lam Dong PFES scheme pays groups of households to protect forests. They receive the payments on the basis of contracts signed with PAMBs, which hold legal titles to a large share of protection forestland in the province.  The contracts require the groups to patrol the contracted forest on a regular basis.  They receive 90% of the total revenue collected for the provision of environmental services in return.  This amounts to an average of VND 270,000 (US$15) per year in the Da Nhim watershed, which is significantly more than the VND 100,000 (US$5) paid annually under the 661 </w:t>
      </w:r>
      <w:r w:rsidR="00480D3D">
        <w:rPr>
          <w:rStyle w:val="text"/>
          <w:rFonts w:ascii="Book Antiqua" w:hAnsi="Book Antiqua" w:cs="Arial"/>
        </w:rPr>
        <w:t>Programme</w:t>
      </w:r>
      <w:r w:rsidRPr="00EC1298">
        <w:rPr>
          <w:rStyle w:val="text"/>
          <w:rFonts w:ascii="Book Antiqua" w:hAnsi="Book Antiqua" w:cs="Arial"/>
        </w:rPr>
        <w:t>.</w:t>
      </w:r>
      <w:r w:rsidRPr="00EC1298">
        <w:rPr>
          <w:rStyle w:val="FootnoteReference"/>
          <w:rFonts w:ascii="Book Antiqua" w:hAnsi="Book Antiqua" w:cs="Arial"/>
        </w:rPr>
        <w:footnoteReference w:id="26"/>
      </w:r>
      <w:r w:rsidRPr="00EC1298">
        <w:rPr>
          <w:rStyle w:val="text"/>
          <w:rFonts w:ascii="Book Antiqua" w:hAnsi="Book Antiqua" w:cs="Arial"/>
        </w:rPr>
        <w:t xml:space="preserve"> As in the Son La scheme, </w:t>
      </w:r>
      <w:r w:rsidRPr="00EC1298">
        <w:rPr>
          <w:rStyle w:val="text"/>
          <w:rFonts w:ascii="Book Antiqua" w:hAnsi="Book Antiqua" w:cs="Arial"/>
        </w:rPr>
        <w:lastRenderedPageBreak/>
        <w:t>actual payments vary in reflection of differences in the provision of ecosystem services.</w:t>
      </w:r>
    </w:p>
    <w:p w:rsidR="00351F2C" w:rsidRPr="00445F77" w:rsidRDefault="00351F2C" w:rsidP="00A256CB">
      <w:pPr>
        <w:spacing w:after="0" w:line="300" w:lineRule="atLeast"/>
        <w:rPr>
          <w:rFonts w:ascii="Arial" w:hAnsi="Arial" w:cs="Arial"/>
          <w:sz w:val="24"/>
          <w:szCs w:val="24"/>
        </w:rPr>
      </w:pPr>
    </w:p>
    <w:p w:rsidR="00351F2C" w:rsidRPr="00EC1298" w:rsidRDefault="00351F2C" w:rsidP="00A256CB">
      <w:pPr>
        <w:spacing w:after="0"/>
        <w:jc w:val="center"/>
        <w:rPr>
          <w:rFonts w:ascii="Book Antiqua" w:hAnsi="Book Antiqua" w:cs="Arial"/>
        </w:rPr>
      </w:pPr>
      <w:r w:rsidRPr="00EC1298">
        <w:rPr>
          <w:rFonts w:ascii="Book Antiqua" w:hAnsi="Book Antiqua" w:cs="Arial"/>
          <w:b/>
        </w:rPr>
        <w:t>Figure 2.6: Nested governance in the Son La PFES scheme</w:t>
      </w:r>
    </w:p>
    <w:p w:rsidR="00351F2C" w:rsidRPr="00445F77" w:rsidRDefault="00C47C3B" w:rsidP="00A256CB">
      <w:pPr>
        <w:rPr>
          <w:rFonts w:ascii="Arial" w:hAnsi="Arial" w:cs="Arial"/>
          <w:sz w:val="24"/>
          <w:szCs w:val="24"/>
        </w:rPr>
      </w:pPr>
      <w:r w:rsidRPr="00C47C3B">
        <w:rPr>
          <w:rFonts w:ascii="Arial" w:hAnsi="Arial" w:cs="Arial"/>
          <w:sz w:val="24"/>
          <w:szCs w:val="24"/>
        </w:rPr>
      </w:r>
      <w:r>
        <w:rPr>
          <w:rFonts w:ascii="Arial" w:hAnsi="Arial" w:cs="Arial"/>
          <w:sz w:val="24"/>
          <w:szCs w:val="24"/>
        </w:rPr>
        <w:pict>
          <v:group id="_x0000_s1053" editas="canvas" style="width:450pt;height:207pt;mso-position-horizontal-relative:char;mso-position-vertical-relative:line" coordorigin="3115,1284" coordsize="7200,3312">
            <o:lock v:ext="edit" aspectratio="t"/>
            <v:shape id="_x0000_s1054" type="#_x0000_t75" style="position:absolute;left:3115;top:1284;width:7200;height:3312" o:preferrelative="f">
              <v:fill o:detectmouseclick="t"/>
              <v:path o:extrusionok="t" o:connecttype="none"/>
              <o:lock v:ext="edit" text="t"/>
            </v:shape>
            <v:group id="_x0000_s1055" style="position:absolute;left:3505;top:1412;width:6420;height:3184" coordorigin="1800,2340" coordsize="8640,3984">
              <v:line id="_x0000_s1056" style="position:absolute" from="4128,4416" to="5028,4416" strokeweight="2.25pt">
                <v:stroke startarrow="block" endarrow="block"/>
              </v:line>
              <v:group id="_x0000_s1057" style="position:absolute;left:1800;top:2340;width:8640;height:3984" coordorigin="1800,3060" coordsize="8640,3984">
                <v:line id="_x0000_s1058" style="position:absolute" from="4140,4896" to="8100,4896" strokeweight="2.25pt">
                  <v:stroke dashstyle="1 1" endarrow="block"/>
                </v:line>
                <v:roundrect id="_x0000_s1059" style="position:absolute;left:1800;top:3060;width:2340;height:720" arcsize="10923f" fillcolor="silver" strokecolor="maroon">
                  <v:textbox style="mso-next-textbox:#_x0000_s1059">
                    <w:txbxContent>
                      <w:p w:rsidR="00B4351F" w:rsidRPr="002022D8" w:rsidRDefault="00B4351F" w:rsidP="00A256CB">
                        <w:pPr>
                          <w:jc w:val="center"/>
                          <w:rPr>
                            <w:b/>
                          </w:rPr>
                        </w:pPr>
                        <w:r w:rsidRPr="002022D8">
                          <w:rPr>
                            <w:b/>
                            <w:sz w:val="20"/>
                          </w:rPr>
                          <w:t>Provincial management board</w:t>
                        </w:r>
                      </w:p>
                      <w:p w:rsidR="00B4351F" w:rsidRPr="00C72598" w:rsidRDefault="00B4351F" w:rsidP="00A256CB">
                        <w:pPr>
                          <w:jc w:val="center"/>
                          <w:rPr>
                            <w:b/>
                          </w:rPr>
                        </w:pPr>
                        <w:r w:rsidRPr="00C72598">
                          <w:rPr>
                            <w:b/>
                          </w:rPr>
                          <w:t>(4)</w:t>
                        </w:r>
                      </w:p>
                    </w:txbxContent>
                  </v:textbox>
                </v:roundrect>
                <v:roundrect id="_x0000_s1060" style="position:absolute;left:1800;top:4680;width:2340;height:720" arcsize="10923f" fillcolor="silver" strokecolor="maroon">
                  <v:textbox style="mso-next-textbox:#_x0000_s1060">
                    <w:txbxContent>
                      <w:p w:rsidR="00B4351F" w:rsidRPr="002022D8" w:rsidRDefault="00B4351F" w:rsidP="00A256CB">
                        <w:pPr>
                          <w:jc w:val="center"/>
                          <w:rPr>
                            <w:b/>
                            <w:sz w:val="20"/>
                          </w:rPr>
                        </w:pPr>
                        <w:r w:rsidRPr="002022D8">
                          <w:rPr>
                            <w:b/>
                            <w:sz w:val="20"/>
                          </w:rPr>
                          <w:t>District mgmt board</w:t>
                        </w:r>
                      </w:p>
                    </w:txbxContent>
                  </v:textbox>
                </v:roundrect>
                <v:roundrect id="_x0000_s1061" style="position:absolute;left:1800;top:6324;width:2340;height:720" arcsize="10923f" fillcolor="silver" strokecolor="maroon">
                  <v:textbox style="mso-next-textbox:#_x0000_s1061">
                    <w:txbxContent>
                      <w:p w:rsidR="00B4351F" w:rsidRPr="002022D8" w:rsidRDefault="00B4351F" w:rsidP="00A256CB">
                        <w:pPr>
                          <w:jc w:val="center"/>
                          <w:rPr>
                            <w:b/>
                            <w:sz w:val="20"/>
                          </w:rPr>
                        </w:pPr>
                        <w:r w:rsidRPr="002022D8">
                          <w:rPr>
                            <w:b/>
                            <w:sz w:val="20"/>
                          </w:rPr>
                          <w:t>Communal mgmt board</w:t>
                        </w:r>
                      </w:p>
                    </w:txbxContent>
                  </v:textbox>
                </v:roundrect>
                <v:line id="_x0000_s1062" style="position:absolute" from="2676,3780" to="2676,4680" strokeweight="2.25pt">
                  <v:stroke endarrow="block"/>
                </v:line>
                <v:line id="_x0000_s1063" style="position:absolute" from="2700,5400" to="2700,6300" strokeweight="2.25pt">
                  <v:stroke endarrow="block"/>
                </v:line>
                <v:line id="_x0000_s1064" style="position:absolute" from="3072,3780" to="3072,4680" strokeweight="2.25pt">
                  <v:stroke dashstyle="1 1" startarrow="block"/>
                </v:line>
                <v:line id="_x0000_s1065" style="position:absolute" from="3060,5400" to="3060,6300" strokeweight="2.25pt">
                  <v:stroke dashstyle="1 1" startarrow="block"/>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66" type="#_x0000_t9" style="position:absolute;left:5004;top:4500;width:2340;height:1260" fillcolor="#fc9" strokecolor="navy" strokeweight="2.25pt">
                  <v:textbox style="mso-next-textbox:#_x0000_s1066">
                    <w:txbxContent>
                      <w:p w:rsidR="00B4351F" w:rsidRPr="009A6A5C" w:rsidRDefault="00B4351F" w:rsidP="00A256CB">
                        <w:pPr>
                          <w:jc w:val="center"/>
                          <w:rPr>
                            <w:b/>
                          </w:rPr>
                        </w:pPr>
                        <w:r w:rsidRPr="009A6A5C">
                          <w:rPr>
                            <w:b/>
                          </w:rPr>
                          <w:t xml:space="preserve">Bank for Social Policy </w:t>
                        </w:r>
                      </w:p>
                    </w:txbxContent>
                  </v:textbox>
                </v:shape>
                <v:roundrect id="_x0000_s1067" style="position:absolute;left:8100;top:3060;width:2340;height:720" arcsize="10923f" fillcolor="#cfc" strokecolor="blue">
                  <v:textbox style="mso-next-textbox:#_x0000_s1067">
                    <w:txbxContent>
                      <w:p w:rsidR="00B4351F" w:rsidRPr="00703306" w:rsidRDefault="00B4351F" w:rsidP="00A256CB">
                        <w:pPr>
                          <w:jc w:val="center"/>
                          <w:rPr>
                            <w:b/>
                            <w:sz w:val="20"/>
                          </w:rPr>
                        </w:pPr>
                        <w:smartTag w:uri="urn:schemas-microsoft-com:office:smarttags" w:element="place">
                          <w:r w:rsidRPr="00703306">
                            <w:rPr>
                              <w:b/>
                              <w:sz w:val="20"/>
                            </w:rPr>
                            <w:t>Forest</w:t>
                          </w:r>
                        </w:smartTag>
                        <w:r w:rsidRPr="00703306">
                          <w:rPr>
                            <w:b/>
                            <w:sz w:val="20"/>
                          </w:rPr>
                          <w:t xml:space="preserve"> owners as organizations</w:t>
                        </w:r>
                      </w:p>
                    </w:txbxContent>
                  </v:textbox>
                </v:roundrect>
                <v:roundrect id="_x0000_s1068" style="position:absolute;left:8100;top:4680;width:2340;height:720" arcsize="10923f" fillcolor="#cfc" strokecolor="blue">
                  <v:textbox style="mso-next-textbox:#_x0000_s1068">
                    <w:txbxContent>
                      <w:p w:rsidR="00B4351F" w:rsidRPr="00703306" w:rsidRDefault="00B4351F" w:rsidP="00A256CB">
                        <w:pPr>
                          <w:jc w:val="center"/>
                          <w:rPr>
                            <w:b/>
                            <w:sz w:val="20"/>
                          </w:rPr>
                        </w:pPr>
                        <w:smartTag w:uri="urn:schemas-microsoft-com:office:smarttags" w:element="place">
                          <w:r w:rsidRPr="00703306">
                            <w:rPr>
                              <w:b/>
                              <w:sz w:val="20"/>
                            </w:rPr>
                            <w:t>Forest</w:t>
                          </w:r>
                        </w:smartTag>
                        <w:r w:rsidRPr="00703306">
                          <w:rPr>
                            <w:b/>
                            <w:sz w:val="20"/>
                          </w:rPr>
                          <w:t xml:space="preserve"> owners as communities</w:t>
                        </w:r>
                      </w:p>
                    </w:txbxContent>
                  </v:textbox>
                </v:roundrect>
                <v:roundrect id="_x0000_s1069" style="position:absolute;left:8100;top:6324;width:2340;height:720" arcsize="10923f" fillcolor="#cfc" strokecolor="blue">
                  <v:textbox style="mso-next-textbox:#_x0000_s1069">
                    <w:txbxContent>
                      <w:p w:rsidR="00B4351F" w:rsidRPr="00703306" w:rsidRDefault="00B4351F" w:rsidP="00A256CB">
                        <w:pPr>
                          <w:jc w:val="center"/>
                          <w:rPr>
                            <w:b/>
                            <w:sz w:val="20"/>
                            <w:lang w:val="fr-FR"/>
                          </w:rPr>
                        </w:pPr>
                        <w:r w:rsidRPr="00703306">
                          <w:rPr>
                            <w:b/>
                            <w:sz w:val="20"/>
                            <w:lang w:val="fr-FR"/>
                          </w:rPr>
                          <w:t>Households, household groups</w:t>
                        </w:r>
                      </w:p>
                    </w:txbxContent>
                  </v:textbox>
                </v:roundrect>
                <v:line id="_x0000_s1070" style="position:absolute" from="5928,3420" to="5928,4488" strokeweight="2.25pt">
                  <v:stroke endarrow="block"/>
                </v:line>
                <v:line id="_x0000_s1071" style="position:absolute" from="4140,3432" to="5940,3432" strokeweight="2.25pt">
                  <v:stroke startarrow="block"/>
                </v:line>
                <v:line id="_x0000_s1072" style="position:absolute" from="4140,6780" to="5940,6780" strokeweight="2.25pt">
                  <v:stroke startarrow="block"/>
                </v:line>
                <v:line id="_x0000_s1073" style="position:absolute" from="5928,5736" to="5928,6804" strokeweight="2.25pt">
                  <v:stroke startarrow="block"/>
                </v:line>
                <v:line id="_x0000_s1074" style="position:absolute" from="6324,3420" to="6324,4488" strokeweight="2.25pt"/>
                <v:line id="_x0000_s1075" style="position:absolute" from="6300,3420" to="8100,3420" strokeweight="2.25pt">
                  <v:stroke endarrow="block"/>
                </v:line>
                <v:line id="_x0000_s1076" style="position:absolute" from="6300,5760" to="6300,6828" strokeweight="2.25pt"/>
                <v:line id="_x0000_s1077" style="position:absolute" from="6300,6804" to="8100,6804" strokeweight="2.25pt">
                  <v:stroke endarrow="block"/>
                </v:line>
                <v:line id="_x0000_s1078" style="position:absolute" from="7380,5124" to="8124,5124" strokeweight="2.25pt">
                  <v:stroke endarrow="block"/>
                </v:line>
                <v:line id="_x0000_s1079" style="position:absolute" from="4140,3240" to="8100,3240" strokeweight="2.25pt">
                  <v:stroke dashstyle="1 1" endarrow="block"/>
                </v:line>
                <v:line id="_x0000_s1080" style="position:absolute" from="4140,6576" to="8100,6576" strokeweight="2.25pt">
                  <v:stroke dashstyle="1 1" endarrow="block"/>
                </v:line>
                <v:line id="_x0000_s1081" style="position:absolute" from="7488,3600" to="7488,4848" strokeweight="2.25pt">
                  <v:stroke dashstyle="1 1"/>
                </v:line>
                <v:line id="_x0000_s1082" style="position:absolute" from="7560,3600" to="8088,3600" strokeweight="2.25pt">
                  <v:stroke dashstyle="1 1" endarrow="block"/>
                </v:line>
                <v:line id="_x0000_s1083" style="position:absolute" from="7488,4956" to="7488,6480" strokeweight="2.25pt">
                  <v:stroke dashstyle="1 1"/>
                </v:line>
                <v:line id="_x0000_s1084" style="position:absolute" from="7548,6420" to="8076,6420" strokeweight="2.25pt">
                  <v:stroke dashstyle="1 1" endarrow="block"/>
                </v:line>
              </v:group>
            </v:group>
            <w10:wrap type="none"/>
            <w10:anchorlock/>
          </v:group>
        </w:pict>
      </w:r>
    </w:p>
    <w:p w:rsidR="00351F2C" w:rsidRPr="00EC1298" w:rsidRDefault="00C47C3B" w:rsidP="00A256CB">
      <w:pPr>
        <w:spacing w:after="0" w:line="240" w:lineRule="auto"/>
        <w:rPr>
          <w:rFonts w:ascii="Book Antiqua" w:hAnsi="Book Antiqua" w:cs="Arial"/>
          <w:sz w:val="20"/>
          <w:szCs w:val="20"/>
        </w:rPr>
      </w:pPr>
      <w:r w:rsidRPr="00C47C3B">
        <w:rPr>
          <w:rFonts w:ascii="Arial" w:hAnsi="Arial" w:cs="Arial"/>
          <w:noProof/>
          <w:sz w:val="24"/>
          <w:szCs w:val="24"/>
        </w:rPr>
        <w:pict>
          <v:line id="_x0000_s1136" style="position:absolute;z-index:251613696" from="35.5pt,5.55pt" to="71.5pt,5.55pt" strokeweight="2.25pt">
            <v:stroke endarrow="block"/>
          </v:line>
        </w:pict>
      </w:r>
      <w:r w:rsidR="00351F2C" w:rsidRPr="00445F77">
        <w:rPr>
          <w:rFonts w:ascii="Arial" w:hAnsi="Arial" w:cs="Arial"/>
          <w:sz w:val="24"/>
          <w:szCs w:val="24"/>
        </w:rPr>
        <w:tab/>
      </w:r>
      <w:r w:rsidR="00351F2C" w:rsidRPr="00EC1298">
        <w:rPr>
          <w:rFonts w:ascii="Book Antiqua" w:hAnsi="Book Antiqua" w:cs="Arial"/>
          <w:sz w:val="20"/>
          <w:szCs w:val="20"/>
        </w:rPr>
        <w:tab/>
        <w:t xml:space="preserve">   Organization, guidance</w:t>
      </w:r>
      <w:r w:rsidR="00351F2C" w:rsidRPr="00EC1298">
        <w:rPr>
          <w:rFonts w:ascii="Book Antiqua" w:hAnsi="Book Antiqua" w:cs="Arial"/>
          <w:sz w:val="20"/>
          <w:szCs w:val="20"/>
        </w:rPr>
        <w:tab/>
      </w:r>
    </w:p>
    <w:p w:rsidR="00351F2C" w:rsidRPr="00EC1298" w:rsidRDefault="00C47C3B" w:rsidP="00A256CB">
      <w:pPr>
        <w:spacing w:after="0" w:line="240" w:lineRule="auto"/>
        <w:rPr>
          <w:rFonts w:ascii="Book Antiqua" w:hAnsi="Book Antiqua" w:cs="Arial"/>
          <w:sz w:val="20"/>
          <w:szCs w:val="20"/>
        </w:rPr>
      </w:pPr>
      <w:r w:rsidRPr="00C47C3B">
        <w:rPr>
          <w:rFonts w:ascii="Book Antiqua" w:hAnsi="Book Antiqua" w:cs="Arial"/>
          <w:noProof/>
          <w:sz w:val="20"/>
          <w:szCs w:val="20"/>
        </w:rPr>
        <w:pict>
          <v:line id="_x0000_s1135" style="position:absolute;z-index:251612672" from="36pt,7.2pt" to="1in,7.2pt" strokeweight="2.25pt">
            <v:stroke dashstyle="1 1" endarrow="block"/>
          </v:line>
        </w:pict>
      </w:r>
      <w:r w:rsidR="00351F2C" w:rsidRPr="00EC1298">
        <w:rPr>
          <w:rFonts w:ascii="Book Antiqua" w:hAnsi="Book Antiqua" w:cs="Arial"/>
          <w:sz w:val="20"/>
          <w:szCs w:val="20"/>
        </w:rPr>
        <w:tab/>
      </w:r>
      <w:r w:rsidR="00351F2C" w:rsidRPr="00EC1298">
        <w:rPr>
          <w:rFonts w:ascii="Book Antiqua" w:hAnsi="Book Antiqua" w:cs="Arial"/>
          <w:sz w:val="20"/>
          <w:szCs w:val="20"/>
        </w:rPr>
        <w:tab/>
        <w:t xml:space="preserve">   Monitoring, evaluation and reporting</w:t>
      </w:r>
    </w:p>
    <w:p w:rsidR="00351F2C" w:rsidRPr="00EC1298" w:rsidRDefault="00351F2C" w:rsidP="00A256CB">
      <w:pPr>
        <w:spacing w:after="0" w:line="240" w:lineRule="auto"/>
        <w:rPr>
          <w:rFonts w:ascii="Book Antiqua" w:hAnsi="Book Antiqua" w:cs="Arial"/>
          <w:sz w:val="20"/>
          <w:szCs w:val="20"/>
        </w:rPr>
      </w:pPr>
    </w:p>
    <w:p w:rsidR="00351F2C" w:rsidRPr="00EC1298" w:rsidRDefault="00351F2C" w:rsidP="00A256CB">
      <w:pPr>
        <w:spacing w:after="0" w:line="240" w:lineRule="auto"/>
        <w:rPr>
          <w:rFonts w:ascii="Book Antiqua" w:hAnsi="Book Antiqua" w:cs="Arial"/>
          <w:sz w:val="20"/>
          <w:szCs w:val="20"/>
        </w:rPr>
      </w:pPr>
      <w:r w:rsidRPr="00EC1298">
        <w:rPr>
          <w:rFonts w:ascii="Book Antiqua" w:hAnsi="Book Antiqua" w:cs="Arial"/>
          <w:sz w:val="20"/>
          <w:szCs w:val="20"/>
        </w:rPr>
        <w:t>Source: Pancel and To, 2009</w:t>
      </w:r>
    </w:p>
    <w:p w:rsidR="00351F2C" w:rsidRPr="00445F77" w:rsidRDefault="00351F2C" w:rsidP="00A256CB">
      <w:pPr>
        <w:spacing w:after="0" w:line="300" w:lineRule="atLeast"/>
        <w:rPr>
          <w:rFonts w:ascii="Arial" w:hAnsi="Arial" w:cs="Arial"/>
          <w:sz w:val="24"/>
          <w:szCs w:val="24"/>
        </w:rPr>
      </w:pPr>
    </w:p>
    <w:p w:rsidR="00351F2C" w:rsidRPr="00EC1298" w:rsidRDefault="00351F2C" w:rsidP="00A256CB">
      <w:pPr>
        <w:spacing w:after="0" w:line="300" w:lineRule="atLeast"/>
        <w:rPr>
          <w:rFonts w:ascii="Book Antiqua" w:hAnsi="Book Antiqua" w:cs="Arial"/>
        </w:rPr>
      </w:pPr>
      <w:r w:rsidRPr="00EC1298">
        <w:rPr>
          <w:rFonts w:ascii="Book Antiqua" w:hAnsi="Book Antiqua" w:cs="Arial"/>
        </w:rPr>
        <w:t xml:space="preserve">The disbursement of payments to household groups takes the following steps (see also </w:t>
      </w:r>
      <w:smartTag w:uri="urn:schemas-microsoft-com:office:smarttags" w:element="address">
        <w:smartTag w:uri="urn:schemas-microsoft-com:office:smarttags" w:element="Street">
          <w:r w:rsidRPr="00EC1298">
            <w:rPr>
              <w:rFonts w:ascii="Book Antiqua" w:hAnsi="Book Antiqua" w:cs="Arial"/>
            </w:rPr>
            <w:t>Box</w:t>
          </w:r>
        </w:smartTag>
        <w:r w:rsidRPr="00EC1298">
          <w:rPr>
            <w:rFonts w:ascii="Book Antiqua" w:hAnsi="Book Antiqua" w:cs="Arial"/>
          </w:rPr>
          <w:t xml:space="preserve"> 2.3</w:t>
        </w:r>
      </w:smartTag>
      <w:r w:rsidRPr="00EC1298">
        <w:rPr>
          <w:rFonts w:ascii="Book Antiqua" w:hAnsi="Book Antiqua" w:cs="Arial"/>
        </w:rPr>
        <w:t xml:space="preserve">):  </w:t>
      </w:r>
    </w:p>
    <w:p w:rsidR="00351F2C" w:rsidRPr="00EC1298" w:rsidRDefault="00351F2C" w:rsidP="00A256CB">
      <w:pPr>
        <w:spacing w:after="0" w:line="300" w:lineRule="atLeast"/>
        <w:rPr>
          <w:rFonts w:ascii="Book Antiqua" w:hAnsi="Book Antiqua" w:cs="Arial"/>
        </w:rPr>
      </w:pPr>
    </w:p>
    <w:p w:rsidR="00351F2C" w:rsidRPr="00EC1298" w:rsidRDefault="00351F2C" w:rsidP="008227FD">
      <w:pPr>
        <w:numPr>
          <w:ilvl w:val="0"/>
          <w:numId w:val="51"/>
        </w:numPr>
        <w:tabs>
          <w:tab w:val="clear" w:pos="720"/>
          <w:tab w:val="num" w:pos="360"/>
        </w:tabs>
        <w:spacing w:after="0" w:line="300" w:lineRule="atLeast"/>
        <w:ind w:left="360"/>
        <w:jc w:val="both"/>
        <w:rPr>
          <w:rFonts w:ascii="Book Antiqua" w:hAnsi="Book Antiqua" w:cs="Arial"/>
        </w:rPr>
      </w:pPr>
      <w:r w:rsidRPr="00EC1298">
        <w:rPr>
          <w:rFonts w:ascii="Book Antiqua" w:hAnsi="Book Antiqua" w:cs="Arial"/>
        </w:rPr>
        <w:t xml:space="preserve">A PAMB signs a contract with the FPDF for the protection of a specified area.  </w:t>
      </w:r>
    </w:p>
    <w:p w:rsidR="00351F2C" w:rsidRPr="00EC1298" w:rsidRDefault="00351F2C" w:rsidP="008227FD">
      <w:pPr>
        <w:numPr>
          <w:ilvl w:val="0"/>
          <w:numId w:val="51"/>
        </w:numPr>
        <w:tabs>
          <w:tab w:val="clear" w:pos="720"/>
          <w:tab w:val="num" w:pos="360"/>
        </w:tabs>
        <w:spacing w:after="0" w:line="300" w:lineRule="atLeast"/>
        <w:ind w:left="360"/>
        <w:jc w:val="both"/>
        <w:rPr>
          <w:rFonts w:ascii="Book Antiqua" w:hAnsi="Book Antiqua" w:cs="Arial"/>
        </w:rPr>
      </w:pPr>
      <w:r w:rsidRPr="00EC1298">
        <w:rPr>
          <w:rFonts w:ascii="Book Antiqua" w:hAnsi="Book Antiqua" w:cs="Arial"/>
        </w:rPr>
        <w:t>The PAMB develops a list of households living in the respective watershed area on the basis of past and existing forest protection activities.  Its staff compiles brief inventories of the forestland protected by households on the basis of data collected in 2004-05.</w:t>
      </w:r>
    </w:p>
    <w:p w:rsidR="00351F2C" w:rsidRPr="00EC1298" w:rsidRDefault="00351F2C" w:rsidP="008227FD">
      <w:pPr>
        <w:numPr>
          <w:ilvl w:val="0"/>
          <w:numId w:val="51"/>
        </w:numPr>
        <w:tabs>
          <w:tab w:val="clear" w:pos="720"/>
          <w:tab w:val="num" w:pos="360"/>
        </w:tabs>
        <w:spacing w:after="0" w:line="300" w:lineRule="atLeast"/>
        <w:ind w:left="360"/>
        <w:jc w:val="both"/>
        <w:rPr>
          <w:rFonts w:ascii="Book Antiqua" w:hAnsi="Book Antiqua" w:cs="Arial"/>
        </w:rPr>
      </w:pPr>
      <w:r w:rsidRPr="00EC1298">
        <w:rPr>
          <w:rFonts w:ascii="Book Antiqua" w:hAnsi="Book Antiqua" w:cs="Arial"/>
        </w:rPr>
        <w:t>The PAMB crosschecks the household lists and forestland inventories with village leaders and the commune People’s Committee.  Together they compile inventories for new households and divide the households into different groups.</w:t>
      </w:r>
    </w:p>
    <w:p w:rsidR="00351F2C" w:rsidRPr="00EC1298" w:rsidRDefault="00351F2C" w:rsidP="008227FD">
      <w:pPr>
        <w:numPr>
          <w:ilvl w:val="0"/>
          <w:numId w:val="51"/>
        </w:numPr>
        <w:tabs>
          <w:tab w:val="clear" w:pos="720"/>
          <w:tab w:val="num" w:pos="360"/>
        </w:tabs>
        <w:spacing w:after="0" w:line="300" w:lineRule="atLeast"/>
        <w:ind w:left="360"/>
        <w:jc w:val="both"/>
        <w:rPr>
          <w:rFonts w:ascii="Book Antiqua" w:hAnsi="Book Antiqua" w:cs="Arial"/>
        </w:rPr>
      </w:pPr>
      <w:r w:rsidRPr="00EC1298">
        <w:rPr>
          <w:rFonts w:ascii="Book Antiqua" w:hAnsi="Book Antiqua" w:cs="Arial"/>
        </w:rPr>
        <w:t>The district-level Forest Protection Unit certifies the accuracy of the updated forestland inventories.  The district People’s Committee approves the inventories and forwards them to the FPDF for use in the contracts signed with the PAMB.</w:t>
      </w:r>
    </w:p>
    <w:p w:rsidR="00351F2C" w:rsidRPr="00EC1298" w:rsidRDefault="00351F2C" w:rsidP="008227FD">
      <w:pPr>
        <w:numPr>
          <w:ilvl w:val="0"/>
          <w:numId w:val="51"/>
        </w:numPr>
        <w:tabs>
          <w:tab w:val="clear" w:pos="720"/>
          <w:tab w:val="num" w:pos="360"/>
        </w:tabs>
        <w:spacing w:after="0" w:line="300" w:lineRule="atLeast"/>
        <w:ind w:left="360"/>
        <w:jc w:val="both"/>
        <w:rPr>
          <w:rFonts w:ascii="Book Antiqua" w:hAnsi="Book Antiqua" w:cs="Arial"/>
        </w:rPr>
      </w:pPr>
      <w:r w:rsidRPr="00EC1298">
        <w:rPr>
          <w:rFonts w:ascii="Book Antiqua" w:hAnsi="Book Antiqua" w:cs="Arial"/>
        </w:rPr>
        <w:t>The PAMB signs forest protection contracts with the heads of household groups for duration of one year.</w:t>
      </w:r>
    </w:p>
    <w:p w:rsidR="00351F2C" w:rsidRPr="00EC1298" w:rsidRDefault="00351F2C" w:rsidP="008227FD">
      <w:pPr>
        <w:numPr>
          <w:ilvl w:val="0"/>
          <w:numId w:val="51"/>
        </w:numPr>
        <w:tabs>
          <w:tab w:val="clear" w:pos="720"/>
          <w:tab w:val="num" w:pos="360"/>
        </w:tabs>
        <w:spacing w:after="0" w:line="300" w:lineRule="atLeast"/>
        <w:ind w:left="360"/>
        <w:jc w:val="both"/>
        <w:rPr>
          <w:rFonts w:ascii="Book Antiqua" w:hAnsi="Book Antiqua" w:cs="Arial"/>
        </w:rPr>
      </w:pPr>
      <w:r w:rsidRPr="00EC1298">
        <w:rPr>
          <w:rFonts w:ascii="Book Antiqua" w:hAnsi="Book Antiqua" w:cs="Arial"/>
        </w:rPr>
        <w:t>The PAMB disburses the applicable payments to the household groups through its commune-level units under supervision of village leaders and commune People’s Committee.  All member households countersign the disbursement of funds.</w:t>
      </w:r>
    </w:p>
    <w:p w:rsidR="00351F2C" w:rsidRPr="00EC1298" w:rsidRDefault="00351F2C" w:rsidP="008227FD">
      <w:pPr>
        <w:numPr>
          <w:ilvl w:val="0"/>
          <w:numId w:val="51"/>
        </w:numPr>
        <w:tabs>
          <w:tab w:val="clear" w:pos="720"/>
          <w:tab w:val="num" w:pos="360"/>
        </w:tabs>
        <w:spacing w:after="0" w:line="300" w:lineRule="atLeast"/>
        <w:ind w:left="360"/>
        <w:jc w:val="both"/>
        <w:rPr>
          <w:rFonts w:ascii="Book Antiqua" w:hAnsi="Book Antiqua" w:cs="Arial"/>
        </w:rPr>
      </w:pPr>
      <w:r w:rsidRPr="00EC1298">
        <w:rPr>
          <w:rFonts w:ascii="Book Antiqua" w:hAnsi="Book Antiqua" w:cs="Arial"/>
        </w:rPr>
        <w:t>The PAMB and groups inspect the contracted forest once a quarter.</w:t>
      </w:r>
    </w:p>
    <w:p w:rsidR="00351F2C" w:rsidRPr="00445F77" w:rsidRDefault="00351F2C" w:rsidP="00A256CB">
      <w:pPr>
        <w:spacing w:after="0" w:line="300" w:lineRule="atLeast"/>
        <w:jc w:val="both"/>
        <w:rPr>
          <w:rFonts w:ascii="Arial" w:hAnsi="Arial" w:cs="Arial"/>
          <w:sz w:val="24"/>
          <w:szCs w:val="24"/>
        </w:rPr>
      </w:pPr>
    </w:p>
    <w:p w:rsidR="00351F2C" w:rsidRPr="00445F77" w:rsidRDefault="00351F2C" w:rsidP="00A256CB">
      <w:pPr>
        <w:spacing w:after="0"/>
        <w:jc w:val="both"/>
        <w:rPr>
          <w:rFonts w:ascii="Arial" w:hAnsi="Arial" w:cs="Arial"/>
          <w:i/>
          <w:color w:val="1F497D"/>
          <w:sz w:val="24"/>
          <w:szCs w:val="24"/>
        </w:rPr>
      </w:pPr>
      <w:r w:rsidRPr="00445F77">
        <w:rPr>
          <w:rFonts w:ascii="Arial" w:hAnsi="Arial" w:cs="Arial"/>
          <w:i/>
          <w:color w:val="1F497D"/>
          <w:sz w:val="24"/>
          <w:szCs w:val="24"/>
        </w:rPr>
        <w:t>Payment structuring</w:t>
      </w:r>
    </w:p>
    <w:bookmarkEnd w:id="64"/>
    <w:bookmarkEnd w:id="65"/>
    <w:p w:rsidR="00351F2C" w:rsidRPr="00EC1298" w:rsidRDefault="00351F2C" w:rsidP="00A256CB">
      <w:pPr>
        <w:spacing w:after="0" w:line="300" w:lineRule="exact"/>
        <w:jc w:val="both"/>
        <w:rPr>
          <w:rFonts w:ascii="Book Antiqua" w:hAnsi="Book Antiqua" w:cs="Arial"/>
        </w:rPr>
      </w:pPr>
      <w:r w:rsidRPr="00EC1298">
        <w:rPr>
          <w:rFonts w:ascii="Book Antiqua" w:hAnsi="Book Antiqua" w:cs="Arial"/>
        </w:rPr>
        <w:t xml:space="preserve">Based on the recommendation of Lam Dong DARD, the PPC issues Decision 2091/QD-UBND dated 19 August 2009 on the distribution of the PFES money. Accordingly, </w:t>
      </w:r>
      <w:r w:rsidRPr="00EC1298">
        <w:rPr>
          <w:rFonts w:ascii="Book Antiqua" w:hAnsi="Book Antiqua" w:cs="Arial"/>
        </w:rPr>
        <w:lastRenderedPageBreak/>
        <w:t xml:space="preserve">payment will be made to local households protecting forests in the pilot areas as followed (see more details on the use of this fund in </w:t>
      </w:r>
      <w:fldSimple w:instr=" REF _Ref243730484 \h  \* MERGEFORMAT ">
        <w:r w:rsidR="00B4351F" w:rsidRPr="00B4351F">
          <w:rPr>
            <w:rFonts w:ascii="Book Antiqua" w:hAnsi="Book Antiqua" w:cs="Arial"/>
          </w:rPr>
          <w:t xml:space="preserve">Box </w:t>
        </w:r>
      </w:fldSimple>
      <w:r w:rsidR="00AD2B5E">
        <w:t>2.3</w:t>
      </w:r>
      <w:r w:rsidRPr="00EC1298">
        <w:rPr>
          <w:rFonts w:ascii="Book Antiqua" w:hAnsi="Book Antiqua" w:cs="Arial"/>
        </w:rPr>
        <w:t>):</w:t>
      </w:r>
    </w:p>
    <w:p w:rsidR="00351F2C" w:rsidRPr="00EC1298" w:rsidRDefault="00351F2C" w:rsidP="00A256CB">
      <w:pPr>
        <w:spacing w:after="0" w:line="300" w:lineRule="exact"/>
        <w:jc w:val="both"/>
        <w:rPr>
          <w:rFonts w:ascii="Book Antiqua" w:hAnsi="Book Antiqua" w:cs="Arial"/>
        </w:rPr>
      </w:pPr>
    </w:p>
    <w:p w:rsidR="00351F2C" w:rsidRPr="00EC1298" w:rsidRDefault="00351F2C" w:rsidP="003E3CBA">
      <w:pPr>
        <w:pStyle w:val="ListParagraph"/>
        <w:numPr>
          <w:ilvl w:val="0"/>
          <w:numId w:val="49"/>
        </w:numPr>
        <w:tabs>
          <w:tab w:val="left" w:pos="360"/>
          <w:tab w:val="left" w:pos="990"/>
          <w:tab w:val="left" w:pos="3870"/>
        </w:tabs>
        <w:spacing w:after="0" w:line="300" w:lineRule="exact"/>
        <w:ind w:left="360"/>
        <w:jc w:val="both"/>
        <w:rPr>
          <w:rFonts w:ascii="Book Antiqua" w:hAnsi="Book Antiqua" w:cs="Arial"/>
        </w:rPr>
      </w:pPr>
      <w:r w:rsidRPr="00EC1298">
        <w:rPr>
          <w:rFonts w:ascii="Book Antiqua" w:hAnsi="Book Antiqua" w:cs="Arial"/>
        </w:rPr>
        <w:t>Catchment area for Da Nhim Power Plant: 290,000VND/ ha/ year</w:t>
      </w:r>
    </w:p>
    <w:p w:rsidR="00351F2C" w:rsidRPr="00EC1298" w:rsidRDefault="00351F2C" w:rsidP="003E3CBA">
      <w:pPr>
        <w:pStyle w:val="ListParagraph"/>
        <w:numPr>
          <w:ilvl w:val="0"/>
          <w:numId w:val="49"/>
        </w:numPr>
        <w:tabs>
          <w:tab w:val="left" w:pos="360"/>
          <w:tab w:val="left" w:pos="990"/>
          <w:tab w:val="left" w:pos="3870"/>
        </w:tabs>
        <w:spacing w:after="0" w:line="300" w:lineRule="exact"/>
        <w:ind w:left="360"/>
        <w:jc w:val="both"/>
        <w:rPr>
          <w:rFonts w:ascii="Book Antiqua" w:hAnsi="Book Antiqua" w:cs="Arial"/>
        </w:rPr>
      </w:pPr>
      <w:r w:rsidRPr="00EC1298">
        <w:rPr>
          <w:rFonts w:ascii="Book Antiqua" w:hAnsi="Book Antiqua" w:cs="Arial"/>
        </w:rPr>
        <w:t>Catchment area for Dai Ninh Power Plant: 270,000VND/ ha/ year</w:t>
      </w:r>
    </w:p>
    <w:p w:rsidR="00351F2C" w:rsidRPr="00EC1298" w:rsidRDefault="00351F2C" w:rsidP="003E3CBA">
      <w:pPr>
        <w:pStyle w:val="ListParagraph"/>
        <w:numPr>
          <w:ilvl w:val="0"/>
          <w:numId w:val="49"/>
        </w:numPr>
        <w:tabs>
          <w:tab w:val="left" w:pos="360"/>
          <w:tab w:val="left" w:pos="990"/>
          <w:tab w:val="left" w:pos="3870"/>
        </w:tabs>
        <w:spacing w:after="0" w:line="300" w:lineRule="exact"/>
        <w:ind w:left="360"/>
        <w:jc w:val="both"/>
        <w:rPr>
          <w:rFonts w:ascii="Book Antiqua" w:hAnsi="Book Antiqua" w:cs="Arial"/>
        </w:rPr>
      </w:pPr>
      <w:r w:rsidRPr="00EC1298">
        <w:rPr>
          <w:rFonts w:ascii="Book Antiqua" w:hAnsi="Book Antiqua" w:cs="Arial"/>
        </w:rPr>
        <w:t>Catchment area for Dong Nai river: 10,000VND/ ha/ year</w:t>
      </w:r>
    </w:p>
    <w:p w:rsidR="00351F2C" w:rsidRPr="00EC1298" w:rsidRDefault="00351F2C" w:rsidP="00A256CB">
      <w:pPr>
        <w:spacing w:after="0" w:line="300" w:lineRule="exact"/>
        <w:jc w:val="both"/>
        <w:rPr>
          <w:rFonts w:ascii="Book Antiqua" w:hAnsi="Book Antiqua" w:cs="Arial"/>
        </w:rPr>
      </w:pPr>
    </w:p>
    <w:p w:rsidR="00351F2C" w:rsidRPr="00EC1298" w:rsidRDefault="00351F2C" w:rsidP="00A256CB">
      <w:pPr>
        <w:spacing w:after="0" w:line="300" w:lineRule="exact"/>
        <w:jc w:val="both"/>
        <w:rPr>
          <w:rFonts w:ascii="Book Antiqua" w:hAnsi="Book Antiqua" w:cs="Arial"/>
        </w:rPr>
      </w:pPr>
      <w:r w:rsidRPr="00EC1298">
        <w:rPr>
          <w:rFonts w:ascii="Book Antiqua" w:hAnsi="Book Antiqua" w:cs="Arial"/>
        </w:rPr>
        <w:t>The variation in the payments to be made in the pilot sites is largely due to the difference in the amount of money generated from the forest (i.e. collected from the PFES service buyer) in each site.</w:t>
      </w:r>
    </w:p>
    <w:p w:rsidR="00351F2C" w:rsidRPr="00EC1298" w:rsidRDefault="00351F2C" w:rsidP="00A256CB">
      <w:pPr>
        <w:spacing w:after="0" w:line="300" w:lineRule="exact"/>
        <w:jc w:val="both"/>
        <w:rPr>
          <w:rFonts w:ascii="Book Antiqua" w:hAnsi="Book Antiqua" w:cs="Arial"/>
        </w:rPr>
      </w:pPr>
    </w:p>
    <w:p w:rsidR="00351F2C" w:rsidRPr="00EC1298" w:rsidRDefault="00351F2C" w:rsidP="00A256CB">
      <w:pPr>
        <w:spacing w:after="0" w:line="300" w:lineRule="exact"/>
        <w:jc w:val="both"/>
        <w:rPr>
          <w:rFonts w:ascii="Book Antiqua" w:hAnsi="Book Antiqua" w:cs="Arial"/>
        </w:rPr>
      </w:pPr>
      <w:r w:rsidRPr="00EC1298">
        <w:rPr>
          <w:rFonts w:ascii="Book Antiqua" w:hAnsi="Book Antiqua" w:cs="Arial"/>
        </w:rPr>
        <w:t>The PFES schemes use coefficients, the so-called K-factors, to determine the appropriate level of payment in relation to the ecosystem services rendered.  The K-factors are not decided by the central government but by sub-national governments in reflection of the particular ecosystem services provided by local forests.  For example, the payments in Son La focus on the functions of forests to store water and protect soils.  The level of payment differs between planted and natural forests on the premise that they have different capacities to store water and protect soils.  This finds reflection in the calculation of payments through different k-factors used for planted and natural forests.  Similarly, the level of payment differs between forests designated for production and protection, as protection forests are assumed to protect soils better than production forests.  As a result, payments targeted at protected natural forests receive a K-factor that is almost double the one applicable to production-oriented plantations (Pancel and To 2009).</w:t>
      </w:r>
    </w:p>
    <w:p w:rsidR="00351F2C" w:rsidRPr="00EC1298" w:rsidRDefault="00351F2C" w:rsidP="00A256CB">
      <w:pPr>
        <w:spacing w:after="0" w:line="300" w:lineRule="exact"/>
        <w:rPr>
          <w:rFonts w:ascii="Book Antiqua" w:hAnsi="Book Antiqua" w:cs="Arial"/>
        </w:rPr>
      </w:pPr>
    </w:p>
    <w:p w:rsidR="00351F2C" w:rsidRPr="00EC1298" w:rsidRDefault="00351F2C" w:rsidP="00A256CB">
      <w:pPr>
        <w:spacing w:after="0" w:line="300" w:lineRule="exact"/>
        <w:jc w:val="both"/>
        <w:rPr>
          <w:rFonts w:ascii="Book Antiqua" w:hAnsi="Book Antiqua" w:cs="Arial"/>
        </w:rPr>
      </w:pPr>
      <w:r w:rsidRPr="00EC1298">
        <w:rPr>
          <w:rFonts w:ascii="Book Antiqua" w:hAnsi="Book Antiqua" w:cs="Arial"/>
        </w:rPr>
        <w:t xml:space="preserve">In terms of disbursement (Figure 2.7), the funds first go to 13 </w:t>
      </w:r>
      <w:r w:rsidR="003E47B3" w:rsidRPr="00EC1298">
        <w:rPr>
          <w:rFonts w:ascii="Book Antiqua" w:hAnsi="Book Antiqua" w:cs="Arial"/>
        </w:rPr>
        <w:t>State-owned Companies (</w:t>
      </w:r>
      <w:r w:rsidRPr="00EC1298">
        <w:rPr>
          <w:rFonts w:ascii="Book Antiqua" w:hAnsi="Book Antiqua" w:cs="Arial"/>
        </w:rPr>
        <w:t>SOC</w:t>
      </w:r>
      <w:r w:rsidR="003E47B3" w:rsidRPr="00EC1298">
        <w:rPr>
          <w:rFonts w:ascii="Book Antiqua" w:hAnsi="Book Antiqua" w:cs="Arial"/>
        </w:rPr>
        <w:t>)</w:t>
      </w:r>
      <w:r w:rsidRPr="00EC1298">
        <w:rPr>
          <w:rFonts w:ascii="Book Antiqua" w:hAnsi="Book Antiqua" w:cs="Arial"/>
        </w:rPr>
        <w:t xml:space="preserve">s and PAMBs (known as forest owners) located in the pilot sites. These actors will then hand over the money to local households based on the areas of forest that they protect under the contractual arrangements. Till date, fund disbursement has only been undertaken in Da Nhim commune of Lac Duong district by Da Nhim </w:t>
      </w:r>
      <w:r w:rsidR="0074733F">
        <w:rPr>
          <w:rFonts w:ascii="Book Antiqua" w:hAnsi="Book Antiqua" w:cs="Arial"/>
        </w:rPr>
        <w:t>Protected Forest Management Board (</w:t>
      </w:r>
      <w:r w:rsidR="003E47B3" w:rsidRPr="00EC1298">
        <w:rPr>
          <w:rFonts w:ascii="Book Antiqua" w:hAnsi="Book Antiqua" w:cs="Arial"/>
        </w:rPr>
        <w:t>PFMB</w:t>
      </w:r>
      <w:r w:rsidR="0074733F">
        <w:rPr>
          <w:rFonts w:ascii="Book Antiqua" w:hAnsi="Book Antiqua" w:cs="Arial"/>
        </w:rPr>
        <w:t>)</w:t>
      </w:r>
      <w:r w:rsidRPr="00EC1298">
        <w:rPr>
          <w:rFonts w:ascii="Book Antiqua" w:hAnsi="Book Antiqua" w:cs="Arial"/>
        </w:rPr>
        <w:t>.</w:t>
      </w:r>
    </w:p>
    <w:p w:rsidR="00351F2C" w:rsidRPr="00445F77" w:rsidRDefault="00351F2C" w:rsidP="00A256CB">
      <w:pPr>
        <w:spacing w:after="0" w:line="300" w:lineRule="exact"/>
        <w:jc w:val="both"/>
        <w:rPr>
          <w:rFonts w:ascii="Arial" w:hAnsi="Arial" w:cs="Arial"/>
          <w:sz w:val="24"/>
          <w:szCs w:val="24"/>
        </w:rPr>
      </w:pPr>
    </w:p>
    <w:p w:rsidR="00351F2C" w:rsidRPr="00EC1298" w:rsidRDefault="00351F2C" w:rsidP="00A256CB">
      <w:pPr>
        <w:pStyle w:val="Caption"/>
        <w:keepNext/>
        <w:jc w:val="center"/>
        <w:rPr>
          <w:rFonts w:ascii="Book Antiqua" w:hAnsi="Book Antiqua" w:cs="Arial"/>
          <w:noProof/>
          <w:sz w:val="22"/>
          <w:szCs w:val="22"/>
        </w:rPr>
      </w:pPr>
      <w:bookmarkStart w:id="68" w:name="_Ref243729330"/>
      <w:bookmarkStart w:id="69" w:name="_Toc243930054"/>
      <w:r w:rsidRPr="00EC1298">
        <w:rPr>
          <w:rFonts w:ascii="Book Antiqua" w:hAnsi="Book Antiqua" w:cs="Arial"/>
          <w:sz w:val="22"/>
          <w:szCs w:val="22"/>
        </w:rPr>
        <w:lastRenderedPageBreak/>
        <w:t xml:space="preserve">Figure </w:t>
      </w:r>
      <w:bookmarkEnd w:id="68"/>
      <w:r w:rsidRPr="00EC1298">
        <w:rPr>
          <w:rFonts w:ascii="Book Antiqua" w:hAnsi="Book Antiqua" w:cs="Arial"/>
          <w:sz w:val="22"/>
          <w:szCs w:val="22"/>
        </w:rPr>
        <w:t>2.7</w:t>
      </w:r>
      <w:r w:rsidRPr="00EC1298">
        <w:rPr>
          <w:rFonts w:ascii="Book Antiqua" w:hAnsi="Book Antiqua" w:cs="Arial"/>
          <w:noProof/>
          <w:sz w:val="22"/>
          <w:szCs w:val="22"/>
        </w:rPr>
        <w:t>: Flows of PFES money in Lam Dong FPDF</w:t>
      </w:r>
      <w:bookmarkEnd w:id="69"/>
    </w:p>
    <w:p w:rsidR="00351F2C" w:rsidRPr="00445F77" w:rsidRDefault="00C47C3B" w:rsidP="00A256CB">
      <w:pPr>
        <w:spacing w:before="240" w:after="240"/>
        <w:jc w:val="center"/>
        <w:rPr>
          <w:rFonts w:ascii="Arial" w:hAnsi="Arial" w:cs="Arial"/>
          <w:sz w:val="24"/>
          <w:szCs w:val="24"/>
        </w:rPr>
      </w:pPr>
      <w:r w:rsidRPr="00C47C3B">
        <w:rPr>
          <w:rFonts w:ascii="Arial" w:hAnsi="Arial" w:cs="Arial"/>
          <w:noProof/>
          <w:sz w:val="24"/>
          <w:szCs w:val="24"/>
          <w:highlight w:val="yellow"/>
          <w:lang w:eastAsia="zh-TW"/>
        </w:rPr>
        <w:pict>
          <v:shape id="_x0000_s1919" type="#_x0000_t202" style="position:absolute;left:0;text-align:left;margin-left:80.45pt;margin-top:274.7pt;width:175.75pt;height:37.6pt;z-index:251708928;mso-width-percent:400;mso-height-percent:200;mso-width-percent:400;mso-height-percent:200;mso-width-relative:margin;mso-height-relative:margin" stroked="f">
            <v:textbox style="mso-fit-shape-to-text:t">
              <w:txbxContent>
                <w:p w:rsidR="00B4351F" w:rsidRPr="00B4562C" w:rsidRDefault="00B4351F" w:rsidP="00B4562C">
                  <w:pPr>
                    <w:spacing w:after="60" w:line="240" w:lineRule="auto"/>
                    <w:rPr>
                      <w:sz w:val="20"/>
                      <w:szCs w:val="20"/>
                    </w:rPr>
                  </w:pPr>
                  <w:r w:rsidRPr="00B4562C">
                    <w:rPr>
                      <w:sz w:val="20"/>
                      <w:szCs w:val="20"/>
                    </w:rPr>
                    <w:t>Direct payments</w:t>
                  </w:r>
                </w:p>
                <w:p w:rsidR="00B4351F" w:rsidRPr="00B4562C" w:rsidRDefault="00B4351F" w:rsidP="00B4562C">
                  <w:pPr>
                    <w:spacing w:after="60" w:line="240" w:lineRule="auto"/>
                    <w:rPr>
                      <w:sz w:val="20"/>
                      <w:szCs w:val="20"/>
                    </w:rPr>
                  </w:pPr>
                  <w:r w:rsidRPr="00B4562C">
                    <w:rPr>
                      <w:sz w:val="20"/>
                      <w:szCs w:val="20"/>
                    </w:rPr>
                    <w:t>Indirect payments</w:t>
                  </w:r>
                </w:p>
              </w:txbxContent>
            </v:textbox>
          </v:shape>
        </w:pict>
      </w:r>
      <w:r w:rsidR="000D756D">
        <w:rPr>
          <w:rFonts w:ascii="Arial" w:hAnsi="Arial" w:cs="Arial"/>
          <w:noProof/>
          <w:sz w:val="24"/>
          <w:szCs w:val="24"/>
          <w:lang w:val="en-US"/>
        </w:rPr>
        <w:drawing>
          <wp:inline distT="0" distB="0" distL="0" distR="0">
            <wp:extent cx="5486400" cy="342900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351F2C" w:rsidRDefault="00C47C3B" w:rsidP="00B4562C">
      <w:pPr>
        <w:spacing w:after="0" w:line="240" w:lineRule="auto"/>
        <w:rPr>
          <w:rFonts w:ascii="Arial" w:hAnsi="Arial" w:cs="Arial"/>
          <w:sz w:val="24"/>
          <w:szCs w:val="24"/>
          <w:highlight w:val="yellow"/>
        </w:rPr>
      </w:pPr>
      <w:r>
        <w:rPr>
          <w:rFonts w:ascii="Arial" w:hAnsi="Arial" w:cs="Arial"/>
          <w:noProof/>
          <w:sz w:val="24"/>
          <w:szCs w:val="24"/>
          <w:lang w:val="en-US"/>
        </w:rPr>
        <w:pict>
          <v:shape id="_x0000_s1916" type="#_x0000_t32" style="position:absolute;margin-left:7.95pt;margin-top:1.65pt;width:58.5pt;height:0;z-index:251706880" o:connectortype="straight" strokeweight="31e-5mm">
            <v:stroke endarrow="block"/>
          </v:shape>
        </w:pict>
      </w:r>
    </w:p>
    <w:p w:rsidR="00B4562C" w:rsidRDefault="00C47C3B" w:rsidP="00B4562C">
      <w:pPr>
        <w:spacing w:after="0" w:line="240" w:lineRule="auto"/>
        <w:rPr>
          <w:rFonts w:ascii="Arial" w:hAnsi="Arial" w:cs="Arial"/>
          <w:sz w:val="24"/>
          <w:szCs w:val="24"/>
          <w:highlight w:val="yellow"/>
        </w:rPr>
      </w:pPr>
      <w:r>
        <w:rPr>
          <w:rFonts w:ascii="Arial" w:hAnsi="Arial" w:cs="Arial"/>
          <w:noProof/>
          <w:sz w:val="24"/>
          <w:szCs w:val="24"/>
          <w:lang w:val="en-US"/>
        </w:rPr>
        <w:pict>
          <v:shape id="_x0000_s1917" type="#_x0000_t32" style="position:absolute;margin-left:7.95pt;margin-top:-.15pt;width:58.5pt;height:0;z-index:251707904" o:connectortype="straight" strokeweight="31e-5mm">
            <v:stroke dashstyle="dash" endarrow="block"/>
          </v:shape>
        </w:pict>
      </w:r>
    </w:p>
    <w:p w:rsidR="00B4562C" w:rsidRPr="00445F77" w:rsidRDefault="00B4562C" w:rsidP="00B4562C">
      <w:pPr>
        <w:spacing w:after="0" w:line="240" w:lineRule="auto"/>
        <w:rPr>
          <w:rFonts w:ascii="Arial" w:hAnsi="Arial" w:cs="Arial"/>
          <w:sz w:val="24"/>
          <w:szCs w:val="24"/>
          <w:highlight w:val="yellow"/>
        </w:rPr>
      </w:pPr>
    </w:p>
    <w:p w:rsidR="00351F2C" w:rsidRPr="00445F77" w:rsidRDefault="00351F2C" w:rsidP="00A256CB">
      <w:pPr>
        <w:spacing w:after="0"/>
        <w:rPr>
          <w:rFonts w:ascii="Arial" w:hAnsi="Arial" w:cs="Arial"/>
          <w:i/>
          <w:color w:val="1F497D"/>
          <w:sz w:val="24"/>
          <w:szCs w:val="24"/>
        </w:rPr>
      </w:pPr>
      <w:r w:rsidRPr="00445F77">
        <w:rPr>
          <w:rFonts w:ascii="Arial" w:hAnsi="Arial" w:cs="Arial"/>
          <w:i/>
          <w:color w:val="1F497D"/>
          <w:sz w:val="24"/>
          <w:szCs w:val="24"/>
        </w:rPr>
        <w:t>Linking benefits to performance</w:t>
      </w: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In theory, payments made under PFES schemes are tied to performance (e.g., Wunder 2005).  Yet in practice, very few schemes link payments to measured performance (Bond et al.  2009: 10).</w:t>
      </w:r>
      <w:r w:rsidRPr="00EC1298">
        <w:rPr>
          <w:rStyle w:val="FootnoteReference"/>
          <w:rFonts w:ascii="Book Antiqua" w:hAnsi="Book Antiqua" w:cs="Arial"/>
        </w:rPr>
        <w:footnoteReference w:id="27"/>
      </w:r>
      <w:r w:rsidRPr="00EC1298">
        <w:rPr>
          <w:rFonts w:ascii="Book Antiqua" w:hAnsi="Book Antiqua" w:cs="Arial"/>
        </w:rPr>
        <w:t xml:space="preserve">  Many suffer from constraints on human and financial resources that severely limit their capacity for effective monitoring either through remote imagery or field inspections.  The PFES schemes being developed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have explored ways to link payments to measured performance, even though their attempts remain very preliminary due the novelty of the two schemes.  The Son Lan and Lam Dong scheme in principle disburse payments to forest managers </w:t>
      </w:r>
      <w:r w:rsidRPr="00EC1298">
        <w:rPr>
          <w:rFonts w:ascii="Book Antiqua" w:hAnsi="Book Antiqua" w:cs="Arial"/>
          <w:i/>
        </w:rPr>
        <w:t>ex post</w:t>
      </w:r>
      <w:r w:rsidRPr="00EC1298">
        <w:rPr>
          <w:rFonts w:ascii="Book Antiqua" w:hAnsi="Book Antiqua" w:cs="Arial"/>
        </w:rPr>
        <w:t>, that is, after the performance was delivered.  Yet, neither the Son La nor the Lam Dong scheme measures actual performance in terms of hydrological services.</w:t>
      </w:r>
      <w:r w:rsidRPr="00EC1298">
        <w:rPr>
          <w:rStyle w:val="FootnoteReference"/>
          <w:rFonts w:ascii="Book Antiqua" w:hAnsi="Book Antiqua" w:cs="Arial"/>
        </w:rPr>
        <w:footnoteReference w:id="28"/>
      </w:r>
      <w:r w:rsidRPr="00EC1298">
        <w:rPr>
          <w:rFonts w:ascii="Book Antiqua" w:hAnsi="Book Antiqua" w:cs="Arial"/>
        </w:rPr>
        <w:t xml:space="preserve">  They instead rely on the monitoring of forest management practices through inspections on the ground.</w:t>
      </w:r>
      <w:r w:rsidRPr="00EC1298">
        <w:rPr>
          <w:rStyle w:val="FootnoteReference"/>
          <w:rFonts w:ascii="Book Antiqua" w:hAnsi="Book Antiqua" w:cs="Arial"/>
        </w:rPr>
        <w:footnoteReference w:id="29"/>
      </w:r>
      <w:r w:rsidRPr="00EC1298">
        <w:rPr>
          <w:rFonts w:ascii="Book Antiqua" w:hAnsi="Book Antiqua" w:cs="Arial"/>
        </w:rPr>
        <w:t xml:space="preserve">  In addition, time has to show if they will effectively exclude non-performing forest managers from payments.  </w:t>
      </w:r>
    </w:p>
    <w:p w:rsidR="00351F2C" w:rsidRPr="00EC1298" w:rsidRDefault="00351F2C" w:rsidP="00A256CB">
      <w:pPr>
        <w:spacing w:after="0" w:line="300" w:lineRule="atLeast"/>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The two schemes have developed different institutional structures for the disbursement of payments and monitoring of performance.  The Son La scheme appears to separate the entities handling payments from those monitoring performance.</w:t>
      </w:r>
      <w:r w:rsidRPr="00EC1298">
        <w:rPr>
          <w:rStyle w:val="FootnoteReference"/>
          <w:rFonts w:ascii="Book Antiqua" w:hAnsi="Book Antiqua" w:cs="Arial"/>
        </w:rPr>
        <w:footnoteReference w:id="30"/>
      </w:r>
      <w:r w:rsidRPr="00EC1298">
        <w:rPr>
          <w:rFonts w:ascii="Book Antiqua" w:hAnsi="Book Antiqua" w:cs="Arial"/>
        </w:rPr>
        <w:t xml:space="preserve">  FPUs undertake </w:t>
      </w:r>
      <w:r w:rsidRPr="00EC1298">
        <w:rPr>
          <w:rFonts w:ascii="Book Antiqua" w:hAnsi="Book Antiqua" w:cs="Arial"/>
        </w:rPr>
        <w:lastRenderedPageBreak/>
        <w:t>monitoring as part of their regular operations.  Management boards at commune, district and provincial levels handle the disbursement of payments.  In Lam Dong, PAMBs are in charge of both disbursements and quarterly inspections of contracted forests.  Their double function creates a conflict of interests and may easily lead to problems in performance monitoring, as the experience from 661 projects demonstrates.</w:t>
      </w:r>
    </w:p>
    <w:p w:rsidR="00351F2C" w:rsidRPr="00EC1298" w:rsidRDefault="00351F2C" w:rsidP="00A256CB">
      <w:pPr>
        <w:spacing w:after="0" w:line="300" w:lineRule="atLeast"/>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Internationally, the Mexico </w:t>
      </w:r>
      <w:r w:rsidR="0074733F">
        <w:rPr>
          <w:rFonts w:ascii="Book Antiqua" w:hAnsi="Book Antiqua" w:cs="Arial"/>
        </w:rPr>
        <w:t>Payment for Environmental and Hydrological Services (</w:t>
      </w:r>
      <w:r w:rsidRPr="00EC1298">
        <w:rPr>
          <w:rFonts w:ascii="Book Antiqua" w:hAnsi="Book Antiqua" w:cs="Arial"/>
        </w:rPr>
        <w:t>PEHS</w:t>
      </w:r>
      <w:r w:rsidR="0074733F">
        <w:rPr>
          <w:rFonts w:ascii="Book Antiqua" w:hAnsi="Book Antiqua" w:cs="Arial"/>
        </w:rPr>
        <w:t>)</w:t>
      </w:r>
      <w:r w:rsidRPr="00EC1298">
        <w:rPr>
          <w:rFonts w:ascii="Book Antiqua" w:hAnsi="Book Antiqua" w:cs="Arial"/>
        </w:rPr>
        <w:t xml:space="preserve"> scheme started to use high resolution satellite images for land use monitoring only several years after its inception (Karousakis 2007: 27-28).  Even where schemes include systematic monitoring, such as in </w:t>
      </w:r>
      <w:smartTag w:uri="urn:schemas-microsoft-com:office:smarttags" w:element="country-region">
        <w:smartTag w:uri="urn:schemas-microsoft-com:office:smarttags" w:element="place">
          <w:r w:rsidRPr="00EC1298">
            <w:rPr>
              <w:rFonts w:ascii="Book Antiqua" w:hAnsi="Book Antiqua" w:cs="Arial"/>
            </w:rPr>
            <w:t>Costa Rica</w:t>
          </w:r>
        </w:smartTag>
      </w:smartTag>
      <w:r w:rsidRPr="00EC1298">
        <w:rPr>
          <w:rFonts w:ascii="Book Antiqua" w:hAnsi="Book Antiqua" w:cs="Arial"/>
        </w:rPr>
        <w:t xml:space="preserve">, they enforce compliance with land use restrictions in exceptional cases only.  They do so typically by excluding non-compliant recipients from future payments (e.g., Alban and Wunder 2008; Asquith et al.  2008: 679).  Attempts to recover payments once they have been disbursed are extremely exceptional.  In </w:t>
      </w:r>
      <w:smartTag w:uri="urn:schemas-microsoft-com:office:smarttags" w:element="country-region">
        <w:smartTag w:uri="urn:schemas-microsoft-com:office:smarttags" w:element="place">
          <w:r w:rsidRPr="00EC1298">
            <w:rPr>
              <w:rFonts w:ascii="Book Antiqua" w:hAnsi="Book Antiqua" w:cs="Arial"/>
            </w:rPr>
            <w:t>Costa Rica</w:t>
          </w:r>
        </w:smartTag>
      </w:smartTag>
      <w:r w:rsidRPr="00EC1298">
        <w:rPr>
          <w:rFonts w:ascii="Book Antiqua" w:hAnsi="Book Antiqua" w:cs="Arial"/>
        </w:rPr>
        <w:t>, the PFES contracts do not even specify an explicit penalty for non-compliance.  Only a fraction of offenders were actually brought to sentence through civil lawsuits for breach of contract (Karousakis 2007: 23).</w:t>
      </w:r>
    </w:p>
    <w:p w:rsidR="00351F2C" w:rsidRPr="00EC1298" w:rsidRDefault="00351F2C" w:rsidP="00A256CB">
      <w:pPr>
        <w:spacing w:after="0" w:line="300" w:lineRule="atLeast"/>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Two small PES schemes in </w:t>
      </w:r>
      <w:smartTag w:uri="urn:schemas-microsoft-com:office:smarttags" w:element="country-region">
        <w:smartTag w:uri="urn:schemas-microsoft-com:office:smarttags" w:element="place">
          <w:r w:rsidRPr="00EC1298">
            <w:rPr>
              <w:rFonts w:ascii="Book Antiqua" w:hAnsi="Book Antiqua" w:cs="Arial"/>
            </w:rPr>
            <w:t>Ecuador</w:t>
          </w:r>
        </w:smartTag>
      </w:smartTag>
      <w:r w:rsidRPr="00EC1298">
        <w:rPr>
          <w:rFonts w:ascii="Book Antiqua" w:hAnsi="Book Antiqua" w:cs="Arial"/>
        </w:rPr>
        <w:t xml:space="preserve"> indicate how payments can be linked to performance.  The Pimampiro scheme excluded nine families from payments temporarily in its second year and another four families permanently due to non-compliance with their contractual obligations.  Yet even in this case, the scheme did not demand payments back once they have been disbursed.  The </w:t>
      </w:r>
      <w:r w:rsidR="0074733F" w:rsidRPr="001358CE">
        <w:rPr>
          <w:rFonts w:ascii="Book Antiqua" w:hAnsi="Book Antiqua" w:cs="Arial"/>
          <w:lang w:val="en-US"/>
        </w:rPr>
        <w:t xml:space="preserve">Forests Absorbing Carbon-dioxide Emissions Forestation </w:t>
      </w:r>
      <w:r w:rsidR="0074733F">
        <w:rPr>
          <w:rFonts w:ascii="Book Antiqua" w:hAnsi="Book Antiqua" w:cs="Arial"/>
          <w:lang w:val="en-US"/>
        </w:rPr>
        <w:t>Programme</w:t>
      </w:r>
      <w:r w:rsidR="0074733F" w:rsidRPr="001358CE">
        <w:rPr>
          <w:rFonts w:ascii="Book Antiqua" w:hAnsi="Book Antiqua" w:cs="Arial"/>
          <w:lang w:val="en-US"/>
        </w:rPr>
        <w:t xml:space="preserve"> </w:t>
      </w:r>
      <w:r w:rsidR="0074733F">
        <w:rPr>
          <w:rFonts w:ascii="Book Antiqua" w:hAnsi="Book Antiqua" w:cs="Arial"/>
          <w:lang w:val="en-US"/>
        </w:rPr>
        <w:t>(</w:t>
      </w:r>
      <w:r w:rsidRPr="00EC1298">
        <w:rPr>
          <w:rFonts w:ascii="Book Antiqua" w:hAnsi="Book Antiqua" w:cs="Arial"/>
        </w:rPr>
        <w:t>PROFAFOR</w:t>
      </w:r>
      <w:r w:rsidR="0074733F">
        <w:rPr>
          <w:rFonts w:ascii="Book Antiqua" w:hAnsi="Book Antiqua" w:cs="Arial"/>
        </w:rPr>
        <w:t>)</w:t>
      </w:r>
      <w:r w:rsidRPr="00EC1298">
        <w:rPr>
          <w:rFonts w:ascii="Book Antiqua" w:hAnsi="Book Antiqua" w:cs="Arial"/>
        </w:rPr>
        <w:t xml:space="preserve"> similarly reports that contracts have been cancelled or modified in cases of evident and severe non-compliance.  The scheme enjoys some added leverage over participating individual owners by withholding 20% of payments until the 3</w:t>
      </w:r>
      <w:r w:rsidRPr="00EC1298">
        <w:rPr>
          <w:rFonts w:ascii="Book Antiqua" w:hAnsi="Book Antiqua" w:cs="Arial"/>
          <w:vertAlign w:val="superscript"/>
        </w:rPr>
        <w:t>rd</w:t>
      </w:r>
      <w:r w:rsidRPr="00EC1298">
        <w:rPr>
          <w:rFonts w:ascii="Book Antiqua" w:hAnsi="Book Antiqua" w:cs="Arial"/>
        </w:rPr>
        <w:t xml:space="preserve"> year and establishing a lien on their land (Alban and Wunder 2008).</w:t>
      </w:r>
    </w:p>
    <w:p w:rsidR="00351F2C" w:rsidRPr="00EC1298" w:rsidRDefault="00351F2C" w:rsidP="00A256CB">
      <w:pPr>
        <w:spacing w:after="0" w:line="300" w:lineRule="atLeast"/>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The agricultural payments funded by the European Union demonstrate a more systematic but also highly resource-intensive approach to enforcing compliance.  Since the introduction of cross-compliance in 2005, all member states are required to carry out controls on at least 1% of all farmers submitting aid applications.  They carry out inspections on farms, on average requiring the work of two inspectors for one day.  The inspectors use a checklist of farmers’ obligations to guide the inspection.  Their reports are fed into an evaluation matrix or scoring system whereby each type of non-compliance or breach is assigned a score or rating.  The scores or ratings are then sued to calculate the percentage reduction of payment, ranging from 1-3% for minor, negligent non-compliances to a complete cut of payments for intentional breaches or if inspections are refused (Alliance Environnement 2007: xiv-xv).</w:t>
      </w:r>
    </w:p>
    <w:p w:rsidR="00351F2C" w:rsidRPr="00445F77" w:rsidRDefault="00351F2C" w:rsidP="00A256CB">
      <w:pPr>
        <w:spacing w:after="0" w:line="300" w:lineRule="atLeast"/>
        <w:rPr>
          <w:rFonts w:ascii="Arial" w:hAnsi="Arial" w:cs="Arial"/>
          <w:sz w:val="24"/>
          <w:szCs w:val="24"/>
        </w:rPr>
      </w:pPr>
    </w:p>
    <w:p w:rsidR="00351F2C" w:rsidRPr="00445F77" w:rsidRDefault="00351F2C" w:rsidP="00A256CB">
      <w:pPr>
        <w:spacing w:after="0" w:line="300" w:lineRule="atLeast"/>
        <w:jc w:val="both"/>
        <w:rPr>
          <w:rFonts w:ascii="Arial" w:hAnsi="Arial" w:cs="Arial"/>
          <w:i/>
          <w:color w:val="1F497D"/>
          <w:sz w:val="24"/>
          <w:szCs w:val="24"/>
        </w:rPr>
      </w:pPr>
      <w:r w:rsidRPr="00445F77">
        <w:rPr>
          <w:rFonts w:ascii="Arial" w:hAnsi="Arial" w:cs="Arial"/>
          <w:i/>
          <w:color w:val="1F497D"/>
          <w:sz w:val="24"/>
          <w:szCs w:val="24"/>
        </w:rPr>
        <w:t>Analysis</w:t>
      </w: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 xml:space="preserve">The PFES schemes in Son La and Lam Dong employ more </w:t>
      </w:r>
      <w:r w:rsidRPr="00EC1298">
        <w:rPr>
          <w:rFonts w:ascii="Book Antiqua" w:hAnsi="Book Antiqua" w:cs="Arial"/>
          <w:u w:val="single"/>
        </w:rPr>
        <w:t>decentralized governance structures</w:t>
      </w:r>
      <w:r w:rsidRPr="00EC1298">
        <w:rPr>
          <w:rFonts w:ascii="Book Antiqua" w:hAnsi="Book Antiqua" w:cs="Arial"/>
        </w:rPr>
        <w:t xml:space="preserve"> than the 661 </w:t>
      </w:r>
      <w:r w:rsidR="00480D3D">
        <w:rPr>
          <w:rFonts w:ascii="Book Antiqua" w:hAnsi="Book Antiqua" w:cs="Arial"/>
        </w:rPr>
        <w:t>Programme</w:t>
      </w:r>
      <w:r w:rsidRPr="00EC1298">
        <w:rPr>
          <w:rFonts w:ascii="Book Antiqua" w:hAnsi="Book Antiqua" w:cs="Arial"/>
        </w:rPr>
        <w:t xml:space="preserve"> and reforestation projects.  Both schemes receive funding through the provincial FPDFs and not the central government budget</w:t>
      </w:r>
      <w:r w:rsidRPr="00EC1298">
        <w:rPr>
          <w:rStyle w:val="text"/>
          <w:rFonts w:ascii="Book Antiqua" w:hAnsi="Book Antiqua" w:cs="Arial"/>
        </w:rPr>
        <w:t>.  P</w:t>
      </w:r>
      <w:r w:rsidRPr="00EC1298">
        <w:rPr>
          <w:rFonts w:ascii="Book Antiqua" w:hAnsi="Book Antiqua" w:cs="Arial"/>
        </w:rPr>
        <w:t>rovincial steering committees have significant leverage on key decisions, such as the kinds of eligible recipients, their operational structures, and the definition of “K-factors”.</w:t>
      </w:r>
    </w:p>
    <w:p w:rsidR="00351F2C" w:rsidRPr="00EC1298" w:rsidRDefault="00351F2C" w:rsidP="00EC1298">
      <w:pPr>
        <w:spacing w:after="0" w:line="300" w:lineRule="exact"/>
        <w:rPr>
          <w:rFonts w:ascii="Book Antiqua" w:hAnsi="Book Antiqua" w:cs="Arial"/>
        </w:rPr>
      </w:pP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lastRenderedPageBreak/>
        <w:t xml:space="preserve">Taken together, the PFES schemes demonstrate the possibility to disburse payments to </w:t>
      </w:r>
      <w:r w:rsidRPr="00EC1298">
        <w:rPr>
          <w:rFonts w:ascii="Book Antiqua" w:hAnsi="Book Antiqua" w:cs="Arial"/>
          <w:u w:val="single"/>
        </w:rPr>
        <w:t>various kinds of recipients</w:t>
      </w:r>
      <w:r w:rsidRPr="00EC1298">
        <w:rPr>
          <w:rFonts w:ascii="Book Antiqua" w:hAnsi="Book Antiqua" w:cs="Arial"/>
        </w:rPr>
        <w:t xml:space="preserve">.  In this way, they go beyond the focus on individual households characterizing the 661 </w:t>
      </w:r>
      <w:r w:rsidR="00480D3D">
        <w:rPr>
          <w:rFonts w:ascii="Book Antiqua" w:hAnsi="Book Antiqua" w:cs="Arial"/>
        </w:rPr>
        <w:t>Programme</w:t>
      </w:r>
      <w:r w:rsidRPr="00EC1298">
        <w:rPr>
          <w:rFonts w:ascii="Book Antiqua" w:hAnsi="Book Antiqua" w:cs="Arial"/>
        </w:rPr>
        <w:t xml:space="preserve"> and the large reforestation projects.  At the same time, the two PFES schemes target different kinds of recipients in the two provinces.  The Son La scheme contracts individual households, household groups, village communities and social organizations for the provision of ecosystem services.  The Lam Dong scheme basically works with household groups only, even though all members have to confirm the receipt of payments made to groups.</w:t>
      </w:r>
    </w:p>
    <w:p w:rsidR="00351F2C" w:rsidRPr="00EC1298" w:rsidRDefault="00351F2C" w:rsidP="00EC1298">
      <w:pPr>
        <w:spacing w:after="0" w:line="300" w:lineRule="exact"/>
        <w:rPr>
          <w:rFonts w:ascii="Book Antiqua" w:hAnsi="Book Antiqua" w:cs="Arial"/>
        </w:rPr>
      </w:pP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The schemes demonstrate the value of decentralized decision-making for matching distribution of benefits with local variation in the provision of ecosystem services.  At the same time, they highlight two key issues that still need to be resolved.  First, the voluntary nature of the payments contracts remains unclear in both provinces.  The Son La scheme envisions distributing benefits to all forest owners in the two pilot districts, indicating the contracts will be compulsory.  The Lam Dong scheme pays villagers for the protection of natural forests to which they have no legal rights.  In both schemes, therefore, forest managers are unlikely to make decisions about the uptake of forest protection contracts in a manner that reflects their actual willingness to provide the contracted services as well as their opportunity costs for doing so.  The absence of voluntariness is likely to lead to inefficient use of forest protection funds.</w:t>
      </w:r>
    </w:p>
    <w:p w:rsidR="00351F2C" w:rsidRPr="00EC1298" w:rsidRDefault="00351F2C" w:rsidP="00EC1298">
      <w:pPr>
        <w:spacing w:after="0" w:line="300" w:lineRule="exact"/>
        <w:rPr>
          <w:rFonts w:ascii="Book Antiqua" w:hAnsi="Book Antiqua" w:cs="Arial"/>
        </w:rPr>
      </w:pP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 xml:space="preserve">Second, the principle of differentiated payments conflicts with the common practice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to provide equal payments.  It may encounter significant skepticism by villagers and government officials about the benefits of such a practice (see also Section 5.3).  This is the experience of the Lam Dong PFES scheme, as it created significant confusion among recipients about the reasons for payments at different levels. In fact, principle of social equity was strongly influenced the way PFES policy was initially implemented in Lam Dong. When the policy implementation was started in the province, local authorities of Lam Dong decided to retain about 20% of the revenues derived from ES buyers with aim to use it to distribute it to poor people from the areas in the province who are not service providers. However, this plan was strongly resisted by the central government, as the central government would like to see actual results of policy implementation without any modification before the policy is scaled up to a PFES Decree and adopted nationwide</w:t>
      </w:r>
      <w:r w:rsidRPr="00EC1298">
        <w:rPr>
          <w:rStyle w:val="FootnoteReference"/>
          <w:rFonts w:ascii="Book Antiqua" w:hAnsi="Book Antiqua" w:cs="Arial"/>
        </w:rPr>
        <w:footnoteReference w:id="31"/>
      </w:r>
      <w:r w:rsidRPr="00EC1298">
        <w:rPr>
          <w:rFonts w:ascii="Book Antiqua" w:hAnsi="Book Antiqua" w:cs="Arial"/>
        </w:rPr>
        <w:t>. However, our communication with the decree drafting team members reveals that the team members will provide some flexibility so that marginalized people could be included into payment schemes. If such flexibility is not achieved, there will be problem. The Director of the Lam Dong Department of Forestry expects that the introduction of differentiated payments will be a serious political issue if the policy should be scaled up.</w:t>
      </w:r>
    </w:p>
    <w:p w:rsidR="00351F2C" w:rsidRPr="00EC1298" w:rsidRDefault="00351F2C" w:rsidP="00EC1298">
      <w:pPr>
        <w:spacing w:after="0" w:line="300" w:lineRule="exact"/>
        <w:rPr>
          <w:rFonts w:ascii="Book Antiqua" w:hAnsi="Book Antiqua" w:cs="Arial"/>
        </w:rPr>
      </w:pP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 xml:space="preserve">The two PFES schemes also highlight the critical importance of land tenure in two important ways. First, Son La conducted province-wide forestland allocation in the early 2000s, transferring forestland rights to various kinds of owners.  As a result, forest owners include individual households, household groups, village communities and social </w:t>
      </w:r>
      <w:r w:rsidRPr="00EC1298">
        <w:rPr>
          <w:rFonts w:ascii="Book Antiqua" w:hAnsi="Book Antiqua" w:cs="Arial"/>
        </w:rPr>
        <w:lastRenderedPageBreak/>
        <w:t>organizations in Son La today.  The PFES scheme consequently contracts multiple kinds of forest owners for the protection of natural forest.  In contrast, the PFES scheme in Lam Dong contracts household groups for the protection of forestland owned by PAMBs.  It seeks to provide significant financial benefits to participating households, as illustrated by a recent decision of the provincial PC to cancel forest protection contracts with 28 police units on 19,000 ha and award them to 700 households instead.  Yet households do not enjoy any rights to the contracted land, resembling the common practice in 661 Projects to hire households as laborers for the protection of natural forests.</w:t>
      </w:r>
    </w:p>
    <w:p w:rsidR="00351F2C" w:rsidRPr="00EC1298" w:rsidRDefault="00351F2C" w:rsidP="00EC1298">
      <w:pPr>
        <w:spacing w:after="0" w:line="300" w:lineRule="exact"/>
        <w:jc w:val="both"/>
        <w:rPr>
          <w:rFonts w:ascii="Book Antiqua" w:hAnsi="Book Antiqua" w:cs="Arial"/>
        </w:rPr>
      </w:pP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Second, both provinces highlight the need to resolve critical issues surrounding forestland tenure.  The key issue in Lam Dong is forestland distribution, i.e.., the transfer of forestland from state entities (</w:t>
      </w:r>
      <w:r w:rsidR="003A6A8D">
        <w:rPr>
          <w:rFonts w:ascii="Book Antiqua" w:hAnsi="Book Antiqua" w:cs="Arial"/>
        </w:rPr>
        <w:t>SOC</w:t>
      </w:r>
      <w:r w:rsidRPr="00EC1298">
        <w:rPr>
          <w:rFonts w:ascii="Book Antiqua" w:hAnsi="Book Antiqua" w:cs="Arial"/>
        </w:rPr>
        <w:t xml:space="preserve">s and PAMBs) to households and village communities.  The key issue in Son La is the resolution of disputes over forestland.  Disputes between migrants and new settlers are frequent in Son La, as the province has been the location of numerous small and two large hydropower projects in recent years. In addition, conflicts between </w:t>
      </w:r>
      <w:r w:rsidR="003A6A8D">
        <w:rPr>
          <w:rFonts w:ascii="Book Antiqua" w:hAnsi="Book Antiqua" w:cs="Arial"/>
        </w:rPr>
        <w:t>SOC</w:t>
      </w:r>
      <w:r w:rsidRPr="00EC1298">
        <w:rPr>
          <w:rFonts w:ascii="Book Antiqua" w:hAnsi="Book Antiqua" w:cs="Arial"/>
        </w:rPr>
        <w:t>s holding legal titles and villagers claiming customary rights to forests are as common in Son La as in other provinces (cf. Sikor 2004; Hoang 2007).</w:t>
      </w:r>
    </w:p>
    <w:p w:rsidR="00351F2C" w:rsidRPr="00EC1298" w:rsidRDefault="00351F2C" w:rsidP="00EC1298">
      <w:pPr>
        <w:spacing w:after="0" w:line="300" w:lineRule="exact"/>
        <w:jc w:val="both"/>
        <w:rPr>
          <w:rFonts w:ascii="Book Antiqua" w:hAnsi="Book Antiqua" w:cs="Arial"/>
        </w:rPr>
      </w:pP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 xml:space="preserve">Overall, both PFES schemes are highly innovative within the </w:t>
      </w:r>
      <w:r w:rsidR="00480D3D">
        <w:rPr>
          <w:rFonts w:ascii="Book Antiqua" w:hAnsi="Book Antiqua" w:cs="Arial"/>
        </w:rPr>
        <w:t>Vietnamese</w:t>
      </w:r>
      <w:r w:rsidRPr="00EC1298">
        <w:rPr>
          <w:rFonts w:ascii="Book Antiqua" w:hAnsi="Book Antiqua" w:cs="Arial"/>
        </w:rPr>
        <w:t xml:space="preserve"> context and promise to yield valuable lessons for the design of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’s </w:t>
      </w:r>
      <w:r w:rsidR="00480D3D">
        <w:rPr>
          <w:rFonts w:ascii="Book Antiqua" w:hAnsi="Book Antiqua" w:cs="Arial"/>
        </w:rPr>
        <w:t>REDD+</w:t>
      </w:r>
      <w:r w:rsidRPr="00EC1298">
        <w:rPr>
          <w:rFonts w:ascii="Book Antiqua" w:hAnsi="Book Antiqua" w:cs="Arial"/>
        </w:rPr>
        <w:t xml:space="preserve"> </w:t>
      </w:r>
      <w:r w:rsidR="00480D3D">
        <w:rPr>
          <w:rFonts w:ascii="Book Antiqua" w:hAnsi="Book Antiqua" w:cs="Arial"/>
        </w:rPr>
        <w:t>programme</w:t>
      </w:r>
      <w:r w:rsidRPr="00EC1298">
        <w:rPr>
          <w:rFonts w:ascii="Book Antiqua" w:hAnsi="Book Antiqua" w:cs="Arial"/>
        </w:rPr>
        <w:t>.  There is an urgent need to commission independent evaluation of the initial experiences made in the two provinces.</w:t>
      </w:r>
    </w:p>
    <w:p w:rsidR="00351F2C" w:rsidRPr="00EC1298" w:rsidRDefault="00351F2C" w:rsidP="00EC1298">
      <w:pPr>
        <w:tabs>
          <w:tab w:val="left" w:pos="0"/>
        </w:tabs>
        <w:spacing w:after="0" w:line="300" w:lineRule="exact"/>
        <w:rPr>
          <w:rFonts w:ascii="Book Antiqua" w:hAnsi="Book Antiqua" w:cs="Arial"/>
        </w:rPr>
      </w:pP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 xml:space="preserve">The insights from Son La and Lam Dong are much too preliminary, however, to provide firm lessons on how </w:t>
      </w:r>
      <w:r w:rsidR="00480D3D">
        <w:rPr>
          <w:rFonts w:ascii="Book Antiqua" w:hAnsi="Book Antiqua" w:cs="Arial"/>
        </w:rPr>
        <w:t>REDD+</w:t>
      </w:r>
      <w:r w:rsidRPr="00EC1298">
        <w:rPr>
          <w:rFonts w:ascii="Book Antiqua" w:hAnsi="Book Antiqua" w:cs="Arial"/>
        </w:rPr>
        <w:t xml:space="preserve"> payments may be linked to performance in the future.  The Son La scheme may indicate how a future institutional structure can look like, yet it also requires further testing and thorough assessment.</w:t>
      </w:r>
    </w:p>
    <w:p w:rsidR="00351F2C" w:rsidRPr="00445F77" w:rsidRDefault="00351F2C" w:rsidP="00A256CB">
      <w:pPr>
        <w:spacing w:after="0" w:line="300" w:lineRule="atLeast"/>
        <w:rPr>
          <w:rFonts w:ascii="Arial" w:hAnsi="Arial" w:cs="Arial"/>
          <w:sz w:val="24"/>
          <w:szCs w:val="24"/>
        </w:rPr>
      </w:pPr>
    </w:p>
    <w:p w:rsidR="00351F2C" w:rsidRPr="00445F77" w:rsidRDefault="00351F2C" w:rsidP="00A256CB">
      <w:pPr>
        <w:pStyle w:val="Heading3"/>
        <w:rPr>
          <w:rStyle w:val="Heading2Char"/>
          <w:rFonts w:ascii="Arial" w:hAnsi="Arial" w:cs="Arial"/>
          <w:i w:val="0"/>
          <w:iCs/>
          <w:sz w:val="24"/>
          <w:szCs w:val="24"/>
        </w:rPr>
      </w:pPr>
      <w:bookmarkStart w:id="70" w:name="_Toc244586166"/>
      <w:r w:rsidRPr="00445F77">
        <w:rPr>
          <w:rFonts w:ascii="Arial" w:hAnsi="Arial" w:cs="Arial"/>
          <w:i w:val="0"/>
          <w:iCs/>
        </w:rPr>
        <w:t xml:space="preserve">2.5 </w:t>
      </w:r>
      <w:r w:rsidRPr="00445F77">
        <w:rPr>
          <w:rStyle w:val="Heading2Char"/>
          <w:rFonts w:ascii="Arial" w:hAnsi="Arial" w:cs="Arial"/>
          <w:i w:val="0"/>
          <w:iCs/>
          <w:sz w:val="24"/>
          <w:szCs w:val="24"/>
        </w:rPr>
        <w:t>National-level coordination of donor projects and the Trust Fund for Forests</w:t>
      </w:r>
      <w:bookmarkEnd w:id="70"/>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Since early 2000s, most support from international donors to </w:t>
      </w:r>
      <w:smartTag w:uri="urn:schemas-microsoft-com:office:smarttags" w:element="place">
        <w:smartTag w:uri="urn:schemas-microsoft-com:office:smarttags" w:element="country-region">
          <w:r w:rsidRPr="00EC1298">
            <w:rPr>
              <w:rFonts w:ascii="Book Antiqua" w:hAnsi="Book Antiqua" w:cs="Arial"/>
            </w:rPr>
            <w:t>Viet Nam</w:t>
          </w:r>
        </w:smartTag>
      </w:smartTag>
      <w:r w:rsidRPr="00EC1298">
        <w:rPr>
          <w:rFonts w:ascii="Book Antiqua" w:hAnsi="Book Antiqua" w:cs="Arial"/>
        </w:rPr>
        <w:t>’s forestry sector were channelled through the Forest Sector Support Partnership (FSSP)</w:t>
      </w:r>
      <w:r w:rsidRPr="00EC1298">
        <w:rPr>
          <w:rStyle w:val="FootnoteReference"/>
          <w:rFonts w:ascii="Book Antiqua" w:hAnsi="Book Antiqua" w:cs="Arial"/>
        </w:rPr>
        <w:footnoteReference w:id="32"/>
      </w:r>
      <w:r w:rsidRPr="00EC1298">
        <w:rPr>
          <w:rFonts w:ascii="Book Antiqua" w:hAnsi="Book Antiqua" w:cs="Arial"/>
        </w:rPr>
        <w:t>. The initiative was set up in November 2001, with the idea to better target international support to the needs of the forestry sector. The idea has been widely supported and the number of international partners to join FSSP has increased from 19 in 2001 to 25 at the moment.</w:t>
      </w:r>
    </w:p>
    <w:p w:rsidR="00351F2C" w:rsidRPr="00EC1298" w:rsidRDefault="00351F2C" w:rsidP="00A256CB">
      <w:pPr>
        <w:spacing w:after="0" w:line="300" w:lineRule="atLeast"/>
        <w:jc w:val="both"/>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The objectives of the FSSP are:</w:t>
      </w:r>
    </w:p>
    <w:p w:rsidR="00351F2C" w:rsidRPr="00EC1298" w:rsidRDefault="00351F2C" w:rsidP="00A256CB">
      <w:pPr>
        <w:spacing w:after="0" w:line="300" w:lineRule="atLeast"/>
        <w:jc w:val="both"/>
        <w:rPr>
          <w:rFonts w:ascii="Book Antiqua" w:hAnsi="Book Antiqua" w:cs="Arial"/>
        </w:rPr>
      </w:pPr>
    </w:p>
    <w:p w:rsidR="00351F2C" w:rsidRPr="00EC1298" w:rsidRDefault="00EC1298" w:rsidP="003E3CBA">
      <w:pPr>
        <w:numPr>
          <w:ilvl w:val="0"/>
          <w:numId w:val="45"/>
        </w:numPr>
        <w:tabs>
          <w:tab w:val="clear" w:pos="720"/>
          <w:tab w:val="num" w:pos="360"/>
        </w:tabs>
        <w:spacing w:after="0" w:line="300" w:lineRule="atLeast"/>
        <w:ind w:left="360"/>
        <w:jc w:val="both"/>
        <w:rPr>
          <w:rFonts w:ascii="Book Antiqua" w:hAnsi="Book Antiqua" w:cs="Arial"/>
        </w:rPr>
      </w:pPr>
      <w:r>
        <w:rPr>
          <w:rFonts w:ascii="Book Antiqua" w:hAnsi="Book Antiqua" w:cs="Arial"/>
        </w:rPr>
        <w:t>T</w:t>
      </w:r>
      <w:r w:rsidR="00351F2C" w:rsidRPr="00EC1298">
        <w:rPr>
          <w:rFonts w:ascii="Book Antiqua" w:hAnsi="Book Antiqua" w:cs="Arial"/>
        </w:rPr>
        <w:t xml:space="preserve">o put in place arrangements for continued collaboration in support of the forest sector of </w:t>
      </w:r>
      <w:smartTag w:uri="urn:schemas-microsoft-com:office:smarttags" w:element="country-region">
        <w:smartTag w:uri="urn:schemas-microsoft-com:office:smarttags" w:element="place">
          <w:r w:rsidR="00480D3D">
            <w:rPr>
              <w:rFonts w:ascii="Book Antiqua" w:hAnsi="Book Antiqua" w:cs="Arial"/>
            </w:rPr>
            <w:t>Viet Nam</w:t>
          </w:r>
        </w:smartTag>
      </w:smartTag>
      <w:r w:rsidR="00351F2C" w:rsidRPr="00EC1298">
        <w:rPr>
          <w:rFonts w:ascii="Book Antiqua" w:hAnsi="Book Antiqua" w:cs="Arial"/>
        </w:rPr>
        <w:t xml:space="preserve"> on the basis of agreed policies, strategies, priorities and principles of implementation</w:t>
      </w:r>
    </w:p>
    <w:p w:rsidR="00351F2C" w:rsidRPr="00EC1298" w:rsidRDefault="00EC1298" w:rsidP="003E3CBA">
      <w:pPr>
        <w:numPr>
          <w:ilvl w:val="0"/>
          <w:numId w:val="45"/>
        </w:numPr>
        <w:tabs>
          <w:tab w:val="clear" w:pos="720"/>
          <w:tab w:val="num" w:pos="360"/>
        </w:tabs>
        <w:spacing w:after="0" w:line="300" w:lineRule="atLeast"/>
        <w:ind w:left="360"/>
        <w:jc w:val="both"/>
        <w:rPr>
          <w:rFonts w:ascii="Book Antiqua" w:hAnsi="Book Antiqua" w:cs="Arial"/>
        </w:rPr>
      </w:pPr>
      <w:r>
        <w:rPr>
          <w:rFonts w:ascii="Book Antiqua" w:hAnsi="Book Antiqua" w:cs="Arial"/>
        </w:rPr>
        <w:t>T</w:t>
      </w:r>
      <w:r w:rsidR="00351F2C" w:rsidRPr="00EC1298">
        <w:rPr>
          <w:rFonts w:ascii="Book Antiqua" w:hAnsi="Book Antiqua" w:cs="Arial"/>
        </w:rPr>
        <w:t xml:space="preserve">o share a commitment to the sustainable management of forests and the conservation of biodiversity to achieve: (a) protection of the environment; (b) improved livelihood of people in forest areas; and (c) enhanced contribution of forestry to the national economy. </w:t>
      </w:r>
    </w:p>
    <w:p w:rsidR="00351F2C" w:rsidRPr="00EC1298" w:rsidRDefault="00EC1298" w:rsidP="003E3CBA">
      <w:pPr>
        <w:numPr>
          <w:ilvl w:val="0"/>
          <w:numId w:val="45"/>
        </w:numPr>
        <w:tabs>
          <w:tab w:val="clear" w:pos="720"/>
          <w:tab w:val="num" w:pos="360"/>
        </w:tabs>
        <w:spacing w:after="0" w:line="300" w:lineRule="atLeast"/>
        <w:ind w:left="360"/>
        <w:jc w:val="both"/>
        <w:rPr>
          <w:rFonts w:ascii="Book Antiqua" w:hAnsi="Book Antiqua" w:cs="Arial"/>
        </w:rPr>
      </w:pPr>
      <w:r>
        <w:rPr>
          <w:rFonts w:ascii="Book Antiqua" w:hAnsi="Book Antiqua" w:cs="Arial"/>
        </w:rPr>
        <w:lastRenderedPageBreak/>
        <w:t>T</w:t>
      </w:r>
      <w:r w:rsidR="00351F2C" w:rsidRPr="00EC1298">
        <w:rPr>
          <w:rFonts w:ascii="Book Antiqua" w:hAnsi="Book Antiqua" w:cs="Arial"/>
        </w:rPr>
        <w:t xml:space="preserve">o maximize effectiveness and efficiency in the use of all resources applied to the sector. A key effectiveness is greater harmonization of policies and </w:t>
      </w:r>
      <w:r w:rsidR="00480D3D">
        <w:rPr>
          <w:rFonts w:ascii="Book Antiqua" w:hAnsi="Book Antiqua" w:cs="Arial"/>
        </w:rPr>
        <w:t>programme</w:t>
      </w:r>
      <w:r w:rsidR="00351F2C" w:rsidRPr="00EC1298">
        <w:rPr>
          <w:rFonts w:ascii="Book Antiqua" w:hAnsi="Book Antiqua" w:cs="Arial"/>
        </w:rPr>
        <w:t>s in the context of shared objectives for the sector.</w:t>
      </w:r>
    </w:p>
    <w:p w:rsidR="00351F2C" w:rsidRPr="00EC1298" w:rsidRDefault="00351F2C" w:rsidP="00A256CB">
      <w:pPr>
        <w:autoSpaceDE w:val="0"/>
        <w:autoSpaceDN w:val="0"/>
        <w:adjustRightInd w:val="0"/>
        <w:spacing w:after="0" w:line="300" w:lineRule="atLeast"/>
        <w:jc w:val="both"/>
        <w:rPr>
          <w:rFonts w:ascii="Book Antiqua" w:hAnsi="Book Antiqua" w:cs="Arial"/>
        </w:rPr>
      </w:pPr>
    </w:p>
    <w:p w:rsidR="00351F2C" w:rsidRPr="00EC1298" w:rsidRDefault="00351F2C" w:rsidP="00FB753B">
      <w:pPr>
        <w:autoSpaceDE w:val="0"/>
        <w:autoSpaceDN w:val="0"/>
        <w:adjustRightInd w:val="0"/>
        <w:spacing w:after="0" w:line="300" w:lineRule="atLeast"/>
        <w:jc w:val="both"/>
        <w:rPr>
          <w:rFonts w:ascii="Book Antiqua" w:hAnsi="Book Antiqua" w:cs="Arial"/>
        </w:rPr>
      </w:pPr>
      <w:r w:rsidRPr="00EC1298">
        <w:rPr>
          <w:rFonts w:ascii="Book Antiqua" w:hAnsi="Book Antiqua" w:cs="Arial"/>
        </w:rPr>
        <w:t xml:space="preserve">One of the activities currently overseen by the FSSP is the Trust Fund for Forests (TFF).  The </w:t>
      </w:r>
      <w:r w:rsidRPr="00EC1298">
        <w:rPr>
          <w:rFonts w:ascii="Book Antiqua" w:hAnsi="Book Antiqua" w:cs="Arial"/>
          <w:bCs/>
          <w:iCs/>
        </w:rPr>
        <w:t xml:space="preserve">TFF was established in June 2004 with the signature of a Memorandum of Understanding (MoU) between the </w:t>
      </w:r>
      <w:r w:rsidR="00480D3D">
        <w:rPr>
          <w:rFonts w:ascii="Book Antiqua" w:hAnsi="Book Antiqua" w:cs="Arial"/>
          <w:bCs/>
          <w:iCs/>
        </w:rPr>
        <w:t>GoV</w:t>
      </w:r>
      <w:r w:rsidRPr="00EC1298">
        <w:rPr>
          <w:rFonts w:ascii="Book Antiqua" w:hAnsi="Book Antiqua" w:cs="Arial"/>
          <w:bCs/>
          <w:iCs/>
        </w:rPr>
        <w:t xml:space="preserve"> and the Governments of Finland, the </w:t>
      </w:r>
      <w:smartTag w:uri="urn:schemas-microsoft-com:office:smarttags" w:element="country-region">
        <w:r w:rsidRPr="00EC1298">
          <w:rPr>
            <w:rFonts w:ascii="Book Antiqua" w:hAnsi="Book Antiqua" w:cs="Arial"/>
            <w:bCs/>
            <w:iCs/>
          </w:rPr>
          <w:t>Netherlands</w:t>
        </w:r>
      </w:smartTag>
      <w:r w:rsidRPr="00EC1298">
        <w:rPr>
          <w:rFonts w:ascii="Book Antiqua" w:hAnsi="Book Antiqua" w:cs="Arial"/>
          <w:bCs/>
          <w:iCs/>
        </w:rPr>
        <w:t xml:space="preserve">, </w:t>
      </w:r>
      <w:smartTag w:uri="urn:schemas-microsoft-com:office:smarttags" w:element="country-region">
        <w:r w:rsidRPr="00EC1298">
          <w:rPr>
            <w:rFonts w:ascii="Book Antiqua" w:hAnsi="Book Antiqua" w:cs="Arial"/>
            <w:bCs/>
            <w:iCs/>
          </w:rPr>
          <w:t>Sweden</w:t>
        </w:r>
      </w:smartTag>
      <w:r w:rsidRPr="00EC1298">
        <w:rPr>
          <w:rFonts w:ascii="Book Antiqua" w:hAnsi="Book Antiqua" w:cs="Arial"/>
          <w:bCs/>
          <w:iCs/>
        </w:rPr>
        <w:t xml:space="preserve"> and </w:t>
      </w:r>
      <w:smartTag w:uri="urn:schemas-microsoft-com:office:smarttags" w:element="country-region">
        <w:smartTag w:uri="urn:schemas-microsoft-com:office:smarttags" w:element="place">
          <w:r w:rsidRPr="00EC1298">
            <w:rPr>
              <w:rFonts w:ascii="Book Antiqua" w:hAnsi="Book Antiqua" w:cs="Arial"/>
              <w:bCs/>
              <w:iCs/>
            </w:rPr>
            <w:t>Switzerland</w:t>
          </w:r>
        </w:smartTag>
      </w:smartTag>
      <w:r w:rsidRPr="00EC1298">
        <w:rPr>
          <w:rFonts w:ascii="Book Antiqua" w:hAnsi="Book Antiqua" w:cs="Arial"/>
          <w:bCs/>
          <w:iCs/>
        </w:rPr>
        <w:t xml:space="preserve">. This is a new financing mechanism, pooling funds from four donors to address priorities of the forestry sector with regard to pro-poor sustainable forest management.  It is also in line with a move towards a sector wide approach to </w:t>
      </w:r>
      <w:r w:rsidR="0074733F">
        <w:rPr>
          <w:rFonts w:ascii="Book Antiqua" w:hAnsi="Book Antiqua" w:cs="Arial"/>
          <w:bCs/>
          <w:iCs/>
        </w:rPr>
        <w:t>Overseas Development Assistance (</w:t>
      </w:r>
      <w:r w:rsidRPr="00EC1298">
        <w:rPr>
          <w:rFonts w:ascii="Book Antiqua" w:hAnsi="Book Antiqua" w:cs="Arial"/>
          <w:bCs/>
          <w:iCs/>
        </w:rPr>
        <w:t>ODA</w:t>
      </w:r>
      <w:r w:rsidR="0074733F">
        <w:rPr>
          <w:rFonts w:ascii="Book Antiqua" w:hAnsi="Book Antiqua" w:cs="Arial"/>
          <w:bCs/>
          <w:iCs/>
        </w:rPr>
        <w:t>)</w:t>
      </w:r>
      <w:r w:rsidRPr="00EC1298">
        <w:rPr>
          <w:rFonts w:ascii="Book Antiqua" w:hAnsi="Book Antiqua" w:cs="Arial"/>
          <w:bCs/>
          <w:iCs/>
        </w:rPr>
        <w:t xml:space="preserve"> support, reduction of transaction costs, and aligning with administration and planning systems of the </w:t>
      </w:r>
      <w:r w:rsidR="00480D3D">
        <w:rPr>
          <w:rFonts w:ascii="Book Antiqua" w:hAnsi="Book Antiqua" w:cs="Arial"/>
          <w:bCs/>
          <w:iCs/>
        </w:rPr>
        <w:t>GoV</w:t>
      </w:r>
      <w:r w:rsidRPr="00EC1298">
        <w:rPr>
          <w:rFonts w:ascii="Book Antiqua" w:hAnsi="Book Antiqua" w:cs="Arial"/>
          <w:bCs/>
          <w:iCs/>
        </w:rPr>
        <w:t xml:space="preserve"> </w:t>
      </w:r>
      <w:r w:rsidR="00C47C3B" w:rsidRPr="00EC1298">
        <w:rPr>
          <w:rFonts w:ascii="Book Antiqua" w:hAnsi="Book Antiqua" w:cs="Arial"/>
          <w:bCs/>
          <w:iCs/>
        </w:rPr>
        <w:fldChar w:fldCharType="begin"/>
      </w:r>
      <w:r w:rsidRPr="00EC1298">
        <w:rPr>
          <w:rFonts w:ascii="Book Antiqua" w:hAnsi="Book Antiqua" w:cs="Arial"/>
          <w:bCs/>
          <w:iCs/>
        </w:rPr>
        <w:instrText xml:space="preserve"> QUOTE "(Trust Fund for Forests 2008)" </w:instrText>
      </w:r>
      <w:r w:rsidR="00C47C3B" w:rsidRPr="00EC1298">
        <w:rPr>
          <w:rFonts w:ascii="Book Antiqua" w:hAnsi="Book Antiqua" w:cs="Arial"/>
          <w:bCs/>
          <w:iCs/>
          <w:vanish/>
        </w:rPr>
        <w:fldChar w:fldCharType="begin"/>
      </w:r>
      <w:r w:rsidRPr="00EC1298">
        <w:rPr>
          <w:rFonts w:ascii="Book Antiqua" w:hAnsi="Book Antiqua" w:cs="Arial"/>
          <w:bCs/>
          <w:iCs/>
          <w:vanish/>
        </w:rPr>
        <w:instrText xml:space="preserve"> ADDIN REFMAN ÿ\11\05‘\19\01\00\00\00\1D(Trust Fund for Forests 2008)\00\1D\00cC:\5CDocuments and Settings\5CAdministrator\5CDesktop\5CUN-REDD study\5COwn documents\5CUN-REDD study reference\03\00\018!Trust Fund for Forests 2008 8 /id\00!\00 </w:instrText>
      </w:r>
      <w:r w:rsidR="00C47C3B" w:rsidRPr="00EC1298">
        <w:rPr>
          <w:rFonts w:ascii="Book Antiqua" w:hAnsi="Book Antiqua" w:cs="Arial"/>
          <w:bCs/>
          <w:iCs/>
          <w:vanish/>
        </w:rPr>
        <w:fldChar w:fldCharType="end"/>
      </w:r>
      <w:r w:rsidR="00C47C3B" w:rsidRPr="00EC1298">
        <w:rPr>
          <w:rFonts w:ascii="Book Antiqua" w:hAnsi="Book Antiqua" w:cs="Arial"/>
          <w:bCs/>
          <w:iCs/>
        </w:rPr>
        <w:fldChar w:fldCharType="separate"/>
      </w:r>
      <w:r w:rsidRPr="00EC1298">
        <w:rPr>
          <w:rFonts w:ascii="Book Antiqua" w:hAnsi="Book Antiqua" w:cs="Arial"/>
          <w:bCs/>
          <w:iCs/>
        </w:rPr>
        <w:t>(Trust Fund for Forests 2008)</w:t>
      </w:r>
      <w:r w:rsidR="00C47C3B" w:rsidRPr="00EC1298">
        <w:rPr>
          <w:rFonts w:ascii="Book Antiqua" w:hAnsi="Book Antiqua" w:cs="Arial"/>
          <w:bCs/>
          <w:iCs/>
        </w:rPr>
        <w:fldChar w:fldCharType="end"/>
      </w:r>
      <w:r w:rsidRPr="00EC1298">
        <w:rPr>
          <w:rFonts w:ascii="Book Antiqua" w:hAnsi="Book Antiqua" w:cs="Arial"/>
          <w:bCs/>
          <w:iCs/>
        </w:rPr>
        <w:t xml:space="preserve">. </w:t>
      </w:r>
      <w:r w:rsidRPr="00EC1298">
        <w:rPr>
          <w:rFonts w:ascii="Book Antiqua" w:hAnsi="Book Antiqua" w:cs="Arial"/>
        </w:rPr>
        <w:t xml:space="preserve">TFF has financed three main types of interventions: </w:t>
      </w:r>
    </w:p>
    <w:p w:rsidR="00351F2C" w:rsidRPr="00EC1298" w:rsidRDefault="00351F2C" w:rsidP="00FB753B">
      <w:pPr>
        <w:autoSpaceDE w:val="0"/>
        <w:autoSpaceDN w:val="0"/>
        <w:adjustRightInd w:val="0"/>
        <w:spacing w:after="0" w:line="300" w:lineRule="atLeast"/>
        <w:jc w:val="both"/>
        <w:rPr>
          <w:rFonts w:ascii="Book Antiqua" w:hAnsi="Book Antiqua" w:cs="Arial"/>
        </w:rPr>
      </w:pPr>
    </w:p>
    <w:p w:rsidR="00351F2C" w:rsidRPr="00EC1298" w:rsidRDefault="00351F2C" w:rsidP="00FB753B">
      <w:pPr>
        <w:numPr>
          <w:ilvl w:val="0"/>
          <w:numId w:val="42"/>
        </w:numPr>
        <w:tabs>
          <w:tab w:val="clear" w:pos="720"/>
          <w:tab w:val="num" w:pos="360"/>
        </w:tabs>
        <w:autoSpaceDE w:val="0"/>
        <w:autoSpaceDN w:val="0"/>
        <w:adjustRightInd w:val="0"/>
        <w:spacing w:after="0" w:line="300" w:lineRule="atLeast"/>
        <w:ind w:left="360"/>
        <w:jc w:val="both"/>
        <w:rPr>
          <w:rFonts w:ascii="Book Antiqua" w:hAnsi="Book Antiqua" w:cs="Arial"/>
        </w:rPr>
      </w:pPr>
      <w:r w:rsidRPr="00EC1298">
        <w:rPr>
          <w:rFonts w:ascii="Book Antiqua" w:hAnsi="Book Antiqua" w:cs="Arial"/>
        </w:rPr>
        <w:t xml:space="preserve">Preparation of policy tools, such as degrees, decisions, circulars, strategies and training curricula </w:t>
      </w:r>
    </w:p>
    <w:p w:rsidR="00351F2C" w:rsidRPr="00EC1298" w:rsidRDefault="00351F2C" w:rsidP="00FB753B">
      <w:pPr>
        <w:numPr>
          <w:ilvl w:val="0"/>
          <w:numId w:val="42"/>
        </w:numPr>
        <w:tabs>
          <w:tab w:val="clear" w:pos="720"/>
          <w:tab w:val="num" w:pos="360"/>
        </w:tabs>
        <w:autoSpaceDE w:val="0"/>
        <w:autoSpaceDN w:val="0"/>
        <w:adjustRightInd w:val="0"/>
        <w:spacing w:after="0" w:line="300" w:lineRule="atLeast"/>
        <w:ind w:left="360"/>
        <w:jc w:val="both"/>
        <w:rPr>
          <w:rFonts w:ascii="Book Antiqua" w:hAnsi="Book Antiqua" w:cs="Arial"/>
        </w:rPr>
      </w:pPr>
      <w:r w:rsidRPr="00EC1298">
        <w:rPr>
          <w:rFonts w:ascii="Book Antiqua" w:hAnsi="Book Antiqua" w:cs="Arial"/>
        </w:rPr>
        <w:t>Piloting of potential new policy tools</w:t>
      </w:r>
    </w:p>
    <w:p w:rsidR="00351F2C" w:rsidRPr="00EC1298" w:rsidRDefault="00351F2C" w:rsidP="00FB753B">
      <w:pPr>
        <w:numPr>
          <w:ilvl w:val="0"/>
          <w:numId w:val="42"/>
        </w:numPr>
        <w:tabs>
          <w:tab w:val="clear" w:pos="720"/>
          <w:tab w:val="num" w:pos="360"/>
        </w:tabs>
        <w:autoSpaceDE w:val="0"/>
        <w:autoSpaceDN w:val="0"/>
        <w:adjustRightInd w:val="0"/>
        <w:spacing w:after="0" w:line="300" w:lineRule="atLeast"/>
        <w:ind w:left="360"/>
        <w:jc w:val="both"/>
        <w:rPr>
          <w:rFonts w:ascii="Book Antiqua" w:hAnsi="Book Antiqua" w:cs="Arial"/>
        </w:rPr>
      </w:pPr>
      <w:r w:rsidRPr="00EC1298">
        <w:rPr>
          <w:rFonts w:ascii="Book Antiqua" w:hAnsi="Book Antiqua" w:cs="Arial"/>
        </w:rPr>
        <w:t xml:space="preserve">Mainstreaming and up-scaling the implementation of already approved policy tools with a policy feed-back link (learning and improving policies if found necessary) </w:t>
      </w:r>
    </w:p>
    <w:p w:rsidR="00351F2C" w:rsidRPr="00EC1298" w:rsidRDefault="00351F2C" w:rsidP="00FB753B">
      <w:pPr>
        <w:spacing w:after="0" w:line="300" w:lineRule="atLeast"/>
        <w:jc w:val="both"/>
        <w:rPr>
          <w:rFonts w:ascii="Book Antiqua" w:hAnsi="Book Antiqua" w:cs="Arial"/>
        </w:rPr>
      </w:pPr>
    </w:p>
    <w:p w:rsidR="00351F2C" w:rsidRPr="00EC1298" w:rsidRDefault="00351F2C" w:rsidP="00FB753B">
      <w:pPr>
        <w:spacing w:after="0" w:line="300" w:lineRule="atLeast"/>
        <w:jc w:val="both"/>
        <w:rPr>
          <w:rFonts w:ascii="Book Antiqua" w:hAnsi="Book Antiqua" w:cs="Arial"/>
        </w:rPr>
      </w:pPr>
      <w:r w:rsidRPr="00EC1298">
        <w:rPr>
          <w:rFonts w:ascii="Book Antiqua" w:hAnsi="Book Antiqua" w:cs="Arial"/>
        </w:rPr>
        <w:t xml:space="preserve">At the moment, total financing commitments by donors to TFF is around 32.6 million EUR, of which EUR 31.5 million have been approved to 28 projects (8 on-going or to be mobilized and 20 have been closed). Of the 28 approved projects, co-financing two large ones constitutes 66% of the total funding. TFF has contributed to a project portfolio with total volume of 30,831,038 EUR. Together with other co-financing sources, total budgets to TFF project portfolio sum up to 135.787 million EUR, which implies a leverage of almost 105 million EUR additional financing or 340% of TFF own volume </w:t>
      </w:r>
      <w:r w:rsidR="00C47C3B" w:rsidRPr="00EC1298">
        <w:rPr>
          <w:rFonts w:ascii="Book Antiqua" w:hAnsi="Book Antiqua" w:cs="Arial"/>
        </w:rPr>
        <w:fldChar w:fldCharType="begin"/>
      </w:r>
      <w:r w:rsidRPr="00EC1298">
        <w:rPr>
          <w:rFonts w:ascii="Book Antiqua" w:hAnsi="Book Antiqua" w:cs="Arial"/>
        </w:rPr>
        <w:instrText xml:space="preserve"> QUOTE "(Indufor and VICA 2009)" </w:instrText>
      </w:r>
      <w:r w:rsidR="00C47C3B" w:rsidRPr="00EC1298">
        <w:rPr>
          <w:rFonts w:ascii="Book Antiqua" w:hAnsi="Book Antiqua" w:cs="Arial"/>
          <w:vanish/>
        </w:rPr>
        <w:fldChar w:fldCharType="begin"/>
      </w:r>
      <w:r w:rsidRPr="00EC1298">
        <w:rPr>
          <w:rFonts w:ascii="Book Antiqua" w:hAnsi="Book Antiqua" w:cs="Arial"/>
          <w:vanish/>
        </w:rPr>
        <w:instrText xml:space="preserve"> ADDIN REFMAN ÿ\11\05‘\19\01\00\00\00\17(Indufor and VICA 2009)\00\17\00cC:\5CDocuments and Settings\5CAdministrator\5CDesktop\5CUN-REDD study\5COwn documents\5CUN-REDD study reference\03\00\019\19Indufor &amp; VICA 2009 9 /id\00\19\00 </w:instrText>
      </w:r>
      <w:r w:rsidR="00C47C3B" w:rsidRPr="00EC1298">
        <w:rPr>
          <w:rFonts w:ascii="Book Antiqua" w:hAnsi="Book Antiqua" w:cs="Arial"/>
          <w:vanish/>
        </w:rPr>
        <w:fldChar w:fldCharType="end"/>
      </w:r>
      <w:r w:rsidR="00C47C3B" w:rsidRPr="00EC1298">
        <w:rPr>
          <w:rFonts w:ascii="Book Antiqua" w:hAnsi="Book Antiqua" w:cs="Arial"/>
        </w:rPr>
        <w:fldChar w:fldCharType="separate"/>
      </w:r>
      <w:r w:rsidRPr="00EC1298">
        <w:rPr>
          <w:rFonts w:ascii="Book Antiqua" w:hAnsi="Book Antiqua" w:cs="Arial"/>
        </w:rPr>
        <w:t>(Indufor and VICA 2009)</w:t>
      </w:r>
      <w:r w:rsidR="00C47C3B" w:rsidRPr="00EC1298">
        <w:rPr>
          <w:rFonts w:ascii="Book Antiqua" w:hAnsi="Book Antiqua" w:cs="Arial"/>
        </w:rPr>
        <w:fldChar w:fldCharType="end"/>
      </w:r>
      <w:r w:rsidR="00EC1298" w:rsidRPr="00EC1298">
        <w:rPr>
          <w:rFonts w:ascii="Book Antiqua" w:hAnsi="Book Antiqua" w:cs="Arial"/>
        </w:rPr>
        <w:t>.</w:t>
      </w:r>
      <w:r w:rsidRPr="00EC1298">
        <w:rPr>
          <w:rFonts w:ascii="Book Antiqua" w:hAnsi="Book Antiqua" w:cs="Arial"/>
        </w:rPr>
        <w:t xml:space="preserve"> </w:t>
      </w:r>
    </w:p>
    <w:p w:rsidR="00351F2C" w:rsidRPr="00445F77" w:rsidRDefault="00351F2C" w:rsidP="00FB753B">
      <w:pPr>
        <w:autoSpaceDE w:val="0"/>
        <w:autoSpaceDN w:val="0"/>
        <w:adjustRightInd w:val="0"/>
        <w:spacing w:after="0" w:line="300" w:lineRule="atLeast"/>
        <w:jc w:val="both"/>
        <w:rPr>
          <w:rFonts w:ascii="Arial" w:hAnsi="Arial" w:cs="Arial"/>
          <w:sz w:val="24"/>
          <w:szCs w:val="24"/>
        </w:rPr>
      </w:pPr>
    </w:p>
    <w:p w:rsidR="00351F2C" w:rsidRPr="00445F77" w:rsidRDefault="00351F2C" w:rsidP="00FB753B">
      <w:pPr>
        <w:autoSpaceDE w:val="0"/>
        <w:autoSpaceDN w:val="0"/>
        <w:adjustRightInd w:val="0"/>
        <w:spacing w:after="0" w:line="300" w:lineRule="atLeast"/>
        <w:jc w:val="both"/>
        <w:rPr>
          <w:rFonts w:ascii="Arial" w:hAnsi="Arial" w:cs="Arial"/>
          <w:i/>
          <w:color w:val="1F497D"/>
          <w:sz w:val="24"/>
          <w:szCs w:val="24"/>
        </w:rPr>
      </w:pPr>
      <w:r w:rsidRPr="00445F77">
        <w:rPr>
          <w:rFonts w:ascii="Arial" w:hAnsi="Arial" w:cs="Arial"/>
          <w:i/>
          <w:color w:val="1F497D"/>
          <w:sz w:val="24"/>
          <w:szCs w:val="24"/>
        </w:rPr>
        <w:t>Analysis</w:t>
      </w:r>
    </w:p>
    <w:p w:rsidR="00351F2C" w:rsidRDefault="00351F2C" w:rsidP="00FB753B">
      <w:pPr>
        <w:spacing w:after="0" w:line="300" w:lineRule="atLeast"/>
        <w:jc w:val="both"/>
        <w:rPr>
          <w:rFonts w:ascii="Book Antiqua" w:hAnsi="Book Antiqua" w:cs="Arial"/>
        </w:rPr>
      </w:pPr>
      <w:r w:rsidRPr="00EC1298">
        <w:rPr>
          <w:rFonts w:ascii="Book Antiqua" w:hAnsi="Book Antiqua" w:cs="Arial"/>
        </w:rPr>
        <w:t xml:space="preserve">In May-June 2009, an evaluation of TFF was conducted. Main findings of the evaluation are presented in </w:t>
      </w:r>
      <w:r w:rsidR="00B4562C">
        <w:t>Box 2.4</w:t>
      </w:r>
      <w:r w:rsidRPr="00EC1298">
        <w:rPr>
          <w:rFonts w:ascii="Book Antiqua" w:hAnsi="Book Antiqua" w:cs="Arial"/>
        </w:rPr>
        <w:t>. The evaluation looked at the issue of integration or merger of TFF into FPDF. It concluded that integration was more feasible of the two options as advantages of integration exceed the advantages of the merger option and the disadvantages of integration option are smaller particularly in view of the fiduciary risks of the two options. The evaluation mission’s recommendation was to integrate TFF with FPDF in a manner that maintained the TFF’s autonomy and present (new) regulations, operation</w:t>
      </w:r>
      <w:r w:rsidR="00FB753B">
        <w:rPr>
          <w:rFonts w:ascii="Book Antiqua" w:hAnsi="Book Antiqua" w:cs="Arial"/>
        </w:rPr>
        <w:t>.</w:t>
      </w:r>
    </w:p>
    <w:p w:rsidR="00FB753B" w:rsidRDefault="00FB753B" w:rsidP="00FB753B">
      <w:pPr>
        <w:spacing w:after="0" w:line="300" w:lineRule="atLeast"/>
        <w:jc w:val="both"/>
        <w:rPr>
          <w:rFonts w:ascii="Book Antiqua" w:hAnsi="Book Antiqua" w:cs="Arial"/>
        </w:rPr>
      </w:pPr>
    </w:p>
    <w:p w:rsidR="00FB753B" w:rsidRPr="008F6D17" w:rsidRDefault="00FB753B" w:rsidP="00FB753B">
      <w:pPr>
        <w:pStyle w:val="Heading3"/>
        <w:spacing w:before="0" w:after="0"/>
        <w:rPr>
          <w:rFonts w:ascii="Arial" w:hAnsi="Arial" w:cs="Arial"/>
          <w:bCs w:val="0"/>
          <w:i w:val="0"/>
        </w:rPr>
      </w:pPr>
      <w:bookmarkStart w:id="71" w:name="_Toc244586205"/>
      <w:r w:rsidRPr="008F6D17">
        <w:rPr>
          <w:rFonts w:ascii="Arial" w:hAnsi="Arial" w:cs="Arial"/>
          <w:i w:val="0"/>
        </w:rPr>
        <w:t>2.6 GTZ-supported community forestry projects</w:t>
      </w:r>
      <w:bookmarkEnd w:id="71"/>
    </w:p>
    <w:p w:rsidR="00FB753B" w:rsidRDefault="00FB753B" w:rsidP="00FB753B">
      <w:pPr>
        <w:spacing w:after="0" w:line="300" w:lineRule="atLeast"/>
        <w:jc w:val="both"/>
        <w:rPr>
          <w:rFonts w:ascii="Book Antiqua" w:hAnsi="Book Antiqua" w:cs="Arial"/>
        </w:rPr>
      </w:pPr>
      <w:r w:rsidRPr="00795634">
        <w:rPr>
          <w:rFonts w:ascii="Book Antiqua" w:hAnsi="Book Antiqua" w:cs="Arial"/>
        </w:rPr>
        <w:t xml:space="preserve">Recent years have been witnessing a shift towards community forest management, with the rights over forest and forest resources being transferred to local communities. Since 1995, CF projects have been implemented in different forest areas in the country since often with financial and technical supports from International organizations among which GTZ is one of the key organizations (Wode and Bao Huy, 2009). Experiences and lessons-learned from these projects have served as a foundation for the formal recognition of </w:t>
      </w:r>
      <w:r w:rsidRPr="00795634">
        <w:rPr>
          <w:rFonts w:ascii="Book Antiqua" w:hAnsi="Book Antiqua" w:cs="Arial"/>
        </w:rPr>
        <w:lastRenderedPageBreak/>
        <w:t>community as a legal entity and consequently the allocation of forests to the entire communities.</w:t>
      </w:r>
    </w:p>
    <w:p w:rsidR="00FB753B" w:rsidRPr="00795634" w:rsidRDefault="00C47C3B" w:rsidP="00FB753B">
      <w:pPr>
        <w:spacing w:after="0" w:line="300" w:lineRule="atLeast"/>
        <w:jc w:val="both"/>
        <w:rPr>
          <w:rFonts w:ascii="Book Antiqua" w:hAnsi="Book Antiqua" w:cs="Arial"/>
        </w:rPr>
      </w:pPr>
      <w:r w:rsidRPr="00C47C3B">
        <w:rPr>
          <w:rFonts w:ascii="Arial" w:hAnsi="Arial" w:cs="Arial"/>
          <w:noProof/>
          <w:sz w:val="24"/>
          <w:szCs w:val="24"/>
          <w:lang w:eastAsia="zh-TW"/>
        </w:rPr>
        <w:pict>
          <v:shape id="_x0000_s1134" type="#_x0000_t202" style="position:absolute;left:0;text-align:left;margin-left:-4pt;margin-top:-24.6pt;width:468.25pt;height:351.75pt;z-index:251611648;mso-width-relative:margin;mso-height-relative:margin" fillcolor="#dbe5f1" strokeweight="1.5pt">
            <v:shadow on="t" color="#95b3d7" offset="4pt,4pt" offset2="4pt,4pt"/>
            <v:textbox style="mso-next-textbox:#_x0000_s1134">
              <w:txbxContent>
                <w:p w:rsidR="00B4351F" w:rsidRPr="002D076B" w:rsidRDefault="00B4351F" w:rsidP="00D7117B">
                  <w:pPr>
                    <w:pStyle w:val="Caption"/>
                    <w:spacing w:after="0"/>
                    <w:rPr>
                      <w:rFonts w:cs="ArialMT"/>
                    </w:rPr>
                  </w:pPr>
                  <w:bookmarkStart w:id="72" w:name="_Ref243802378"/>
                  <w:bookmarkStart w:id="73" w:name="_Toc243930036"/>
                  <w:smartTag w:uri="urn:schemas-microsoft-com:office:smarttags" w:element="address">
                    <w:smartTag w:uri="urn:schemas-microsoft-com:office:smarttags" w:element="Street">
                      <w:r w:rsidRPr="002D076B">
                        <w:t>Box</w:t>
                      </w:r>
                    </w:smartTag>
                    <w:r w:rsidRPr="002D076B">
                      <w:t xml:space="preserve"> </w:t>
                    </w:r>
                    <w:bookmarkEnd w:id="72"/>
                    <w:r>
                      <w:t>2.4</w:t>
                    </w:r>
                  </w:smartTag>
                  <w:r w:rsidRPr="002D076B">
                    <w:t>: Main findings and conclusions from the evaluation of TFF in 2009</w:t>
                  </w:r>
                  <w:bookmarkEnd w:id="73"/>
                </w:p>
                <w:p w:rsidR="00B4351F" w:rsidRPr="002D076B" w:rsidRDefault="00B4351F" w:rsidP="00A256CB">
                  <w:pPr>
                    <w:autoSpaceDE w:val="0"/>
                    <w:autoSpaceDN w:val="0"/>
                    <w:adjustRightInd w:val="0"/>
                    <w:spacing w:after="0" w:line="240" w:lineRule="auto"/>
                    <w:rPr>
                      <w:rFonts w:cs="Arial"/>
                      <w:b/>
                      <w:bCs/>
                      <w:i/>
                      <w:iCs/>
                      <w:sz w:val="20"/>
                    </w:rPr>
                  </w:pPr>
                  <w:r w:rsidRPr="002D076B">
                    <w:rPr>
                      <w:rFonts w:cs="Arial"/>
                      <w:b/>
                      <w:bCs/>
                      <w:i/>
                      <w:iCs/>
                      <w:sz w:val="20"/>
                    </w:rPr>
                    <w:t>General</w:t>
                  </w:r>
                </w:p>
                <w:p w:rsidR="00B4351F" w:rsidRPr="002D076B" w:rsidRDefault="00B4351F" w:rsidP="003E3CBA">
                  <w:pPr>
                    <w:numPr>
                      <w:ilvl w:val="0"/>
                      <w:numId w:val="15"/>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 xml:space="preserve">Effectiveness and efficiency in reaching goal and objectives reasonably good, except for the three largest projects </w:t>
                  </w:r>
                </w:p>
                <w:p w:rsidR="00B4351F" w:rsidRPr="002D076B" w:rsidRDefault="00B4351F" w:rsidP="003E3CBA">
                  <w:pPr>
                    <w:numPr>
                      <w:ilvl w:val="0"/>
                      <w:numId w:val="15"/>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Not possible to get information on future availability of financing through TFF</w:t>
                  </w:r>
                </w:p>
                <w:p w:rsidR="00B4351F" w:rsidRPr="002D076B" w:rsidRDefault="00B4351F" w:rsidP="003E3CBA">
                  <w:pPr>
                    <w:numPr>
                      <w:ilvl w:val="0"/>
                      <w:numId w:val="15"/>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TFF has been and is useful as a fund; one should not put too many and too high expectations on it; e.g. TFF and its Board of Directors are not the right scene for policy dialogue between donors and GoV/MARD (but for deciding on funding priorities Board of Directors is the right place)</w:t>
                  </w:r>
                </w:p>
                <w:p w:rsidR="00B4351F" w:rsidRPr="002D076B" w:rsidRDefault="00B4351F" w:rsidP="00A256CB">
                  <w:pPr>
                    <w:autoSpaceDE w:val="0"/>
                    <w:autoSpaceDN w:val="0"/>
                    <w:adjustRightInd w:val="0"/>
                    <w:spacing w:before="120" w:after="0" w:line="240" w:lineRule="auto"/>
                    <w:rPr>
                      <w:rFonts w:cs="Arial"/>
                      <w:b/>
                      <w:bCs/>
                      <w:i/>
                      <w:iCs/>
                      <w:sz w:val="20"/>
                    </w:rPr>
                  </w:pPr>
                  <w:r w:rsidRPr="002D076B">
                    <w:rPr>
                      <w:rFonts w:cs="Arial"/>
                      <w:b/>
                      <w:bCs/>
                      <w:i/>
                      <w:iCs/>
                      <w:sz w:val="20"/>
                    </w:rPr>
                    <w:t>Significant improvements in TFF instrument &amp; TFF management</w:t>
                  </w:r>
                </w:p>
                <w:p w:rsidR="00B4351F" w:rsidRPr="002D076B" w:rsidRDefault="00B4351F" w:rsidP="003E3CBA">
                  <w:pPr>
                    <w:numPr>
                      <w:ilvl w:val="0"/>
                      <w:numId w:val="16"/>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New TFF grant selection principles, based on the contribution of the support to the National Forest Development Strategy, which are clear and logical</w:t>
                  </w:r>
                </w:p>
                <w:p w:rsidR="00B4351F" w:rsidRPr="002D076B" w:rsidRDefault="00B4351F" w:rsidP="003E3CBA">
                  <w:pPr>
                    <w:numPr>
                      <w:ilvl w:val="0"/>
                      <w:numId w:val="16"/>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 xml:space="preserve">TFF (and FSSP) recognized also outside forest sector as an innovative model from which lessons are learned, also outside </w:t>
                  </w:r>
                  <w:r>
                    <w:rPr>
                      <w:rFonts w:cs="ArialMT"/>
                      <w:sz w:val="20"/>
                    </w:rPr>
                    <w:t>Viet Nam</w:t>
                  </w:r>
                </w:p>
                <w:p w:rsidR="00B4351F" w:rsidRPr="002D076B" w:rsidRDefault="00B4351F" w:rsidP="00A256CB">
                  <w:pPr>
                    <w:autoSpaceDE w:val="0"/>
                    <w:autoSpaceDN w:val="0"/>
                    <w:adjustRightInd w:val="0"/>
                    <w:spacing w:before="120" w:after="0" w:line="240" w:lineRule="auto"/>
                    <w:rPr>
                      <w:rFonts w:cs="Arial"/>
                      <w:b/>
                      <w:bCs/>
                      <w:i/>
                      <w:iCs/>
                      <w:sz w:val="20"/>
                    </w:rPr>
                  </w:pPr>
                  <w:r w:rsidRPr="002D076B">
                    <w:rPr>
                      <w:rFonts w:cs="Arial"/>
                      <w:b/>
                      <w:bCs/>
                      <w:i/>
                      <w:iCs/>
                      <w:sz w:val="20"/>
                    </w:rPr>
                    <w:t>Key constraint factors of TFF and its portfolio</w:t>
                  </w:r>
                </w:p>
                <w:p w:rsidR="00B4351F" w:rsidRPr="002D076B" w:rsidRDefault="00B4351F" w:rsidP="003E3CBA">
                  <w:pPr>
                    <w:numPr>
                      <w:ilvl w:val="0"/>
                      <w:numId w:val="17"/>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Limited coverage of TFF in the overall sectoral development and also in forest sector ODA</w:t>
                  </w:r>
                </w:p>
                <w:p w:rsidR="00B4351F" w:rsidRPr="002D076B" w:rsidRDefault="00B4351F" w:rsidP="003E3CBA">
                  <w:pPr>
                    <w:numPr>
                      <w:ilvl w:val="0"/>
                      <w:numId w:val="17"/>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Inability to attract additional donors / capture additional financing</w:t>
                  </w:r>
                </w:p>
                <w:p w:rsidR="00B4351F" w:rsidRPr="002D076B" w:rsidRDefault="00B4351F" w:rsidP="003E3CBA">
                  <w:pPr>
                    <w:numPr>
                      <w:ilvl w:val="0"/>
                      <w:numId w:val="17"/>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Sustainability</w:t>
                  </w:r>
                </w:p>
                <w:p w:rsidR="00B4351F" w:rsidRPr="002D076B" w:rsidRDefault="00B4351F" w:rsidP="003E3CBA">
                  <w:pPr>
                    <w:numPr>
                      <w:ilvl w:val="0"/>
                      <w:numId w:val="17"/>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Delays in mobilization of projects, disbursements and particularly in the use of available financing</w:t>
                  </w:r>
                </w:p>
                <w:p w:rsidR="00B4351F" w:rsidRPr="002D076B" w:rsidRDefault="00B4351F" w:rsidP="003E3CBA">
                  <w:pPr>
                    <w:numPr>
                      <w:ilvl w:val="0"/>
                      <w:numId w:val="17"/>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Co-financed TFF projects take large a share of the attention of the TFF MU and staff time</w:t>
                  </w:r>
                </w:p>
                <w:p w:rsidR="00B4351F" w:rsidRPr="002D076B" w:rsidRDefault="00B4351F" w:rsidP="003E3CBA">
                  <w:pPr>
                    <w:numPr>
                      <w:ilvl w:val="0"/>
                      <w:numId w:val="17"/>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Insufficient M&amp;E, and therefore insufficient documented information on TFF achievements in reaching TFF goal and objectives</w:t>
                  </w:r>
                </w:p>
                <w:p w:rsidR="00B4351F" w:rsidRPr="002D076B" w:rsidRDefault="00B4351F" w:rsidP="003E3CBA">
                  <w:pPr>
                    <w:numPr>
                      <w:ilvl w:val="0"/>
                      <w:numId w:val="17"/>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 xml:space="preserve">Insufficient exchange of information / lessons learning from projects; </w:t>
                  </w:r>
                </w:p>
                <w:p w:rsidR="00B4351F" w:rsidRPr="002D076B" w:rsidRDefault="00B4351F" w:rsidP="003E3CBA">
                  <w:pPr>
                    <w:numPr>
                      <w:ilvl w:val="0"/>
                      <w:numId w:val="17"/>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Forest Sector Support Partnership (FSSP) is acknowledged to be an excellent platform for that and it could be used systematically for feeding back information &amp; lessons</w:t>
                  </w:r>
                  <w:r w:rsidRPr="00910B14">
                    <w:rPr>
                      <w:rFonts w:cs="ArialMT"/>
                    </w:rPr>
                    <w:t xml:space="preserve"> from TFF </w:t>
                  </w:r>
                  <w:r w:rsidRPr="002D076B">
                    <w:rPr>
                      <w:rFonts w:cs="ArialMT"/>
                      <w:sz w:val="20"/>
                    </w:rPr>
                    <w:t>supported projects</w:t>
                  </w:r>
                </w:p>
                <w:p w:rsidR="00B4351F" w:rsidRPr="002D076B" w:rsidRDefault="00B4351F" w:rsidP="003E3CBA">
                  <w:pPr>
                    <w:numPr>
                      <w:ilvl w:val="0"/>
                      <w:numId w:val="17"/>
                    </w:numPr>
                    <w:tabs>
                      <w:tab w:val="clear" w:pos="720"/>
                      <w:tab w:val="num" w:pos="360"/>
                    </w:tabs>
                    <w:autoSpaceDE w:val="0"/>
                    <w:autoSpaceDN w:val="0"/>
                    <w:adjustRightInd w:val="0"/>
                    <w:spacing w:after="0" w:line="240" w:lineRule="auto"/>
                    <w:ind w:left="360" w:hanging="180"/>
                    <w:rPr>
                      <w:rFonts w:cs="ArialMT"/>
                      <w:sz w:val="20"/>
                    </w:rPr>
                  </w:pPr>
                  <w:r w:rsidRPr="002D076B">
                    <w:rPr>
                      <w:rFonts w:cs="ArialMT"/>
                      <w:sz w:val="20"/>
                    </w:rPr>
                    <w:t>Informal dialogue between MARD and donors as well as between TFF MU and donors insufficient</w:t>
                  </w:r>
                </w:p>
                <w:p w:rsidR="00B4351F" w:rsidRDefault="00B4351F" w:rsidP="00A256CB">
                  <w:r w:rsidRPr="002D076B">
                    <w:rPr>
                      <w:rFonts w:cs="ArialMT"/>
                      <w:sz w:val="18"/>
                      <w:szCs w:val="18"/>
                    </w:rPr>
                    <w:t xml:space="preserve">Source: </w:t>
                  </w:r>
                  <w:r w:rsidRPr="002D076B">
                    <w:rPr>
                      <w:rFonts w:cs="ArialMT"/>
                      <w:sz w:val="18"/>
                      <w:szCs w:val="18"/>
                    </w:rPr>
                    <w:fldChar w:fldCharType="begin"/>
                  </w:r>
                  <w:r w:rsidRPr="002D076B">
                    <w:rPr>
                      <w:rFonts w:cs="ArialMT"/>
                      <w:sz w:val="18"/>
                      <w:szCs w:val="18"/>
                    </w:rPr>
                    <w:instrText xml:space="preserve"> QUOTE "(Indufor and VICA 2009)" </w:instrText>
                  </w:r>
                  <w:r w:rsidRPr="002D076B">
                    <w:rPr>
                      <w:rFonts w:cs="ArialMT"/>
                      <w:vanish/>
                      <w:sz w:val="18"/>
                      <w:szCs w:val="18"/>
                    </w:rPr>
                    <w:fldChar w:fldCharType="begin"/>
                  </w:r>
                  <w:r w:rsidRPr="002D076B">
                    <w:rPr>
                      <w:rFonts w:cs="ArialMT"/>
                      <w:vanish/>
                      <w:sz w:val="18"/>
                      <w:szCs w:val="18"/>
                    </w:rPr>
                    <w:instrText xml:space="preserve"> ADDIN REFMAN ÿ\11\05‘\19\01\00\00\00\17(Indufor and VICA 2009)\00\17\00cC:\5CDocuments and Settings\5CAdministrator\5CDesktop\5CUN-REDD study\5COwn documents\5CUN-REDD study reference\03\00\019\19Indufor &amp; VICA 2009 9 /id\00\19\00 </w:instrText>
                  </w:r>
                  <w:r w:rsidRPr="002D076B">
                    <w:rPr>
                      <w:rFonts w:cs="ArialMT"/>
                      <w:vanish/>
                      <w:sz w:val="18"/>
                      <w:szCs w:val="18"/>
                    </w:rPr>
                    <w:fldChar w:fldCharType="end"/>
                  </w:r>
                  <w:r w:rsidRPr="002D076B">
                    <w:rPr>
                      <w:rFonts w:cs="ArialMT"/>
                      <w:sz w:val="18"/>
                      <w:szCs w:val="18"/>
                    </w:rPr>
                    <w:fldChar w:fldCharType="separate"/>
                  </w:r>
                  <w:r w:rsidRPr="002D076B">
                    <w:rPr>
                      <w:rFonts w:cs="ArialMT"/>
                      <w:sz w:val="18"/>
                      <w:szCs w:val="18"/>
                    </w:rPr>
                    <w:t>Indufor and VICA (2009)</w:t>
                  </w:r>
                  <w:r w:rsidRPr="002D076B">
                    <w:rPr>
                      <w:rFonts w:cs="ArialMT"/>
                      <w:sz w:val="18"/>
                      <w:szCs w:val="18"/>
                    </w:rPr>
                    <w:fldChar w:fldCharType="end"/>
                  </w:r>
                </w:p>
              </w:txbxContent>
            </v:textbox>
          </v:shape>
        </w:pict>
      </w:r>
    </w:p>
    <w:p w:rsidR="00FB753B" w:rsidRPr="00795634" w:rsidRDefault="00FB753B" w:rsidP="00FB753B">
      <w:pPr>
        <w:spacing w:after="0" w:line="300" w:lineRule="atLeast"/>
        <w:jc w:val="both"/>
        <w:rPr>
          <w:rFonts w:ascii="Book Antiqua" w:hAnsi="Book Antiqua" w:cs="Arial"/>
        </w:rPr>
      </w:pPr>
    </w:p>
    <w:p w:rsidR="00FB753B" w:rsidRPr="00EC1298" w:rsidRDefault="00FB753B" w:rsidP="00A256CB">
      <w:pPr>
        <w:spacing w:after="0" w:line="300" w:lineRule="atLeast"/>
        <w:jc w:val="both"/>
        <w:rPr>
          <w:rFonts w:ascii="Book Antiqua" w:hAnsi="Book Antiqua" w:cs="Arial"/>
        </w:rPr>
      </w:pPr>
    </w:p>
    <w:p w:rsidR="00351F2C" w:rsidRPr="00445F77" w:rsidRDefault="00351F2C" w:rsidP="00A256CB">
      <w:pPr>
        <w:spacing w:after="0" w:line="300" w:lineRule="atLeast"/>
        <w:jc w:val="both"/>
        <w:rPr>
          <w:rFonts w:ascii="Arial" w:hAnsi="Arial" w:cs="Arial"/>
          <w:sz w:val="24"/>
          <w:szCs w:val="24"/>
        </w:rPr>
      </w:pPr>
    </w:p>
    <w:p w:rsidR="00A256CB" w:rsidRPr="00445F77" w:rsidRDefault="00A256CB" w:rsidP="00A256CB">
      <w:pPr>
        <w:spacing w:after="0" w:line="300" w:lineRule="atLeast"/>
        <w:jc w:val="both"/>
        <w:rPr>
          <w:rFonts w:ascii="Arial" w:hAnsi="Arial" w:cs="Arial"/>
          <w:sz w:val="24"/>
          <w:szCs w:val="24"/>
        </w:rPr>
      </w:pPr>
    </w:p>
    <w:p w:rsidR="00A256CB" w:rsidRPr="00445F77" w:rsidRDefault="00A256CB" w:rsidP="00A256CB">
      <w:pPr>
        <w:spacing w:after="0" w:line="300" w:lineRule="atLeast"/>
        <w:jc w:val="both"/>
        <w:rPr>
          <w:rFonts w:ascii="Arial" w:hAnsi="Arial" w:cs="Arial"/>
          <w:sz w:val="24"/>
          <w:szCs w:val="24"/>
        </w:rPr>
      </w:pPr>
    </w:p>
    <w:p w:rsidR="00351F2C" w:rsidRPr="00445F77" w:rsidRDefault="00351F2C" w:rsidP="00A256CB">
      <w:pPr>
        <w:spacing w:before="120"/>
        <w:jc w:val="both"/>
        <w:rPr>
          <w:rFonts w:ascii="Arial" w:hAnsi="Arial" w:cs="Arial"/>
          <w:sz w:val="24"/>
          <w:szCs w:val="24"/>
        </w:rPr>
      </w:pPr>
    </w:p>
    <w:p w:rsidR="00351F2C" w:rsidRPr="00445F77" w:rsidRDefault="00351F2C" w:rsidP="00A256CB">
      <w:pPr>
        <w:spacing w:after="0" w:line="300" w:lineRule="atLeast"/>
        <w:jc w:val="both"/>
        <w:rPr>
          <w:rFonts w:ascii="Arial" w:hAnsi="Arial" w:cs="Arial"/>
          <w:sz w:val="24"/>
          <w:szCs w:val="24"/>
        </w:rPr>
      </w:pPr>
    </w:p>
    <w:p w:rsidR="00351F2C" w:rsidRPr="00445F77" w:rsidRDefault="00351F2C" w:rsidP="00A256CB">
      <w:pPr>
        <w:autoSpaceDE w:val="0"/>
        <w:autoSpaceDN w:val="0"/>
        <w:adjustRightInd w:val="0"/>
        <w:spacing w:after="0" w:line="300" w:lineRule="atLeast"/>
        <w:jc w:val="both"/>
        <w:rPr>
          <w:rFonts w:ascii="Arial" w:hAnsi="Arial" w:cs="Arial"/>
          <w:i/>
          <w:color w:val="1F497D"/>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FB753B" w:rsidRDefault="00FB753B" w:rsidP="00A256CB">
      <w:pPr>
        <w:autoSpaceDE w:val="0"/>
        <w:autoSpaceDN w:val="0"/>
        <w:adjustRightInd w:val="0"/>
        <w:spacing w:after="0" w:line="300" w:lineRule="atLeast"/>
        <w:jc w:val="both"/>
        <w:rPr>
          <w:rFonts w:ascii="Arial" w:hAnsi="Arial" w:cs="Arial"/>
          <w:sz w:val="24"/>
          <w:szCs w:val="24"/>
        </w:rPr>
      </w:pPr>
    </w:p>
    <w:p w:rsidR="00351F2C" w:rsidRPr="00FB753B" w:rsidRDefault="00351F2C" w:rsidP="00FB753B">
      <w:pPr>
        <w:autoSpaceDE w:val="0"/>
        <w:autoSpaceDN w:val="0"/>
        <w:adjustRightInd w:val="0"/>
        <w:spacing w:after="0" w:line="300" w:lineRule="exact"/>
        <w:jc w:val="both"/>
        <w:rPr>
          <w:rFonts w:ascii="Book Antiqua" w:hAnsi="Book Antiqua" w:cs="Arial"/>
        </w:rPr>
      </w:pPr>
      <w:r w:rsidRPr="00FB753B">
        <w:rPr>
          <w:rFonts w:ascii="Book Antiqua" w:hAnsi="Book Antiqua" w:cs="Arial"/>
        </w:rPr>
        <w:t xml:space="preserve">procedures and status of the staff. MARD should take full use / apply as far as possible the existing and tested TFF procedures for fund and grants management when developing procedures for FPDF </w:t>
      </w:r>
      <w:r w:rsidR="00C47C3B" w:rsidRPr="00FB753B">
        <w:rPr>
          <w:rFonts w:ascii="Book Antiqua" w:hAnsi="Book Antiqua" w:cs="Arial"/>
        </w:rPr>
        <w:fldChar w:fldCharType="begin"/>
      </w:r>
      <w:r w:rsidRPr="00FB753B">
        <w:rPr>
          <w:rFonts w:ascii="Book Antiqua" w:hAnsi="Book Antiqua" w:cs="Arial"/>
        </w:rPr>
        <w:instrText xml:space="preserve"> QUOTE "(Indufor and VICA 2009)" </w:instrText>
      </w:r>
      <w:r w:rsidR="00C47C3B" w:rsidRPr="00FB753B">
        <w:rPr>
          <w:rFonts w:ascii="Book Antiqua" w:hAnsi="Book Antiqua" w:cs="Arial"/>
          <w:vanish/>
        </w:rPr>
        <w:fldChar w:fldCharType="begin"/>
      </w:r>
      <w:r w:rsidRPr="00FB753B">
        <w:rPr>
          <w:rFonts w:ascii="Book Antiqua" w:hAnsi="Book Antiqua" w:cs="Arial"/>
          <w:vanish/>
        </w:rPr>
        <w:instrText xml:space="preserve"> ADDIN REFMAN ÿ\11\05‘\19\01\00\00\00\17(Indufor and VICA 2009)\00\17\00cC:\5CDocuments and Settings\5CAdministrator\5CDesktop\5CUN-REDD study\5COwn documents\5CUN-REDD study reference\03\00\019\19Indufor &amp; VICA 2009 9 /id\00\19\00 </w:instrText>
      </w:r>
      <w:r w:rsidR="00C47C3B" w:rsidRPr="00FB753B">
        <w:rPr>
          <w:rFonts w:ascii="Book Antiqua" w:hAnsi="Book Antiqua" w:cs="Arial"/>
          <w:vanish/>
        </w:rPr>
        <w:fldChar w:fldCharType="end"/>
      </w:r>
      <w:r w:rsidR="00C47C3B" w:rsidRPr="00FB753B">
        <w:rPr>
          <w:rFonts w:ascii="Book Antiqua" w:hAnsi="Book Antiqua" w:cs="Arial"/>
        </w:rPr>
        <w:fldChar w:fldCharType="separate"/>
      </w:r>
      <w:r w:rsidRPr="00FB753B">
        <w:rPr>
          <w:rFonts w:ascii="Book Antiqua" w:hAnsi="Book Antiqua" w:cs="Arial"/>
        </w:rPr>
        <w:t>(Indufor and VICA 2009)</w:t>
      </w:r>
      <w:r w:rsidR="00C47C3B" w:rsidRPr="00FB753B">
        <w:rPr>
          <w:rFonts w:ascii="Book Antiqua" w:hAnsi="Book Antiqua" w:cs="Arial"/>
        </w:rPr>
        <w:fldChar w:fldCharType="end"/>
      </w:r>
      <w:r w:rsidRPr="00FB753B">
        <w:rPr>
          <w:rFonts w:ascii="Book Antiqua" w:hAnsi="Book Antiqua" w:cs="Arial"/>
        </w:rPr>
        <w:t>.</w:t>
      </w:r>
    </w:p>
    <w:p w:rsidR="00351F2C" w:rsidRPr="00FB753B" w:rsidRDefault="00351F2C" w:rsidP="00FB753B">
      <w:pPr>
        <w:autoSpaceDE w:val="0"/>
        <w:autoSpaceDN w:val="0"/>
        <w:adjustRightInd w:val="0"/>
        <w:spacing w:after="0" w:line="300" w:lineRule="exact"/>
        <w:jc w:val="both"/>
        <w:rPr>
          <w:rFonts w:ascii="Book Antiqua" w:hAnsi="Book Antiqua" w:cs="Arial"/>
        </w:rPr>
      </w:pPr>
    </w:p>
    <w:p w:rsidR="00351F2C" w:rsidRPr="00FB753B" w:rsidRDefault="00351F2C" w:rsidP="00FB753B">
      <w:pPr>
        <w:spacing w:after="0" w:line="300" w:lineRule="exact"/>
        <w:jc w:val="both"/>
        <w:rPr>
          <w:rFonts w:ascii="Book Antiqua" w:hAnsi="Book Antiqua" w:cs="Arial"/>
        </w:rPr>
      </w:pPr>
      <w:r w:rsidRPr="00FB753B">
        <w:rPr>
          <w:rFonts w:ascii="Book Antiqua" w:hAnsi="Book Antiqua" w:cs="Arial"/>
        </w:rPr>
        <w:t xml:space="preserve">The success of forest protection and management is contingent on tangible benefits can be provided to the forest owners on a long term basis (ibid.). Benefits from CF projects should mean sustained timber harvests from the forests with revenues accruing to local communities. However, for </w:t>
      </w:r>
      <w:r w:rsidR="00480D3D" w:rsidRPr="00FB753B">
        <w:rPr>
          <w:rFonts w:ascii="Book Antiqua" w:hAnsi="Book Antiqua" w:cs="Arial"/>
        </w:rPr>
        <w:t>Vietnamese</w:t>
      </w:r>
      <w:r w:rsidRPr="00FB753B">
        <w:rPr>
          <w:rFonts w:ascii="Book Antiqua" w:hAnsi="Book Antiqua" w:cs="Arial"/>
        </w:rPr>
        <w:t xml:space="preserve"> administration and particularly local authorities, tangible benefits granted to the community have typically been dead trees and NTFP. To change this view, many CF projects have placed a strong focus on improvement of local livelihoods through self-consumption and</w:t>
      </w:r>
      <w:r w:rsidR="00EC1298" w:rsidRPr="00FB753B">
        <w:rPr>
          <w:rFonts w:ascii="Book Antiqua" w:hAnsi="Book Antiqua" w:cs="Arial"/>
        </w:rPr>
        <w:t xml:space="preserve"> </w:t>
      </w:r>
      <w:r w:rsidRPr="00FB753B">
        <w:rPr>
          <w:rFonts w:ascii="Book Antiqua" w:hAnsi="Book Antiqua" w:cs="Arial"/>
        </w:rPr>
        <w:t xml:space="preserve">commercial sale of timber. </w:t>
      </w:r>
    </w:p>
    <w:p w:rsidR="00351F2C" w:rsidRPr="00FB753B" w:rsidRDefault="00351F2C" w:rsidP="00FB753B">
      <w:pPr>
        <w:spacing w:after="0" w:line="300" w:lineRule="exact"/>
        <w:jc w:val="both"/>
        <w:rPr>
          <w:rFonts w:ascii="Book Antiqua" w:hAnsi="Book Antiqua" w:cs="Arial"/>
        </w:rPr>
      </w:pPr>
    </w:p>
    <w:p w:rsidR="00351F2C" w:rsidRPr="00EC1298" w:rsidRDefault="00351F2C" w:rsidP="00FB753B">
      <w:pPr>
        <w:spacing w:after="0" w:line="300" w:lineRule="exact"/>
        <w:jc w:val="both"/>
        <w:rPr>
          <w:rFonts w:ascii="Book Antiqua" w:hAnsi="Book Antiqua" w:cs="Arial"/>
        </w:rPr>
      </w:pPr>
      <w:r w:rsidRPr="00FB753B">
        <w:rPr>
          <w:rFonts w:ascii="Book Antiqua" w:hAnsi="Book Antiqua" w:cs="Arial"/>
        </w:rPr>
        <w:t>Results from CF projects have served as foundation for the formulation of the benefit sharing policies. For example, experience from the GTZ-funded forestland allocation in Dak Lak province</w:t>
      </w:r>
      <w:r w:rsidRPr="00EC1298">
        <w:rPr>
          <w:rFonts w:ascii="Book Antiqua" w:hAnsi="Book Antiqua" w:cs="Arial"/>
        </w:rPr>
        <w:t xml:space="preserve"> is used to develop the 2001’s National Decision 178 on benefits sharing mechanism. In 2003, under the social forestry development project funded by GTZ, CF timber harvest application was submitted to local authorities of Lai Chau province requesting for the commercial use of natural forest timber of one project site in the province. In 2005, with support from GTZ-funded project on rural development, benefit sharing mechanisms were developed by DARD of Dak Lak province. In the following year, these mechanisms were tested two villages with which a large income amount </w:t>
      </w:r>
      <w:r w:rsidRPr="00EC1298">
        <w:rPr>
          <w:rFonts w:ascii="Book Antiqua" w:hAnsi="Book Antiqua" w:cs="Arial"/>
        </w:rPr>
        <w:lastRenderedPageBreak/>
        <w:t>derived from the sale of timber was accrued to the local people. CF projects with a strong focus on benefit sharing have been also implemented by other organizations such as Helvetas with benefit sharing piloting project in Dak Nong province, JICA’s benefit sharing project in Kon Tum province, KfW6’s project in Quang Ngai province, etc.</w:t>
      </w:r>
    </w:p>
    <w:p w:rsidR="00351F2C" w:rsidRPr="00445F77" w:rsidRDefault="00351F2C" w:rsidP="00A256CB">
      <w:pPr>
        <w:spacing w:after="0" w:line="300" w:lineRule="atLeast"/>
        <w:jc w:val="both"/>
        <w:rPr>
          <w:rFonts w:ascii="Arial" w:hAnsi="Arial" w:cs="Arial"/>
          <w:sz w:val="24"/>
          <w:szCs w:val="24"/>
        </w:rPr>
      </w:pPr>
    </w:p>
    <w:p w:rsidR="00351F2C" w:rsidRPr="00445F77" w:rsidRDefault="00351F2C" w:rsidP="00A256CB">
      <w:pPr>
        <w:spacing w:after="0" w:line="300" w:lineRule="atLeast"/>
        <w:jc w:val="both"/>
        <w:rPr>
          <w:rFonts w:ascii="Arial" w:hAnsi="Arial" w:cs="Arial"/>
          <w:i/>
          <w:color w:val="1F497D"/>
          <w:sz w:val="24"/>
          <w:szCs w:val="24"/>
        </w:rPr>
      </w:pPr>
      <w:r w:rsidRPr="00445F77">
        <w:rPr>
          <w:rFonts w:ascii="Arial" w:hAnsi="Arial" w:cs="Arial"/>
          <w:i/>
          <w:color w:val="1F497D"/>
          <w:sz w:val="24"/>
          <w:szCs w:val="24"/>
        </w:rPr>
        <w:t>Analysis</w:t>
      </w: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Despite the experience, lessons-learned and emerging legal framework supporting the CF, a number of constraints still exist hampering the success of CF in the country. The report by Wode and Bao Huy (2009) points out a number of constraints. Currently the implementation of CF in the country is strongly driven by a number ODA projects and that strategies and technical guidelines at national, regional, and provincial scales have not been defined. Even for the TFF-funded CF piloting project currently implemented by Department of Forestry, despite its completion in 64 villages of 10 provinces, the project has not influenced the national policy decisions yet. The current benefit sharing pilots comply with existing legal procedures but the procedures are not replicable for any community after the project termination and consequently not considered as an effective solution for long term sustainable forest management or improvement of local livelihoods. In addition, the forest allocated or contracted to local communities is usually of poor quality. This provides the communities with little actual benefits generated from the forests. </w:t>
      </w:r>
    </w:p>
    <w:p w:rsidR="00351F2C" w:rsidRPr="00EC1298" w:rsidRDefault="00351F2C" w:rsidP="00A256CB">
      <w:pPr>
        <w:spacing w:after="0" w:line="300" w:lineRule="atLeast"/>
        <w:jc w:val="both"/>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Another problem associated with CF is that village level is not recognized as administrative unit in </w:t>
      </w:r>
      <w:smartTag w:uri="urn:schemas-microsoft-com:office:smarttags" w:element="country-region">
        <w:smartTag w:uri="urn:schemas-microsoft-com:office:smarttags" w:element="place">
          <w:r w:rsidR="00480D3D">
            <w:rPr>
              <w:rFonts w:ascii="Book Antiqua" w:hAnsi="Book Antiqua" w:cs="Arial"/>
            </w:rPr>
            <w:t>Viet Nam</w:t>
          </w:r>
        </w:smartTag>
      </w:smartTag>
      <w:r w:rsidRPr="00EC1298">
        <w:rPr>
          <w:rFonts w:ascii="Book Antiqua" w:hAnsi="Book Antiqua" w:cs="Arial"/>
        </w:rPr>
        <w:t xml:space="preserve"> and consequently not entitled to apply administrative punishment for forest violation cases. As a result, law is weakly enforced at the village level. This provides opportunities for people particularly outsiders to extract the forests illegally. This becomes more exacerbated as the mutual trust between forest rangers and local communities is limited leading to the weak cooperation between the two and ineffective support from local administration.</w:t>
      </w:r>
    </w:p>
    <w:p w:rsidR="00351F2C" w:rsidRPr="00EC1298" w:rsidRDefault="00351F2C" w:rsidP="00A256CB">
      <w:pPr>
        <w:spacing w:after="0" w:line="300" w:lineRule="atLeast"/>
        <w:jc w:val="both"/>
        <w:rPr>
          <w:rFonts w:ascii="Book Antiqua" w:hAnsi="Book Antiqua" w:cs="Arial"/>
        </w:rPr>
      </w:pP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Local participation in the project design and implementation is often lacking. This triggers confusion and in some cases conflicts among different actors as the result of contested claim and erroneous boundary demarcation. In many cases, boundary demarcation is made on the paper based on the existing documents. This usually does not match with the actual boundary. </w:t>
      </w:r>
    </w:p>
    <w:p w:rsidR="00351F2C" w:rsidRPr="00445F77" w:rsidRDefault="00351F2C" w:rsidP="00A256CB">
      <w:pPr>
        <w:spacing w:after="0" w:line="300" w:lineRule="atLeast"/>
        <w:jc w:val="both"/>
        <w:rPr>
          <w:rFonts w:ascii="Arial" w:hAnsi="Arial" w:cs="Arial"/>
          <w:sz w:val="24"/>
          <w:szCs w:val="24"/>
        </w:rPr>
      </w:pPr>
    </w:p>
    <w:p w:rsidR="00351F2C" w:rsidRPr="00445F77" w:rsidRDefault="00351F2C" w:rsidP="00A256CB">
      <w:pPr>
        <w:pStyle w:val="Heading3"/>
        <w:rPr>
          <w:rFonts w:ascii="Arial" w:hAnsi="Arial" w:cs="Arial"/>
          <w:bCs w:val="0"/>
          <w:i w:val="0"/>
        </w:rPr>
      </w:pPr>
      <w:bookmarkStart w:id="74" w:name="_Toc244586206"/>
      <w:r w:rsidRPr="00445F77">
        <w:rPr>
          <w:rFonts w:ascii="Arial" w:hAnsi="Arial" w:cs="Arial"/>
          <w:i w:val="0"/>
          <w:iCs/>
        </w:rPr>
        <w:t xml:space="preserve">2.7 </w:t>
      </w:r>
      <w:r w:rsidRPr="00445F77">
        <w:rPr>
          <w:rStyle w:val="Heading2Char"/>
          <w:rFonts w:ascii="Arial" w:hAnsi="Arial" w:cs="Arial"/>
          <w:i w:val="0"/>
          <w:iCs/>
          <w:sz w:val="24"/>
          <w:szCs w:val="24"/>
        </w:rPr>
        <w:t xml:space="preserve">Community Forestry Pilot </w:t>
      </w:r>
      <w:r w:rsidR="00480D3D">
        <w:rPr>
          <w:rStyle w:val="Heading2Char"/>
          <w:rFonts w:ascii="Arial" w:hAnsi="Arial" w:cs="Arial"/>
          <w:i w:val="0"/>
          <w:iCs/>
          <w:sz w:val="24"/>
          <w:szCs w:val="24"/>
        </w:rPr>
        <w:t>Programme</w:t>
      </w:r>
      <w:bookmarkEnd w:id="74"/>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 xml:space="preserve">The Department of Forestry implemented the Community Forestry Pilot </w:t>
      </w:r>
      <w:r w:rsidR="00480D3D">
        <w:rPr>
          <w:rFonts w:ascii="Book Antiqua" w:hAnsi="Book Antiqua" w:cs="Arial"/>
        </w:rPr>
        <w:t>Programme</w:t>
      </w:r>
      <w:r w:rsidRPr="00EC1298">
        <w:rPr>
          <w:rFonts w:ascii="Book Antiqua" w:hAnsi="Book Antiqua" w:cs="Arial"/>
        </w:rPr>
        <w:t xml:space="preserve"> with funds provided by the Trust Fund for Forests from 2006 to 2009.  The </w:t>
      </w:r>
      <w:r w:rsidR="00480D3D">
        <w:rPr>
          <w:rFonts w:ascii="Book Antiqua" w:hAnsi="Book Antiqua" w:cs="Arial"/>
        </w:rPr>
        <w:t>Programme</w:t>
      </w:r>
      <w:r w:rsidRPr="00EC1298">
        <w:rPr>
          <w:rFonts w:ascii="Book Antiqua" w:hAnsi="Book Antiqua" w:cs="Arial"/>
        </w:rPr>
        <w:t xml:space="preserve"> was perhaps the first community forestry initiative implemented by the Department of Forestry without technical assistance by international organizations.  </w:t>
      </w:r>
    </w:p>
    <w:p w:rsidR="00351F2C" w:rsidRPr="00EC1298" w:rsidRDefault="00351F2C" w:rsidP="00EC1298">
      <w:pPr>
        <w:spacing w:after="0" w:line="300" w:lineRule="exact"/>
        <w:rPr>
          <w:rFonts w:ascii="Book Antiqua" w:hAnsi="Book Antiqua" w:cs="Arial"/>
        </w:rPr>
      </w:pP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 xml:space="preserve">A recent evaluation finds that it represents an important step towards the implementation of nationwide community forestry </w:t>
      </w:r>
      <w:r w:rsidR="00480D3D">
        <w:rPr>
          <w:rFonts w:ascii="Book Antiqua" w:hAnsi="Book Antiqua" w:cs="Arial"/>
        </w:rPr>
        <w:t>programme</w:t>
      </w:r>
      <w:r w:rsidRPr="00EC1298">
        <w:rPr>
          <w:rFonts w:ascii="Book Antiqua" w:hAnsi="Book Antiqua" w:cs="Arial"/>
        </w:rPr>
        <w:t xml:space="preserve">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(Enters and Nguyen 2009).  The </w:t>
      </w:r>
      <w:r w:rsidR="00480D3D">
        <w:rPr>
          <w:rFonts w:ascii="Book Antiqua" w:hAnsi="Book Antiqua" w:cs="Arial"/>
        </w:rPr>
        <w:t>programme</w:t>
      </w:r>
      <w:r w:rsidRPr="00EC1298">
        <w:rPr>
          <w:rFonts w:ascii="Book Antiqua" w:hAnsi="Book Antiqua" w:cs="Arial"/>
        </w:rPr>
        <w:t xml:space="preserve"> facilitated the allocation of 17,000 ha of forestland to communities in ten provinces.  It produced a comprehensive approach to the promotion of community </w:t>
      </w:r>
      <w:r w:rsidRPr="00EC1298">
        <w:rPr>
          <w:rFonts w:ascii="Book Antiqua" w:hAnsi="Book Antiqua" w:cs="Arial"/>
        </w:rPr>
        <w:lastRenderedPageBreak/>
        <w:t xml:space="preserve">forestry </w:t>
      </w:r>
      <w:r w:rsidRPr="00EC1298">
        <w:rPr>
          <w:rFonts w:ascii="Book Antiqua" w:hAnsi="Book Antiqua" w:cs="Arial"/>
          <w:lang w:eastAsia="de-DE"/>
        </w:rPr>
        <w:t>integrating aspects of land use planning, forestland allocation, benefit-sharing arrangements, forest management modalities, and financial administration.</w:t>
      </w:r>
      <w:r w:rsidRPr="00EC1298">
        <w:rPr>
          <w:rFonts w:ascii="Book Antiqua" w:hAnsi="Book Antiqua" w:cs="Arial"/>
        </w:rPr>
        <w:t xml:space="preserve">  In the course of the project, 64 communities prepared community forestry management plans, 30 of them developed forest harvesting plans, and a few commenced harvesting.</w:t>
      </w:r>
    </w:p>
    <w:p w:rsidR="00351F2C" w:rsidRPr="00EC1298" w:rsidRDefault="00351F2C" w:rsidP="00EC1298">
      <w:pPr>
        <w:spacing w:after="0" w:line="300" w:lineRule="exact"/>
        <w:rPr>
          <w:rFonts w:ascii="Book Antiqua" w:hAnsi="Book Antiqua" w:cs="Arial"/>
        </w:rPr>
      </w:pPr>
    </w:p>
    <w:p w:rsidR="00351F2C" w:rsidRPr="00EC1298" w:rsidRDefault="00351F2C" w:rsidP="00EC1298">
      <w:pPr>
        <w:spacing w:after="0" w:line="300" w:lineRule="exact"/>
        <w:jc w:val="both"/>
        <w:rPr>
          <w:rFonts w:ascii="Book Antiqua" w:hAnsi="Book Antiqua" w:cs="Arial"/>
          <w:lang w:eastAsia="de-DE"/>
        </w:rPr>
      </w:pPr>
      <w:r w:rsidRPr="00EC1298">
        <w:rPr>
          <w:rFonts w:ascii="Book Antiqua" w:hAnsi="Book Antiqua" w:cs="Arial"/>
        </w:rPr>
        <w:t xml:space="preserve">The evaluation notes that the </w:t>
      </w:r>
      <w:r w:rsidR="00480D3D">
        <w:rPr>
          <w:rFonts w:ascii="Book Antiqua" w:hAnsi="Book Antiqua" w:cs="Arial"/>
        </w:rPr>
        <w:t>Programme</w:t>
      </w:r>
      <w:r w:rsidRPr="00EC1298">
        <w:rPr>
          <w:rFonts w:ascii="Book Antiqua" w:hAnsi="Book Antiqua" w:cs="Arial"/>
        </w:rPr>
        <w:t xml:space="preserve"> implemented forest management funds at the community level.  38 communes received US$ 4,000 each and started disbursing funds to communities.  The communes had established fund management boards at commune and village levels and developed corresponding regulations.  Commune management boards showed some autonomy in the allocation of finance to village funds, some allocating the funds to villages equally, others in accordance with the forest area allocated to each village.  In addition, </w:t>
      </w:r>
      <w:r w:rsidRPr="00EC1298">
        <w:rPr>
          <w:rFonts w:ascii="Book Antiqua" w:hAnsi="Book Antiqua" w:cs="Arial"/>
          <w:lang w:eastAsia="de-DE"/>
        </w:rPr>
        <w:t xml:space="preserve">most village management boards were able to increase the amount of funds by charging timber harvesting fees, obtaining funds through government </w:t>
      </w:r>
      <w:r w:rsidR="00480D3D">
        <w:rPr>
          <w:rFonts w:ascii="Book Antiqua" w:hAnsi="Book Antiqua" w:cs="Arial"/>
          <w:lang w:eastAsia="de-DE"/>
        </w:rPr>
        <w:t>programme</w:t>
      </w:r>
      <w:r w:rsidRPr="00EC1298">
        <w:rPr>
          <w:rFonts w:ascii="Book Antiqua" w:hAnsi="Book Antiqua" w:cs="Arial"/>
          <w:lang w:eastAsia="de-DE"/>
        </w:rPr>
        <w:t xml:space="preserve"> 661, or generating additional income from ecotourism.  They also demonstrated the capacity to allocate funds to different uses, such as the costs of equipment needed by patrol teams, labor costs for collective activities, and allowances for attendance at village meetings.</w:t>
      </w:r>
    </w:p>
    <w:p w:rsidR="00EC1298" w:rsidRDefault="00EC1298" w:rsidP="00EC1298">
      <w:pPr>
        <w:spacing w:after="0" w:line="300" w:lineRule="exact"/>
        <w:jc w:val="both"/>
        <w:rPr>
          <w:rFonts w:ascii="Book Antiqua" w:hAnsi="Book Antiqua" w:cs="Arial"/>
        </w:rPr>
      </w:pP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 xml:space="preserve">Nonetheless, the evaluation also points out that the approach developed by the </w:t>
      </w:r>
      <w:r w:rsidR="00480D3D">
        <w:rPr>
          <w:rFonts w:ascii="Book Antiqua" w:hAnsi="Book Antiqua" w:cs="Arial"/>
        </w:rPr>
        <w:t>Programme</w:t>
      </w:r>
      <w:r w:rsidRPr="00EC1298">
        <w:rPr>
          <w:rFonts w:ascii="Book Antiqua" w:hAnsi="Book Antiqua" w:cs="Arial"/>
        </w:rPr>
        <w:t xml:space="preserve"> is not ready for nationwide implementation.  The establishment of the community funds is much too recent to yield any useful insights about their operations in practice.  Many of the guidelines prepared by local foresters are too complex and scientific. They focus on the technical aspects of timber management instead of considering the wide range of products and services provided by forests.  As a result, </w:t>
      </w:r>
      <w:r w:rsidRPr="00EC1298">
        <w:rPr>
          <w:rFonts w:ascii="Book Antiqua" w:hAnsi="Book Antiqua" w:cs="Arial"/>
          <w:color w:val="000000"/>
          <w:lang w:eastAsia="de-DE"/>
        </w:rPr>
        <w:t>community leaders and other villagers may view the content of some documents as irrelevant to the management of local forests.  Moreover, some of their elements may directly contradict with how villagers make decisions and plan in practice.  Some requirements imposed on community management are also quite onerous, and others are too detailed to make sense across diverse situations</w:t>
      </w:r>
      <w:r w:rsidRPr="00EC1298">
        <w:rPr>
          <w:rFonts w:ascii="Book Antiqua" w:hAnsi="Book Antiqua" w:cs="Arial"/>
        </w:rPr>
        <w:t>.</w:t>
      </w:r>
    </w:p>
    <w:p w:rsidR="00351F2C" w:rsidRPr="00EC1298" w:rsidRDefault="00351F2C" w:rsidP="00EC1298">
      <w:pPr>
        <w:spacing w:after="0" w:line="300" w:lineRule="exact"/>
        <w:rPr>
          <w:rFonts w:ascii="Book Antiqua" w:hAnsi="Book Antiqua" w:cs="Arial"/>
        </w:rPr>
      </w:pP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 xml:space="preserve">Finally, the evaluation stresses the significance of land tenure.  It finds that the forests handed over to communities were relatively small and of mostly poor quality only.  The average area of forest allocated to a village under the </w:t>
      </w:r>
      <w:r w:rsidR="00480D3D">
        <w:rPr>
          <w:rFonts w:ascii="Book Antiqua" w:hAnsi="Book Antiqua" w:cs="Arial"/>
        </w:rPr>
        <w:t>Programme</w:t>
      </w:r>
      <w:r w:rsidRPr="00EC1298">
        <w:rPr>
          <w:rFonts w:ascii="Book Antiqua" w:hAnsi="Book Antiqua" w:cs="Arial"/>
        </w:rPr>
        <w:t xml:space="preserve"> was 263 ha.  Yet some villages received as little as 50 ha, while others received up to 1,800 ha.  Only two villages received forests classified as rich, amounting to a mere 242 ha out of a total of 17,000 ha allocated.  In addition, more than half (55%) of the allocated forests were designated for protection, restricting the management options available to village communities.</w:t>
      </w:r>
    </w:p>
    <w:p w:rsidR="00351F2C" w:rsidRPr="00445F77" w:rsidRDefault="00351F2C" w:rsidP="00A256CB">
      <w:pPr>
        <w:spacing w:after="0"/>
        <w:rPr>
          <w:rFonts w:ascii="Arial" w:hAnsi="Arial" w:cs="Arial"/>
          <w:i/>
          <w:color w:val="1F497D"/>
          <w:sz w:val="24"/>
          <w:szCs w:val="24"/>
        </w:rPr>
      </w:pPr>
    </w:p>
    <w:p w:rsidR="00351F2C" w:rsidRPr="00445F77" w:rsidRDefault="00351F2C" w:rsidP="00A256CB">
      <w:pPr>
        <w:spacing w:after="0"/>
        <w:rPr>
          <w:rFonts w:ascii="Arial" w:hAnsi="Arial" w:cs="Arial"/>
          <w:i/>
          <w:color w:val="1F497D"/>
          <w:sz w:val="24"/>
          <w:szCs w:val="24"/>
        </w:rPr>
      </w:pPr>
      <w:r w:rsidRPr="00445F77">
        <w:rPr>
          <w:rFonts w:ascii="Arial" w:hAnsi="Arial" w:cs="Arial"/>
          <w:i/>
          <w:color w:val="1F497D"/>
          <w:sz w:val="24"/>
          <w:szCs w:val="24"/>
        </w:rPr>
        <w:t>Analysis</w:t>
      </w: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t xml:space="preserve">Community forest management (CFM) is new in </w:t>
      </w:r>
      <w:smartTag w:uri="urn:schemas-microsoft-com:office:smarttags" w:element="country-region">
        <w:smartTag w:uri="urn:schemas-microsoft-com:office:smarttags" w:element="place">
          <w:r w:rsidR="00480D3D">
            <w:rPr>
              <w:rFonts w:ascii="Book Antiqua" w:hAnsi="Book Antiqua" w:cs="Arial"/>
            </w:rPr>
            <w:t>Viet Nam</w:t>
          </w:r>
        </w:smartTag>
      </w:smartTag>
      <w:r w:rsidRPr="00EC1298">
        <w:rPr>
          <w:rFonts w:ascii="Book Antiqua" w:hAnsi="Book Antiqua" w:cs="Arial"/>
        </w:rPr>
        <w:t xml:space="preserve"> as it requires partnership between commune level officials and local communities through a decentralized partnership with technical, social and institutional aspects included (Gilmour and Doan, 2008). Under CFM, local authority devolves the forest to local communities. This is different from devolving the forest to individual households and state entities such as </w:t>
      </w:r>
      <w:r w:rsidR="003A6A8D">
        <w:rPr>
          <w:rFonts w:ascii="Book Antiqua" w:hAnsi="Book Antiqua" w:cs="Arial"/>
        </w:rPr>
        <w:t>SOC</w:t>
      </w:r>
      <w:r w:rsidRPr="00EC1298">
        <w:rPr>
          <w:rFonts w:ascii="Book Antiqua" w:hAnsi="Book Antiqua" w:cs="Arial"/>
        </w:rPr>
        <w:t xml:space="preserve">s and PAMBs. As a result, it takes time for the CFM concept to be fully appreciated. </w:t>
      </w:r>
    </w:p>
    <w:p w:rsidR="00351F2C" w:rsidRPr="00EC1298" w:rsidRDefault="00351F2C" w:rsidP="00EC1298">
      <w:pPr>
        <w:spacing w:after="0" w:line="300" w:lineRule="exact"/>
        <w:rPr>
          <w:rFonts w:ascii="Book Antiqua" w:hAnsi="Book Antiqua" w:cs="Arial"/>
        </w:rPr>
      </w:pPr>
    </w:p>
    <w:p w:rsidR="00351F2C" w:rsidRPr="00EC1298" w:rsidRDefault="00351F2C" w:rsidP="00EC1298">
      <w:pPr>
        <w:spacing w:after="0" w:line="300" w:lineRule="exact"/>
        <w:jc w:val="both"/>
        <w:rPr>
          <w:rFonts w:ascii="Book Antiqua" w:hAnsi="Book Antiqua" w:cs="Arial"/>
        </w:rPr>
      </w:pPr>
      <w:r w:rsidRPr="00EC1298">
        <w:rPr>
          <w:rFonts w:ascii="Book Antiqua" w:hAnsi="Book Antiqua" w:cs="Arial"/>
        </w:rPr>
        <w:lastRenderedPageBreak/>
        <w:t xml:space="preserve">This CFM fits well to forest-dependent ethnic minorities where communities’ decision making power about matters of common interest is part of the cultural norm (ibid.). Prior to the Land Law 2003, despite many projects had explored the potential of CFM, this approach was not appreciated and was not obtained its legal legitimacy. The passing of the 2003 Land Law and 2004 Forest Protection and Development Law has marked a considerable change in policy framework toward community, with recognition of community as a legal entity for resource management. Since then, the CFM approach has been appreciated in the country, with the National Forest Development Strategy (2005-2020) identifying the piloting and development of CFM in the country is one of the top 20 priorities for the forest sector. The 2001’s estimation from Forest Protection Department shows that a total of 2.34 million ha of forest in the country could be available to be allocated or contracted to local communities (Gilmour and Doan, 2008).  </w:t>
      </w:r>
    </w:p>
    <w:p w:rsidR="00351F2C" w:rsidRPr="00EC1298" w:rsidRDefault="00351F2C" w:rsidP="00EC1298">
      <w:pPr>
        <w:spacing w:after="0" w:line="300" w:lineRule="exact"/>
        <w:jc w:val="both"/>
        <w:rPr>
          <w:rFonts w:ascii="Book Antiqua" w:hAnsi="Book Antiqua" w:cs="Arial"/>
          <w:spacing w:val="6"/>
          <w:highlight w:val="yellow"/>
        </w:rPr>
      </w:pPr>
    </w:p>
    <w:p w:rsidR="00351F2C" w:rsidRPr="00EC1298" w:rsidRDefault="00351F2C" w:rsidP="00EC1298">
      <w:pPr>
        <w:spacing w:after="0" w:line="300" w:lineRule="exact"/>
        <w:jc w:val="both"/>
        <w:rPr>
          <w:rFonts w:ascii="Book Antiqua" w:hAnsi="Book Antiqua" w:cs="Arial"/>
          <w:spacing w:val="6"/>
          <w:lang w:val="en-CA"/>
        </w:rPr>
      </w:pPr>
      <w:r w:rsidRPr="00EC1298">
        <w:rPr>
          <w:rFonts w:ascii="Book Antiqua" w:hAnsi="Book Antiqua" w:cs="Arial"/>
          <w:spacing w:val="6"/>
        </w:rPr>
        <w:t xml:space="preserve">Despite the enabling legal and policy environment and lessons-learned from CFM projects, there still exist a number of problems those hamper the success of CFM. Usually, the projects employing the CFM approach focus on technical aspect, neglecting social and social elements needed for the effective partnership between communities and government officials (Gilmour and Doan 2008; Enters and Nguyen 2009). </w:t>
      </w:r>
      <w:r w:rsidRPr="00EC1298">
        <w:rPr>
          <w:rFonts w:ascii="Book Antiqua" w:hAnsi="Book Antiqua" w:cs="Arial"/>
          <w:spacing w:val="6"/>
          <w:lang w:val="en-CA"/>
        </w:rPr>
        <w:t xml:space="preserve">In addition, there is a lack of clear guideline and a comprehensive approach integrating aspects of land use planning, forestland allocation, benefit sharing arrangements, forest management plans and financial administration (Enters and Nguyen, 2009). Furthermore, forests contracted or allocated to local communities under CFM projects are of poor quality and consequently it is difficult and will take time for local communities to derive a considerable material benefits from the forests (Gilmour and Doan, 2008; Wode and Bao Huy, 2009). As a result until present time, CFM projects have not been able to contribute to the poverty alleviation in the project areas.   </w:t>
      </w:r>
    </w:p>
    <w:p w:rsidR="00351F2C" w:rsidRPr="00EC1298" w:rsidRDefault="00351F2C" w:rsidP="00EC1298">
      <w:pPr>
        <w:spacing w:after="0" w:line="300" w:lineRule="exact"/>
        <w:jc w:val="both"/>
        <w:rPr>
          <w:rFonts w:ascii="Book Antiqua" w:hAnsi="Book Antiqua" w:cs="Arial"/>
          <w:spacing w:val="6"/>
          <w:lang w:val="en-CA"/>
        </w:rPr>
      </w:pPr>
    </w:p>
    <w:p w:rsidR="00351F2C" w:rsidRPr="00EC1298" w:rsidRDefault="00351F2C" w:rsidP="00EC1298">
      <w:pPr>
        <w:spacing w:after="0" w:line="300" w:lineRule="exact"/>
        <w:jc w:val="both"/>
        <w:rPr>
          <w:rFonts w:ascii="Book Antiqua" w:hAnsi="Book Antiqua" w:cs="Arial"/>
          <w:spacing w:val="6"/>
          <w:lang w:val="en-CA"/>
        </w:rPr>
      </w:pPr>
      <w:r w:rsidRPr="00EC1298">
        <w:rPr>
          <w:rFonts w:ascii="Book Antiqua" w:hAnsi="Book Antiqua" w:cs="Arial"/>
          <w:spacing w:val="6"/>
          <w:lang w:val="en-CA"/>
        </w:rPr>
        <w:t xml:space="preserve">The review of the CFM projects in the country (c.f. see Gilmour and Doan, 2008; Enters and Nguyen, 2009; Wode and Bao Huy, 2009) suggests that for the CFM approach to work in the future, CFM project must take into account of local flexibility, adaptability and innovation. More field experience is needed to serve as basis for designing and implementing the CFM project with aim to include technical, social and institutional aspects into the project. In addition, capacity building for all partners participated in the project is needed especially the training at village and commune level on practical aspects of planning and implementation of CFM. </w:t>
      </w:r>
    </w:p>
    <w:p w:rsidR="00351F2C" w:rsidRPr="00445F77" w:rsidRDefault="00351F2C" w:rsidP="00A256CB">
      <w:pPr>
        <w:spacing w:after="0" w:line="300" w:lineRule="atLeast"/>
        <w:rPr>
          <w:rFonts w:ascii="Arial" w:hAnsi="Arial" w:cs="Arial"/>
          <w:b/>
          <w:bCs/>
          <w:sz w:val="24"/>
          <w:szCs w:val="24"/>
        </w:rPr>
      </w:pPr>
    </w:p>
    <w:p w:rsidR="00351F2C" w:rsidRPr="00445F77" w:rsidRDefault="00351F2C" w:rsidP="00A256CB">
      <w:pPr>
        <w:spacing w:after="0" w:line="300" w:lineRule="atLeast"/>
        <w:jc w:val="both"/>
        <w:rPr>
          <w:rFonts w:ascii="Arial" w:hAnsi="Arial" w:cs="Arial"/>
          <w:color w:val="1F497D"/>
          <w:sz w:val="24"/>
          <w:szCs w:val="24"/>
        </w:rPr>
      </w:pPr>
      <w:r w:rsidRPr="00445F77">
        <w:rPr>
          <w:rFonts w:ascii="Arial" w:hAnsi="Arial" w:cs="Arial"/>
          <w:color w:val="1F497D"/>
          <w:sz w:val="24"/>
          <w:szCs w:val="24"/>
        </w:rPr>
        <w:t xml:space="preserve">2.8 </w:t>
      </w:r>
      <w:r w:rsidRPr="00445F77">
        <w:rPr>
          <w:rStyle w:val="Heading2Char"/>
          <w:rFonts w:ascii="Arial" w:eastAsia="Calibri" w:hAnsi="Arial" w:cs="Arial"/>
          <w:sz w:val="24"/>
          <w:szCs w:val="24"/>
        </w:rPr>
        <w:t>CDM and Voluntary Market Projects</w:t>
      </w:r>
    </w:p>
    <w:p w:rsidR="00351F2C" w:rsidRPr="00EC1298" w:rsidRDefault="00351F2C" w:rsidP="00A256CB">
      <w:pPr>
        <w:pStyle w:val="NormalWeb"/>
        <w:autoSpaceDE w:val="0"/>
        <w:autoSpaceDN w:val="0"/>
        <w:adjustRightInd w:val="0"/>
        <w:spacing w:before="0" w:beforeAutospacing="0" w:after="0" w:afterAutospacing="0" w:line="300" w:lineRule="atLeast"/>
        <w:jc w:val="both"/>
        <w:rPr>
          <w:rFonts w:ascii="Book Antiqua" w:hAnsi="Book Antiqua" w:cs="Arial"/>
          <w:bCs/>
          <w:color w:val="000000"/>
          <w:sz w:val="22"/>
          <w:szCs w:val="22"/>
        </w:rPr>
      </w:pPr>
      <w:r w:rsidRPr="00EC1298">
        <w:rPr>
          <w:rFonts w:ascii="Book Antiqua" w:eastAsia="Calibri" w:hAnsi="Book Antiqua" w:cs="Arial"/>
          <w:bCs/>
          <w:color w:val="000000"/>
          <w:sz w:val="22"/>
          <w:szCs w:val="22"/>
        </w:rPr>
        <w:t>The Ministry of Natural Resources and Environment (MONRE) plays the role of a National Focal Point Agency for CDM</w:t>
      </w:r>
      <w:r w:rsidRPr="00EC1298">
        <w:rPr>
          <w:rFonts w:ascii="Book Antiqua" w:hAnsi="Book Antiqua" w:cs="Arial"/>
          <w:sz w:val="22"/>
          <w:szCs w:val="22"/>
        </w:rPr>
        <w:t xml:space="preserve">.  </w:t>
      </w:r>
      <w:r w:rsidRPr="00EC1298">
        <w:rPr>
          <w:rFonts w:ascii="Book Antiqua" w:hAnsi="Book Antiqua" w:cs="Arial"/>
          <w:bCs/>
          <w:color w:val="000000"/>
          <w:sz w:val="22"/>
          <w:szCs w:val="22"/>
        </w:rPr>
        <w:t xml:space="preserve">By October 2009, 10 CDM projects have successfully been registered in </w:t>
      </w:r>
      <w:smartTag w:uri="urn:schemas-microsoft-com:office:smarttags" w:element="country-region">
        <w:smartTag w:uri="urn:schemas-microsoft-com:office:smarttags" w:element="place">
          <w:r w:rsidR="00480D3D">
            <w:rPr>
              <w:rFonts w:ascii="Book Antiqua" w:hAnsi="Book Antiqua" w:cs="Arial"/>
              <w:bCs/>
              <w:color w:val="000000"/>
              <w:sz w:val="22"/>
              <w:szCs w:val="22"/>
            </w:rPr>
            <w:t>Viet Nam</w:t>
          </w:r>
        </w:smartTag>
      </w:smartTag>
      <w:r w:rsidRPr="00EC1298">
        <w:rPr>
          <w:rFonts w:ascii="Book Antiqua" w:hAnsi="Book Antiqua" w:cs="Arial"/>
          <w:bCs/>
          <w:color w:val="000000"/>
          <w:sz w:val="22"/>
          <w:szCs w:val="22"/>
        </w:rPr>
        <w:t xml:space="preserve">. The GoV collects a fee on the emission reduction credits (CER) sold; the amount paid depending on the sector; in the case of </w:t>
      </w:r>
      <w:r w:rsidRPr="00EC1298">
        <w:rPr>
          <w:rFonts w:ascii="Book Antiqua" w:hAnsi="Book Antiqua" w:cs="Arial"/>
          <w:bCs/>
          <w:iCs/>
          <w:color w:val="000000"/>
          <w:sz w:val="22"/>
          <w:szCs w:val="22"/>
        </w:rPr>
        <w:t>afforestation and reforestation it is</w:t>
      </w:r>
      <w:r w:rsidRPr="00EC1298">
        <w:rPr>
          <w:rFonts w:ascii="Book Antiqua" w:hAnsi="Book Antiqua" w:cs="Arial"/>
          <w:sz w:val="22"/>
          <w:szCs w:val="22"/>
        </w:rPr>
        <w:t xml:space="preserve"> 1.2% </w:t>
      </w:r>
      <w:r w:rsidRPr="00EC1298">
        <w:rPr>
          <w:rFonts w:ascii="Book Antiqua" w:hAnsi="Book Antiqua" w:cs="Arial"/>
          <w:bCs/>
          <w:color w:val="000000"/>
          <w:sz w:val="22"/>
          <w:szCs w:val="22"/>
        </w:rPr>
        <w:t xml:space="preserve">of the value of sale.  The fees collected will be put into </w:t>
      </w:r>
      <w:r w:rsidR="00480D3D">
        <w:rPr>
          <w:rFonts w:ascii="Book Antiqua" w:hAnsi="Book Antiqua" w:cs="Arial"/>
          <w:bCs/>
          <w:color w:val="000000"/>
          <w:sz w:val="22"/>
          <w:szCs w:val="22"/>
        </w:rPr>
        <w:t>Viet Nam</w:t>
      </w:r>
      <w:r w:rsidRPr="00EC1298">
        <w:rPr>
          <w:rFonts w:ascii="Book Antiqua" w:hAnsi="Book Antiqua" w:cs="Arial"/>
          <w:bCs/>
          <w:color w:val="000000"/>
          <w:sz w:val="22"/>
          <w:szCs w:val="22"/>
        </w:rPr>
        <w:t xml:space="preserve"> Environmental Protection Fund. However, as of November 2009, no money has been collected as no transactions have yet been made.</w:t>
      </w:r>
    </w:p>
    <w:p w:rsidR="00351F2C" w:rsidRPr="00EC1298" w:rsidRDefault="00351F2C" w:rsidP="00A256CB">
      <w:pPr>
        <w:pStyle w:val="NormalWeb"/>
        <w:autoSpaceDE w:val="0"/>
        <w:autoSpaceDN w:val="0"/>
        <w:adjustRightInd w:val="0"/>
        <w:spacing w:before="0" w:beforeAutospacing="0" w:after="0" w:afterAutospacing="0" w:line="300" w:lineRule="atLeast"/>
        <w:jc w:val="both"/>
        <w:rPr>
          <w:rFonts w:ascii="Book Antiqua" w:hAnsi="Book Antiqua" w:cs="Arial"/>
          <w:sz w:val="22"/>
          <w:szCs w:val="22"/>
        </w:rPr>
      </w:pPr>
    </w:p>
    <w:p w:rsidR="00351F2C" w:rsidRPr="00EC1298" w:rsidRDefault="00351F2C" w:rsidP="00A256CB">
      <w:pPr>
        <w:pStyle w:val="NormalWeb"/>
        <w:autoSpaceDE w:val="0"/>
        <w:autoSpaceDN w:val="0"/>
        <w:adjustRightInd w:val="0"/>
        <w:spacing w:before="0" w:beforeAutospacing="0" w:after="0" w:afterAutospacing="0" w:line="300" w:lineRule="atLeast"/>
        <w:jc w:val="both"/>
        <w:rPr>
          <w:rFonts w:ascii="Book Antiqua" w:hAnsi="Book Antiqua" w:cs="Arial"/>
          <w:sz w:val="22"/>
          <w:szCs w:val="22"/>
        </w:rPr>
      </w:pPr>
      <w:smartTag w:uri="urn:schemas-microsoft-com:office:smarttags" w:element="place">
        <w:smartTag w:uri="urn:schemas-microsoft-com:office:smarttags" w:element="country-region">
          <w:r w:rsidRPr="00EC1298">
            <w:rPr>
              <w:rFonts w:ascii="Book Antiqua" w:hAnsi="Book Antiqua" w:cs="Arial"/>
              <w:sz w:val="22"/>
              <w:szCs w:val="22"/>
            </w:rPr>
            <w:lastRenderedPageBreak/>
            <w:t>Viet Nam</w:t>
          </w:r>
        </w:smartTag>
      </w:smartTag>
      <w:r w:rsidRPr="00EC1298">
        <w:rPr>
          <w:rFonts w:ascii="Book Antiqua" w:hAnsi="Book Antiqua" w:cs="Arial"/>
          <w:sz w:val="22"/>
          <w:szCs w:val="22"/>
        </w:rPr>
        <w:t xml:space="preserve"> currently has one AR-CDM project, in Hoa Binh province, which began in 2009 and is expected to have a duration of 16 years.  It aims to reforest 320 ha in two communes over three years.  It is a joint initiative by JICA, which has funded extensive capacity building activities on AR-CDM in 2006-2008, and Honda </w:t>
      </w:r>
      <w:r w:rsidR="00480D3D">
        <w:rPr>
          <w:rFonts w:ascii="Book Antiqua" w:hAnsi="Book Antiqua" w:cs="Arial"/>
          <w:sz w:val="22"/>
          <w:szCs w:val="22"/>
        </w:rPr>
        <w:t>Viet Nam</w:t>
      </w:r>
      <w:r w:rsidRPr="00EC1298">
        <w:rPr>
          <w:rFonts w:ascii="Book Antiqua" w:hAnsi="Book Antiqua" w:cs="Arial"/>
          <w:sz w:val="22"/>
          <w:szCs w:val="22"/>
        </w:rPr>
        <w:t xml:space="preserve">, which has committed VND 3.5 billion (US$195,000) for the first four years. The </w:t>
      </w:r>
      <w:r w:rsidR="00480D3D">
        <w:rPr>
          <w:rFonts w:ascii="Book Antiqua" w:hAnsi="Book Antiqua" w:cs="Arial"/>
          <w:sz w:val="22"/>
          <w:szCs w:val="22"/>
        </w:rPr>
        <w:t>Vietnamese</w:t>
      </w:r>
      <w:r w:rsidRPr="00EC1298">
        <w:rPr>
          <w:rFonts w:ascii="Book Antiqua" w:hAnsi="Book Antiqua" w:cs="Arial"/>
          <w:sz w:val="22"/>
          <w:szCs w:val="22"/>
        </w:rPr>
        <w:t xml:space="preserve"> partners include Viet Nam Forestry University, Forest Science Institute of </w:t>
      </w:r>
      <w:smartTag w:uri="urn:schemas-microsoft-com:office:smarttags" w:element="country-region">
        <w:smartTag w:uri="urn:schemas-microsoft-com:office:smarttags" w:element="place">
          <w:r w:rsidRPr="00EC1298">
            <w:rPr>
              <w:rFonts w:ascii="Book Antiqua" w:hAnsi="Book Antiqua" w:cs="Arial"/>
              <w:sz w:val="22"/>
              <w:szCs w:val="22"/>
            </w:rPr>
            <w:t>Viet Nam</w:t>
          </w:r>
        </w:smartTag>
      </w:smartTag>
      <w:r w:rsidRPr="00EC1298">
        <w:rPr>
          <w:rFonts w:ascii="Book Antiqua" w:hAnsi="Book Antiqua" w:cs="Arial"/>
          <w:sz w:val="22"/>
          <w:szCs w:val="22"/>
        </w:rPr>
        <w:t xml:space="preserve">, the district-level extension center, and the district-level Forest Protection Unit.  The </w:t>
      </w:r>
      <w:r w:rsidR="00480D3D">
        <w:rPr>
          <w:rFonts w:ascii="Book Antiqua" w:hAnsi="Book Antiqua" w:cs="Arial"/>
          <w:sz w:val="22"/>
          <w:szCs w:val="22"/>
        </w:rPr>
        <w:t>Vietnamese</w:t>
      </w:r>
      <w:r w:rsidRPr="00EC1298">
        <w:rPr>
          <w:rFonts w:ascii="Book Antiqua" w:hAnsi="Book Antiqua" w:cs="Arial"/>
          <w:sz w:val="22"/>
          <w:szCs w:val="22"/>
        </w:rPr>
        <w:t xml:space="preserve"> partners together set up a non-profit organization to execute the project.  The non-profit organization manages the funds contributed by Honda in a fairly similar way to the function of the FPDF in the PFES schemes of Son La and Lam Dong.</w:t>
      </w:r>
    </w:p>
    <w:p w:rsidR="00351F2C" w:rsidRPr="00EC1298" w:rsidRDefault="00351F2C" w:rsidP="00A256CB">
      <w:pPr>
        <w:pStyle w:val="NormalWeb"/>
        <w:autoSpaceDE w:val="0"/>
        <w:autoSpaceDN w:val="0"/>
        <w:adjustRightInd w:val="0"/>
        <w:spacing w:before="0" w:beforeAutospacing="0" w:after="0" w:afterAutospacing="0" w:line="300" w:lineRule="atLeast"/>
        <w:jc w:val="both"/>
        <w:rPr>
          <w:rFonts w:ascii="Book Antiqua" w:hAnsi="Book Antiqua" w:cs="Arial"/>
          <w:sz w:val="22"/>
          <w:szCs w:val="22"/>
        </w:rPr>
      </w:pPr>
    </w:p>
    <w:p w:rsidR="00351F2C" w:rsidRPr="00EC1298" w:rsidRDefault="00351F2C" w:rsidP="00A256CB">
      <w:pPr>
        <w:pStyle w:val="NormalWeb"/>
        <w:autoSpaceDE w:val="0"/>
        <w:autoSpaceDN w:val="0"/>
        <w:adjustRightInd w:val="0"/>
        <w:spacing w:before="0" w:beforeAutospacing="0" w:after="0" w:afterAutospacing="0" w:line="300" w:lineRule="atLeast"/>
        <w:jc w:val="both"/>
        <w:rPr>
          <w:rFonts w:ascii="Book Antiqua" w:hAnsi="Book Antiqua" w:cs="Arial"/>
          <w:bCs/>
          <w:color w:val="000000"/>
          <w:sz w:val="22"/>
          <w:szCs w:val="22"/>
        </w:rPr>
      </w:pPr>
      <w:smartTag w:uri="urn:schemas-microsoft-com:office:smarttags" w:element="country-region">
        <w:smartTag w:uri="urn:schemas-microsoft-com:office:smarttags" w:element="place">
          <w:r w:rsidRPr="00EC1298">
            <w:rPr>
              <w:rFonts w:ascii="Book Antiqua" w:hAnsi="Book Antiqua" w:cs="Arial"/>
              <w:sz w:val="22"/>
              <w:szCs w:val="22"/>
            </w:rPr>
            <w:t>Viet Nam</w:t>
          </w:r>
        </w:smartTag>
      </w:smartTag>
      <w:r w:rsidRPr="00EC1298">
        <w:rPr>
          <w:rFonts w:ascii="Book Antiqua" w:hAnsi="Book Antiqua" w:cs="Arial"/>
          <w:sz w:val="22"/>
          <w:szCs w:val="22"/>
        </w:rPr>
        <w:t xml:space="preserve"> currently has no projects targeting the voluntary forest carbon market.  However, SNV is currently developing a project in Cat Tien District of Lam Dong province, which includes the </w:t>
      </w:r>
      <w:smartTag w:uri="urn:schemas-microsoft-com:office:smarttags" w:element="place">
        <w:smartTag w:uri="urn:schemas-microsoft-com:office:smarttags" w:element="PlaceName">
          <w:r w:rsidRPr="00EC1298">
            <w:rPr>
              <w:rFonts w:ascii="Book Antiqua" w:hAnsi="Book Antiqua" w:cs="Arial"/>
              <w:sz w:val="22"/>
              <w:szCs w:val="22"/>
            </w:rPr>
            <w:t>Cat</w:t>
          </w:r>
        </w:smartTag>
        <w:r w:rsidRPr="00EC1298">
          <w:rPr>
            <w:rFonts w:ascii="Book Antiqua" w:hAnsi="Book Antiqua" w:cs="Arial"/>
            <w:sz w:val="22"/>
            <w:szCs w:val="22"/>
          </w:rPr>
          <w:t xml:space="preserve"> </w:t>
        </w:r>
        <w:smartTag w:uri="urn:schemas-microsoft-com:office:smarttags" w:element="PlaceName">
          <w:r w:rsidRPr="00EC1298">
            <w:rPr>
              <w:rFonts w:ascii="Book Antiqua" w:hAnsi="Book Antiqua" w:cs="Arial"/>
              <w:sz w:val="22"/>
              <w:szCs w:val="22"/>
            </w:rPr>
            <w:t>Tien</w:t>
          </w:r>
        </w:smartTag>
        <w:r w:rsidRPr="00EC1298">
          <w:rPr>
            <w:rFonts w:ascii="Book Antiqua" w:hAnsi="Book Antiqua" w:cs="Arial"/>
            <w:sz w:val="22"/>
            <w:szCs w:val="22"/>
          </w:rPr>
          <w:t xml:space="preserve"> </w:t>
        </w:r>
        <w:smartTag w:uri="urn:schemas-microsoft-com:office:smarttags" w:element="PlaceType">
          <w:r w:rsidRPr="00EC1298">
            <w:rPr>
              <w:rFonts w:ascii="Book Antiqua" w:hAnsi="Book Antiqua" w:cs="Arial"/>
              <w:sz w:val="22"/>
              <w:szCs w:val="22"/>
            </w:rPr>
            <w:t>National Park</w:t>
          </w:r>
        </w:smartTag>
      </w:smartTag>
      <w:r w:rsidRPr="00EC1298">
        <w:rPr>
          <w:rFonts w:ascii="Book Antiqua" w:hAnsi="Book Antiqua" w:cs="Arial"/>
          <w:sz w:val="22"/>
          <w:szCs w:val="22"/>
        </w:rPr>
        <w:t>.</w:t>
      </w:r>
    </w:p>
    <w:p w:rsidR="00351F2C" w:rsidRPr="00445F77" w:rsidRDefault="00351F2C" w:rsidP="00A256CB">
      <w:pPr>
        <w:spacing w:after="0" w:line="300" w:lineRule="atLeast"/>
        <w:jc w:val="both"/>
        <w:rPr>
          <w:rFonts w:ascii="Arial" w:hAnsi="Arial" w:cs="Arial"/>
          <w:sz w:val="24"/>
          <w:szCs w:val="24"/>
        </w:rPr>
      </w:pPr>
    </w:p>
    <w:p w:rsidR="00351F2C" w:rsidRPr="00445F77" w:rsidRDefault="00351F2C" w:rsidP="00A256CB">
      <w:pPr>
        <w:spacing w:after="0" w:line="300" w:lineRule="atLeast"/>
        <w:jc w:val="both"/>
        <w:rPr>
          <w:rFonts w:ascii="Arial" w:hAnsi="Arial" w:cs="Arial"/>
          <w:i/>
          <w:color w:val="1F497D"/>
          <w:sz w:val="24"/>
          <w:szCs w:val="24"/>
        </w:rPr>
      </w:pPr>
      <w:r w:rsidRPr="00445F77">
        <w:rPr>
          <w:rFonts w:ascii="Arial" w:hAnsi="Arial" w:cs="Arial"/>
          <w:i/>
          <w:color w:val="1F497D"/>
          <w:sz w:val="24"/>
          <w:szCs w:val="24"/>
        </w:rPr>
        <w:t>Payment structuring</w:t>
      </w: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In the Hoa Binh CDM project, the non-profit organization pays local households for their contributions to the project from the finance contributed by Honda (Figure 2.8).</w:t>
      </w:r>
      <w:r w:rsidRPr="00EC1298">
        <w:rPr>
          <w:rStyle w:val="FootnoteReference"/>
          <w:rFonts w:ascii="Book Antiqua" w:hAnsi="Book Antiqua" w:cs="Arial"/>
        </w:rPr>
        <w:footnoteReference w:id="33"/>
      </w:r>
      <w:r w:rsidRPr="00EC1298">
        <w:rPr>
          <w:rFonts w:ascii="Book Antiqua" w:hAnsi="Book Antiqua" w:cs="Arial"/>
        </w:rPr>
        <w:t xml:space="preserve"> Household participation is voluntary, but participants are required to hold legal titles to the land they want to contribute.  Households receive VND 40,000 per labor day, which is approximately two thirds of the standard pay for heavy agricultural labor in the locality.  In the future, participating households and the non-profit organization will share the revenues from the sale of </w:t>
      </w:r>
      <w:r w:rsidR="000D7D36">
        <w:rPr>
          <w:rFonts w:ascii="Book Antiqua" w:hAnsi="Book Antiqua" w:cs="Arial"/>
        </w:rPr>
        <w:t xml:space="preserve">Certified Emission reductions) </w:t>
      </w:r>
      <w:r w:rsidRPr="00EC1298">
        <w:rPr>
          <w:rFonts w:ascii="Book Antiqua" w:hAnsi="Book Antiqua" w:cs="Arial"/>
        </w:rPr>
        <w:t>CERs equally. When the wood is harvested after 16 years, households will receive two thirds or three quarters of the revenues, the rest going to the non-profit organization. The non-profit organization claims that participating households will be able to derive a total of US$3,366 per hectare over the lifetime of the project, including US$ 172 from payments for their labor contributions, US$ 194 from the sale of CERs, and US$3,000 from the eventual sale of wood.</w:t>
      </w:r>
    </w:p>
    <w:p w:rsidR="00351F2C" w:rsidRPr="00445F77" w:rsidRDefault="00351F2C" w:rsidP="00A256CB">
      <w:pPr>
        <w:spacing w:after="0" w:line="300" w:lineRule="atLeast"/>
        <w:jc w:val="both"/>
        <w:rPr>
          <w:rFonts w:ascii="Arial" w:hAnsi="Arial" w:cs="Arial"/>
          <w:sz w:val="24"/>
          <w:szCs w:val="24"/>
        </w:rPr>
      </w:pPr>
    </w:p>
    <w:p w:rsidR="00351F2C" w:rsidRPr="00445F77" w:rsidRDefault="00351F2C" w:rsidP="00A256CB">
      <w:pPr>
        <w:spacing w:after="0"/>
        <w:rPr>
          <w:rFonts w:ascii="Arial" w:hAnsi="Arial" w:cs="Arial"/>
          <w:i/>
          <w:color w:val="1F497D"/>
          <w:sz w:val="24"/>
          <w:szCs w:val="24"/>
        </w:rPr>
      </w:pPr>
      <w:r w:rsidRPr="00445F77">
        <w:rPr>
          <w:rFonts w:ascii="Arial" w:hAnsi="Arial" w:cs="Arial"/>
          <w:i/>
          <w:color w:val="1F497D"/>
          <w:sz w:val="24"/>
          <w:szCs w:val="24"/>
        </w:rPr>
        <w:t>Linking benefits to performance</w:t>
      </w:r>
    </w:p>
    <w:p w:rsidR="00351F2C" w:rsidRPr="00EC1298" w:rsidRDefault="00351F2C" w:rsidP="00A256CB">
      <w:pPr>
        <w:spacing w:after="0" w:line="300" w:lineRule="atLeast"/>
        <w:jc w:val="both"/>
        <w:rPr>
          <w:rFonts w:ascii="Book Antiqua" w:hAnsi="Book Antiqua" w:cs="Arial"/>
        </w:rPr>
      </w:pPr>
      <w:r w:rsidRPr="00EC1298">
        <w:rPr>
          <w:rFonts w:ascii="Book Antiqua" w:hAnsi="Book Antiqua" w:cs="Arial"/>
        </w:rPr>
        <w:t xml:space="preserve">Projects seeking carbon credits from CDM or on the voluntary market are fully tied to measured performance.  Projects only receive CERs under CDM if they can prove successful performance according to the CDM guidelines.  The amount of CERs granted corresponds exactly with the carbon absorbed, as calculated by the approved CDM methodology.  </w:t>
      </w:r>
    </w:p>
    <w:p w:rsidR="00351F2C" w:rsidRPr="00445F77" w:rsidRDefault="00351F2C" w:rsidP="00A256CB">
      <w:pPr>
        <w:spacing w:after="0"/>
        <w:jc w:val="center"/>
        <w:rPr>
          <w:rFonts w:ascii="Arial" w:hAnsi="Arial" w:cs="Arial"/>
          <w:b/>
          <w:sz w:val="24"/>
          <w:szCs w:val="24"/>
        </w:rPr>
      </w:pPr>
    </w:p>
    <w:p w:rsidR="00FB753B" w:rsidRPr="00445F77" w:rsidRDefault="00FB753B" w:rsidP="00FB753B">
      <w:pPr>
        <w:spacing w:after="0" w:line="300" w:lineRule="atLeast"/>
        <w:jc w:val="both"/>
        <w:rPr>
          <w:rFonts w:ascii="Arial" w:hAnsi="Arial" w:cs="Arial"/>
          <w:i/>
          <w:color w:val="1F497D"/>
          <w:sz w:val="24"/>
          <w:szCs w:val="24"/>
          <w:lang w:val="en-CA"/>
        </w:rPr>
      </w:pPr>
      <w:r w:rsidRPr="00445F77">
        <w:rPr>
          <w:rFonts w:ascii="Arial" w:hAnsi="Arial" w:cs="Arial"/>
          <w:i/>
          <w:color w:val="1F497D"/>
          <w:sz w:val="24"/>
          <w:szCs w:val="24"/>
          <w:lang w:val="en-CA"/>
        </w:rPr>
        <w:t>Analysis</w:t>
      </w:r>
    </w:p>
    <w:p w:rsidR="00FB753B" w:rsidRDefault="00FB753B" w:rsidP="00FB753B">
      <w:pPr>
        <w:spacing w:after="0"/>
        <w:jc w:val="both"/>
        <w:rPr>
          <w:rFonts w:ascii="Book Antiqua" w:hAnsi="Book Antiqua" w:cs="Arial"/>
          <w:b/>
        </w:rPr>
      </w:pPr>
      <w:r w:rsidRPr="00EC1298">
        <w:rPr>
          <w:rFonts w:ascii="Book Antiqua" w:hAnsi="Book Antiqua" w:cs="Arial"/>
        </w:rPr>
        <w:t xml:space="preserve">The architectures of the CDM and the voluntary carbon market demonstrate a radically allocation mechanism.  In contrast to centralized government </w:t>
      </w:r>
      <w:r>
        <w:rPr>
          <w:rFonts w:ascii="Book Antiqua" w:hAnsi="Book Antiqua" w:cs="Arial"/>
        </w:rPr>
        <w:t>programme</w:t>
      </w:r>
      <w:r w:rsidRPr="00EC1298">
        <w:rPr>
          <w:rFonts w:ascii="Book Antiqua" w:hAnsi="Book Antiqua" w:cs="Arial"/>
        </w:rPr>
        <w:t>s and donor projects, the CDM and voluntary carbon markets do not define cost norms for the support project developers can provide to forest managers.  Instead, the key parameter for project developers is the price CERs or VERs receive on international carbon markets.  In</w:t>
      </w:r>
      <w:r>
        <w:rPr>
          <w:rFonts w:ascii="Book Antiqua" w:hAnsi="Book Antiqua" w:cs="Arial"/>
        </w:rPr>
        <w:t xml:space="preserve"> addition,</w:t>
      </w:r>
      <w:r w:rsidRPr="00EC1298">
        <w:rPr>
          <w:rFonts w:ascii="Book Antiqua" w:hAnsi="Book Antiqua" w:cs="Arial"/>
        </w:rPr>
        <w:t xml:space="preserve"> no government agency decides about the location of CDM or voluntary carbon</w:t>
      </w:r>
    </w:p>
    <w:p w:rsidR="00FB753B" w:rsidRDefault="00FB753B" w:rsidP="00A256CB">
      <w:pPr>
        <w:spacing w:after="0"/>
        <w:jc w:val="center"/>
        <w:rPr>
          <w:rFonts w:ascii="Book Antiqua" w:hAnsi="Book Antiqua" w:cs="Arial"/>
          <w:b/>
        </w:rPr>
      </w:pPr>
    </w:p>
    <w:p w:rsidR="00351F2C" w:rsidRPr="00EC1298" w:rsidRDefault="00351F2C" w:rsidP="00A256CB">
      <w:pPr>
        <w:spacing w:after="0"/>
        <w:jc w:val="center"/>
        <w:rPr>
          <w:rFonts w:ascii="Book Antiqua" w:hAnsi="Book Antiqua" w:cs="Arial"/>
        </w:rPr>
      </w:pPr>
      <w:r w:rsidRPr="00EC1298">
        <w:rPr>
          <w:rFonts w:ascii="Book Antiqua" w:hAnsi="Book Antiqua" w:cs="Arial"/>
          <w:b/>
        </w:rPr>
        <w:t>Figure 2.8: Structure of CDM project in Hoa Binh</w:t>
      </w:r>
    </w:p>
    <w:p w:rsidR="00351F2C" w:rsidRPr="00445F77" w:rsidRDefault="000D756D" w:rsidP="00A256CB">
      <w:pPr>
        <w:jc w:val="center"/>
        <w:rPr>
          <w:rFonts w:ascii="Arial" w:hAnsi="Arial" w:cs="Arial"/>
          <w:sz w:val="24"/>
          <w:szCs w:val="24"/>
        </w:rPr>
      </w:pPr>
      <w:r>
        <w:rPr>
          <w:rFonts w:ascii="Arial" w:hAnsi="Arial" w:cs="Arial"/>
          <w:noProof/>
          <w:sz w:val="24"/>
          <w:szCs w:val="24"/>
          <w:lang w:val="en-US"/>
        </w:rPr>
        <w:drawing>
          <wp:inline distT="0" distB="0" distL="0" distR="0">
            <wp:extent cx="4848225" cy="2971800"/>
            <wp:effectExtent l="19050" t="19050" r="28575" b="1905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4848225" cy="2971800"/>
                    </a:xfrm>
                    <a:prstGeom prst="rect">
                      <a:avLst/>
                    </a:prstGeom>
                    <a:solidFill>
                      <a:srgbClr val="CCFFFF"/>
                    </a:solidFill>
                    <a:ln w="12700" cmpd="sng">
                      <a:solidFill>
                        <a:srgbClr val="000000"/>
                      </a:solidFill>
                      <a:miter lim="800000"/>
                      <a:headEnd/>
                      <a:tailEnd/>
                    </a:ln>
                    <a:effectLst/>
                  </pic:spPr>
                </pic:pic>
              </a:graphicData>
            </a:graphic>
          </wp:inline>
        </w:drawing>
      </w:r>
    </w:p>
    <w:tbl>
      <w:tblPr>
        <w:tblW w:w="4880" w:type="dxa"/>
        <w:tblInd w:w="108" w:type="dxa"/>
        <w:tblLook w:val="0000"/>
      </w:tblPr>
      <w:tblGrid>
        <w:gridCol w:w="976"/>
        <w:gridCol w:w="3904"/>
      </w:tblGrid>
      <w:tr w:rsidR="00351F2C" w:rsidRPr="00445F77">
        <w:trPr>
          <w:trHeight w:val="264"/>
        </w:trPr>
        <w:tc>
          <w:tcPr>
            <w:tcW w:w="976" w:type="dxa"/>
            <w:tcBorders>
              <w:top w:val="nil"/>
              <w:left w:val="nil"/>
              <w:bottom w:val="nil"/>
              <w:right w:val="nil"/>
            </w:tcBorders>
            <w:shd w:val="clear" w:color="auto" w:fill="auto"/>
            <w:noWrap/>
            <w:vAlign w:val="bottom"/>
          </w:tcPr>
          <w:p w:rsidR="00351F2C" w:rsidRPr="00EC1298" w:rsidRDefault="00351F2C" w:rsidP="00A256CB">
            <w:pPr>
              <w:spacing w:after="0" w:line="240" w:lineRule="auto"/>
              <w:rPr>
                <w:rFonts w:ascii="Book Antiqua" w:eastAsia="MS Mincho" w:hAnsi="Book Antiqua" w:cs="Arial"/>
                <w:sz w:val="20"/>
                <w:szCs w:val="20"/>
                <w:lang w:val="en-CA" w:eastAsia="ja-JP"/>
              </w:rPr>
            </w:pPr>
            <w:r w:rsidRPr="00EC1298">
              <w:rPr>
                <w:rFonts w:ascii="Book Antiqua" w:eastAsia="MS Mincho" w:hAnsi="Book Antiqua" w:cs="Arial"/>
                <w:sz w:val="20"/>
                <w:szCs w:val="20"/>
                <w:lang w:val="en-CA" w:eastAsia="ja-JP"/>
              </w:rPr>
              <w:t>Legend</w:t>
            </w:r>
          </w:p>
        </w:tc>
        <w:tc>
          <w:tcPr>
            <w:tcW w:w="3904" w:type="dxa"/>
            <w:vMerge w:val="restart"/>
            <w:tcBorders>
              <w:top w:val="nil"/>
              <w:left w:val="nil"/>
              <w:right w:val="nil"/>
            </w:tcBorders>
            <w:shd w:val="clear" w:color="auto" w:fill="auto"/>
            <w:noWrap/>
            <w:vAlign w:val="bottom"/>
          </w:tcPr>
          <w:p w:rsidR="00351F2C" w:rsidRPr="00EC1298" w:rsidRDefault="00351F2C" w:rsidP="00A256CB">
            <w:pPr>
              <w:spacing w:after="0" w:line="240" w:lineRule="auto"/>
              <w:rPr>
                <w:rFonts w:ascii="Book Antiqua" w:eastAsia="MS Mincho" w:hAnsi="Book Antiqua" w:cs="Arial"/>
                <w:sz w:val="20"/>
                <w:szCs w:val="20"/>
                <w:lang w:val="en-CA" w:eastAsia="ja-JP"/>
              </w:rPr>
            </w:pPr>
            <w:r w:rsidRPr="00EC1298">
              <w:rPr>
                <w:rFonts w:ascii="Book Antiqua" w:eastAsia="MS Mincho" w:hAnsi="Book Antiqua" w:cs="Arial"/>
                <w:sz w:val="20"/>
                <w:szCs w:val="20"/>
                <w:lang w:val="en-CA" w:eastAsia="ja-JP"/>
              </w:rPr>
              <w:t xml:space="preserve">Cash flow </w:t>
            </w:r>
          </w:p>
        </w:tc>
      </w:tr>
      <w:tr w:rsidR="00351F2C" w:rsidRPr="00445F77">
        <w:trPr>
          <w:trHeight w:val="264"/>
        </w:trPr>
        <w:tc>
          <w:tcPr>
            <w:tcW w:w="976" w:type="dxa"/>
            <w:tcBorders>
              <w:top w:val="nil"/>
              <w:left w:val="nil"/>
              <w:bottom w:val="nil"/>
              <w:right w:val="nil"/>
            </w:tcBorders>
            <w:shd w:val="clear" w:color="auto" w:fill="auto"/>
            <w:noWrap/>
            <w:vAlign w:val="bottom"/>
          </w:tcPr>
          <w:p w:rsidR="00351F2C" w:rsidRPr="00EC1298" w:rsidRDefault="00C47C3B" w:rsidP="00A256CB">
            <w:pPr>
              <w:spacing w:after="0" w:line="240" w:lineRule="auto"/>
              <w:rPr>
                <w:rFonts w:ascii="Book Antiqua" w:eastAsia="MS Mincho" w:hAnsi="Book Antiqua" w:cs="Arial"/>
                <w:sz w:val="20"/>
                <w:szCs w:val="20"/>
                <w:lang w:val="en-CA" w:eastAsia="ja-JP"/>
              </w:rPr>
            </w:pPr>
            <w:r w:rsidRPr="00C47C3B">
              <w:rPr>
                <w:rFonts w:ascii="Book Antiqua" w:eastAsia="MS Mincho" w:hAnsi="Book Antiqua" w:cs="Arial"/>
                <w:sz w:val="20"/>
                <w:szCs w:val="20"/>
                <w:lang w:val="en-CA" w:eastAsia="ja-JP"/>
              </w:rPr>
              <w:pict>
                <v:line id="_x0000_s1138" style="position:absolute;z-index:251615744;mso-position-horizontal-relative:text;mso-position-vertical-relative:text" from="-3pt,6pt" to="42.6pt,6pt" strokecolor="windowText" o:insetmode="auto">
                  <v:stroke dashstyle="1 1" endarrow="block"/>
                </v:line>
              </w:pict>
            </w:r>
          </w:p>
        </w:tc>
        <w:tc>
          <w:tcPr>
            <w:tcW w:w="3904" w:type="dxa"/>
            <w:vMerge/>
            <w:tcBorders>
              <w:left w:val="nil"/>
              <w:bottom w:val="nil"/>
              <w:right w:val="nil"/>
            </w:tcBorders>
            <w:shd w:val="clear" w:color="auto" w:fill="auto"/>
            <w:noWrap/>
            <w:vAlign w:val="bottom"/>
          </w:tcPr>
          <w:p w:rsidR="00351F2C" w:rsidRPr="00EC1298" w:rsidRDefault="00351F2C" w:rsidP="00A256CB">
            <w:pPr>
              <w:spacing w:after="0" w:line="240" w:lineRule="auto"/>
              <w:rPr>
                <w:rFonts w:ascii="Book Antiqua" w:eastAsia="MS Mincho" w:hAnsi="Book Antiqua" w:cs="Arial"/>
                <w:sz w:val="20"/>
                <w:szCs w:val="20"/>
                <w:lang w:val="en-CA" w:eastAsia="ja-JP"/>
              </w:rPr>
            </w:pPr>
          </w:p>
        </w:tc>
      </w:tr>
      <w:tr w:rsidR="00351F2C" w:rsidRPr="00445F77">
        <w:trPr>
          <w:trHeight w:val="264"/>
        </w:trPr>
        <w:tc>
          <w:tcPr>
            <w:tcW w:w="976" w:type="dxa"/>
            <w:tcBorders>
              <w:top w:val="nil"/>
              <w:left w:val="nil"/>
              <w:bottom w:val="nil"/>
              <w:right w:val="nil"/>
            </w:tcBorders>
            <w:shd w:val="clear" w:color="auto" w:fill="auto"/>
            <w:noWrap/>
            <w:vAlign w:val="bottom"/>
          </w:tcPr>
          <w:p w:rsidR="00351F2C" w:rsidRPr="00EC1298" w:rsidRDefault="00C47C3B" w:rsidP="00A256CB">
            <w:pPr>
              <w:spacing w:after="0" w:line="240" w:lineRule="auto"/>
              <w:rPr>
                <w:rFonts w:ascii="Book Antiqua" w:eastAsia="MS Mincho" w:hAnsi="Book Antiqua" w:cs="Arial"/>
                <w:sz w:val="20"/>
                <w:szCs w:val="20"/>
                <w:lang w:val="en-CA" w:eastAsia="ja-JP"/>
              </w:rPr>
            </w:pPr>
            <w:r w:rsidRPr="00C47C3B">
              <w:rPr>
                <w:rFonts w:ascii="Book Antiqua" w:eastAsia="MS Mincho" w:hAnsi="Book Antiqua" w:cs="Arial"/>
                <w:sz w:val="20"/>
                <w:szCs w:val="20"/>
                <w:lang w:val="en-CA" w:eastAsia="ja-JP"/>
              </w:rPr>
              <w:pict>
                <v:line id="_x0000_s1137" style="position:absolute;z-index:251614720;mso-position-horizontal-relative:text;mso-position-vertical-relative:text" from="-2.05pt,7.2pt" to="40.55pt,7.2pt" strokecolor="windowText" o:insetmode="auto">
                  <v:stroke endarrow="block"/>
                </v:line>
              </w:pict>
            </w:r>
          </w:p>
        </w:tc>
        <w:tc>
          <w:tcPr>
            <w:tcW w:w="3904" w:type="dxa"/>
            <w:tcBorders>
              <w:top w:val="nil"/>
              <w:left w:val="nil"/>
              <w:bottom w:val="nil"/>
              <w:right w:val="nil"/>
            </w:tcBorders>
            <w:shd w:val="clear" w:color="auto" w:fill="auto"/>
            <w:noWrap/>
            <w:vAlign w:val="bottom"/>
          </w:tcPr>
          <w:p w:rsidR="00351F2C" w:rsidRPr="00EC1298" w:rsidRDefault="00351F2C" w:rsidP="00A256CB">
            <w:pPr>
              <w:spacing w:after="0" w:line="240" w:lineRule="auto"/>
              <w:rPr>
                <w:rFonts w:ascii="Book Antiqua" w:eastAsia="MS Mincho" w:hAnsi="Book Antiqua" w:cs="Arial"/>
                <w:sz w:val="20"/>
                <w:szCs w:val="20"/>
                <w:lang w:val="en-CA" w:eastAsia="ja-JP"/>
              </w:rPr>
            </w:pPr>
            <w:r w:rsidRPr="00EC1298">
              <w:rPr>
                <w:rFonts w:ascii="Book Antiqua" w:eastAsia="MS Mincho" w:hAnsi="Book Antiqua" w:cs="Arial"/>
                <w:sz w:val="20"/>
                <w:szCs w:val="20"/>
                <w:lang w:val="en-CA" w:eastAsia="ja-JP"/>
              </w:rPr>
              <w:t>work relations and technical supervision</w:t>
            </w:r>
          </w:p>
        </w:tc>
      </w:tr>
    </w:tbl>
    <w:p w:rsidR="00351F2C" w:rsidRPr="00445F77" w:rsidRDefault="00351F2C" w:rsidP="00A256CB">
      <w:pPr>
        <w:spacing w:after="0"/>
        <w:rPr>
          <w:rFonts w:ascii="Arial" w:hAnsi="Arial" w:cs="Arial"/>
          <w:sz w:val="24"/>
          <w:szCs w:val="24"/>
          <w:lang w:val="en-CA"/>
        </w:rPr>
      </w:pPr>
    </w:p>
    <w:p w:rsidR="00351F2C" w:rsidRPr="00EC1298" w:rsidRDefault="00FB753B" w:rsidP="00FB753B">
      <w:pPr>
        <w:spacing w:after="0"/>
        <w:jc w:val="both"/>
        <w:rPr>
          <w:rFonts w:ascii="Book Antiqua" w:hAnsi="Book Antiqua" w:cs="Arial"/>
        </w:rPr>
      </w:pPr>
      <w:r w:rsidRPr="00EC1298">
        <w:rPr>
          <w:rFonts w:ascii="Book Antiqua" w:hAnsi="Book Antiqua" w:cs="Arial"/>
        </w:rPr>
        <w:t>market projects.  It is up to project developers to identify a site that offers suitable</w:t>
      </w:r>
      <w:r>
        <w:rPr>
          <w:rFonts w:ascii="Book Antiqua" w:hAnsi="Book Antiqua" w:cs="Arial"/>
        </w:rPr>
        <w:t xml:space="preserve"> </w:t>
      </w:r>
      <w:r w:rsidR="00351F2C" w:rsidRPr="00EC1298">
        <w:rPr>
          <w:rFonts w:ascii="Book Antiqua" w:hAnsi="Book Antiqua" w:cs="Arial"/>
        </w:rPr>
        <w:t>silvicultural, economic and social conditions.  The architectures of the CDM and the voluntary carbon markets thus rest on market allocation in order to avoid the inefficiencies identified for centralized administrative allocation above.  Project developers’ search for profits provides a powerful mechanism to match the available funds with local potentials for increases in carbon stocks.</w:t>
      </w:r>
    </w:p>
    <w:p w:rsidR="00FB753B" w:rsidRDefault="00FB753B" w:rsidP="00B641CE">
      <w:pPr>
        <w:spacing w:after="0" w:line="300" w:lineRule="atLeast"/>
        <w:jc w:val="both"/>
        <w:rPr>
          <w:rFonts w:ascii="Book Antiqua" w:hAnsi="Book Antiqua" w:cs="Arial"/>
        </w:rPr>
      </w:pPr>
      <w:bookmarkStart w:id="75" w:name="_Toc243984117"/>
      <w:bookmarkStart w:id="76" w:name="_Toc244327640"/>
      <w:bookmarkStart w:id="77" w:name="_Toc244327889"/>
      <w:bookmarkStart w:id="78" w:name="_Toc244735040"/>
      <w:bookmarkStart w:id="79" w:name="_Toc244735648"/>
      <w:bookmarkStart w:id="80" w:name="_Toc245810420"/>
    </w:p>
    <w:p w:rsidR="00B641CE" w:rsidRPr="00EC1298" w:rsidRDefault="00B641CE" w:rsidP="00B641CE">
      <w:pPr>
        <w:spacing w:after="0" w:line="300" w:lineRule="atLeast"/>
        <w:jc w:val="both"/>
        <w:rPr>
          <w:rFonts w:ascii="Book Antiqua" w:hAnsi="Book Antiqua" w:cs="Arial"/>
        </w:rPr>
      </w:pPr>
      <w:r w:rsidRPr="00EC1298">
        <w:rPr>
          <w:rFonts w:ascii="Book Antiqua" w:hAnsi="Book Antiqua" w:cs="Arial"/>
        </w:rPr>
        <w:t xml:space="preserve">The time lag between project initiation and the eventual issuance of CERs has been a significant hurdle for forestry projects under the CDM, however.  Few projects have managed to cover the required start-up costs (both investment and transaction).  The Hoa Binh CDM project required substantial investment from JICA and Honda, and likewise, the AR-CDM project in </w:t>
      </w:r>
      <w:smartTag w:uri="urn:schemas-microsoft-com:office:smarttags" w:element="place">
        <w:smartTag w:uri="urn:schemas-microsoft-com:office:smarttags" w:element="City">
          <w:r w:rsidRPr="00EC1298">
            <w:rPr>
              <w:rFonts w:ascii="Book Antiqua" w:hAnsi="Book Antiqua" w:cs="Arial"/>
            </w:rPr>
            <w:t>Guangxi</w:t>
          </w:r>
        </w:smartTag>
        <w:r w:rsidRPr="00EC1298">
          <w:rPr>
            <w:rFonts w:ascii="Book Antiqua" w:hAnsi="Book Antiqua" w:cs="Arial"/>
          </w:rPr>
          <w:t xml:space="preserve">, </w:t>
        </w:r>
        <w:smartTag w:uri="urn:schemas-microsoft-com:office:smarttags" w:element="country-region">
          <w:r w:rsidRPr="00EC1298">
            <w:rPr>
              <w:rFonts w:ascii="Book Antiqua" w:hAnsi="Book Antiqua" w:cs="Arial"/>
            </w:rPr>
            <w:t>China</w:t>
          </w:r>
        </w:smartTag>
      </w:smartTag>
      <w:r w:rsidRPr="00EC1298">
        <w:rPr>
          <w:rFonts w:ascii="Book Antiqua" w:hAnsi="Book Antiqua" w:cs="Arial"/>
        </w:rPr>
        <w:t xml:space="preserve">, would not likely have succeeded without the assistance received from the </w:t>
      </w:r>
      <w:r w:rsidR="00D7117B">
        <w:rPr>
          <w:rFonts w:ascii="Book Antiqua" w:hAnsi="Book Antiqua" w:cs="Arial"/>
        </w:rPr>
        <w:t>WB</w:t>
      </w:r>
      <w:r w:rsidRPr="00EC1298">
        <w:rPr>
          <w:rFonts w:ascii="Book Antiqua" w:hAnsi="Book Antiqua" w:cs="Arial"/>
        </w:rPr>
        <w:t xml:space="preserve"> and the purchase of emissions reduction by the </w:t>
      </w:r>
      <w:r w:rsidR="00D7117B">
        <w:rPr>
          <w:rFonts w:ascii="Book Antiqua" w:hAnsi="Book Antiqua" w:cs="Arial"/>
        </w:rPr>
        <w:t>WB</w:t>
      </w:r>
      <w:r w:rsidRPr="00EC1298">
        <w:rPr>
          <w:rFonts w:ascii="Book Antiqua" w:hAnsi="Book Antiqua" w:cs="Arial"/>
        </w:rPr>
        <w:t>’s Biocarbon Fund.</w:t>
      </w:r>
    </w:p>
    <w:p w:rsidR="00B641CE" w:rsidRPr="00EC1298" w:rsidRDefault="00B641CE" w:rsidP="00B641CE">
      <w:pPr>
        <w:spacing w:after="0" w:line="300" w:lineRule="atLeast"/>
        <w:rPr>
          <w:rFonts w:ascii="Book Antiqua" w:hAnsi="Book Antiqua" w:cs="Arial"/>
        </w:rPr>
      </w:pPr>
    </w:p>
    <w:p w:rsidR="00B641CE" w:rsidRPr="00EC1298" w:rsidRDefault="00B641CE" w:rsidP="00B641CE">
      <w:pPr>
        <w:spacing w:after="0" w:line="300" w:lineRule="atLeast"/>
        <w:jc w:val="both"/>
        <w:rPr>
          <w:rFonts w:ascii="Book Antiqua" w:hAnsi="Book Antiqua" w:cs="Arial"/>
        </w:rPr>
      </w:pPr>
      <w:r w:rsidRPr="00EC1298">
        <w:rPr>
          <w:rFonts w:ascii="Book Antiqua" w:hAnsi="Book Antiqua" w:cs="Arial"/>
        </w:rPr>
        <w:t xml:space="preserve">The same lesson applies to projects seeking to sell VERs on the voluntary carbon market.  Even though the accreditation requirements are less stringent, the time lag between the initial investment and eventual generation of returns from the sale of VERs remains significant.  Projects such as the Noel Kempff Mercado Climate Action Project in </w:t>
      </w:r>
      <w:smartTag w:uri="urn:schemas-microsoft-com:office:smarttags" w:element="country-region">
        <w:r w:rsidRPr="00EC1298">
          <w:rPr>
            <w:rFonts w:ascii="Book Antiqua" w:hAnsi="Book Antiqua" w:cs="Arial"/>
          </w:rPr>
          <w:t>Bolivia</w:t>
        </w:r>
      </w:smartTag>
      <w:r w:rsidRPr="00EC1298">
        <w:rPr>
          <w:rFonts w:ascii="Book Antiqua" w:hAnsi="Book Antiqua" w:cs="Arial"/>
        </w:rPr>
        <w:t xml:space="preserve"> and the Ulu Masen Project in </w:t>
      </w:r>
      <w:smartTag w:uri="urn:schemas-microsoft-com:office:smarttags" w:element="country-region">
        <w:smartTag w:uri="urn:schemas-microsoft-com:office:smarttags" w:element="place">
          <w:r w:rsidRPr="00EC1298">
            <w:rPr>
              <w:rFonts w:ascii="Book Antiqua" w:hAnsi="Book Antiqua" w:cs="Arial"/>
            </w:rPr>
            <w:t>Indonesia</w:t>
          </w:r>
        </w:smartTag>
      </w:smartTag>
      <w:r w:rsidRPr="00EC1298">
        <w:rPr>
          <w:rFonts w:ascii="Book Antiqua" w:hAnsi="Book Antiqua" w:cs="Arial"/>
        </w:rPr>
        <w:t xml:space="preserve"> have only been possible because of the financial backing they received from third parties.</w:t>
      </w:r>
    </w:p>
    <w:p w:rsidR="00B641CE" w:rsidRPr="00EC1298" w:rsidRDefault="00B641CE" w:rsidP="00B641CE">
      <w:pPr>
        <w:spacing w:after="0" w:line="300" w:lineRule="atLeast"/>
        <w:rPr>
          <w:rFonts w:ascii="Book Antiqua" w:hAnsi="Book Antiqua" w:cs="Arial"/>
        </w:rPr>
      </w:pPr>
    </w:p>
    <w:p w:rsidR="00B641CE" w:rsidRPr="00EC1298" w:rsidRDefault="00B641CE" w:rsidP="00B641CE">
      <w:pPr>
        <w:spacing w:after="0" w:line="300" w:lineRule="atLeast"/>
        <w:jc w:val="both"/>
        <w:rPr>
          <w:rFonts w:ascii="Book Antiqua" w:hAnsi="Book Antiqua" w:cs="Arial"/>
        </w:rPr>
      </w:pPr>
      <w:r w:rsidRPr="00EC1298">
        <w:rPr>
          <w:rFonts w:ascii="Book Antiqua" w:hAnsi="Book Antiqua" w:cs="Arial"/>
        </w:rPr>
        <w:lastRenderedPageBreak/>
        <w:t xml:space="preserve">These experiences demonstrate the problems associated with </w:t>
      </w:r>
      <w:r w:rsidRPr="00EC1298">
        <w:rPr>
          <w:rFonts w:ascii="Book Antiqua" w:hAnsi="Book Antiqua" w:cs="Arial"/>
          <w:i/>
        </w:rPr>
        <w:t>ex post</w:t>
      </w:r>
      <w:r w:rsidRPr="00EC1298">
        <w:rPr>
          <w:rFonts w:ascii="Book Antiqua" w:hAnsi="Book Antiqua" w:cs="Arial"/>
        </w:rPr>
        <w:t xml:space="preserve"> payments.  They may facilitate linking payments to performance, yet they do not provide the upfront incentives and resources required for initial investments.  </w:t>
      </w:r>
      <w:r w:rsidRPr="00EC1298">
        <w:rPr>
          <w:rFonts w:ascii="Book Antiqua" w:hAnsi="Book Antiqua" w:cs="Arial"/>
          <w:i/>
        </w:rPr>
        <w:t>Ex post</w:t>
      </w:r>
      <w:r w:rsidRPr="00EC1298">
        <w:rPr>
          <w:rFonts w:ascii="Book Antiqua" w:hAnsi="Book Antiqua" w:cs="Arial"/>
        </w:rPr>
        <w:t xml:space="preserve"> payments only work in combination with support granted by third parties in the form of technical and financial assistance.</w:t>
      </w:r>
    </w:p>
    <w:p w:rsidR="00B641CE" w:rsidRPr="00EC1298" w:rsidRDefault="00B641CE">
      <w:pPr>
        <w:spacing w:after="0" w:line="240" w:lineRule="auto"/>
        <w:rPr>
          <w:rFonts w:ascii="Book Antiqua" w:eastAsia="Times New Roman" w:hAnsi="Book Antiqua" w:cs="Arial"/>
          <w:bCs/>
          <w:color w:val="1F497D"/>
        </w:rPr>
      </w:pPr>
      <w:r w:rsidRPr="00EC1298">
        <w:rPr>
          <w:rFonts w:ascii="Book Antiqua" w:hAnsi="Book Antiqua" w:cs="Arial"/>
        </w:rPr>
        <w:br w:type="page"/>
      </w:r>
    </w:p>
    <w:p w:rsidR="00351F2C" w:rsidRPr="00445F77" w:rsidRDefault="00351F2C" w:rsidP="002D0F33">
      <w:pPr>
        <w:pStyle w:val="Heading1"/>
      </w:pPr>
      <w:bookmarkStart w:id="81" w:name="_Toc252354728"/>
      <w:r w:rsidRPr="00445F77">
        <w:lastRenderedPageBreak/>
        <w:t>3: Legal Framework</w:t>
      </w:r>
      <w:bookmarkEnd w:id="75"/>
      <w:bookmarkEnd w:id="76"/>
      <w:bookmarkEnd w:id="77"/>
      <w:bookmarkEnd w:id="78"/>
      <w:bookmarkEnd w:id="79"/>
      <w:bookmarkEnd w:id="80"/>
      <w:bookmarkEnd w:id="81"/>
    </w:p>
    <w:p w:rsidR="00351F2C" w:rsidRPr="000F0314" w:rsidRDefault="00351F2C" w:rsidP="00A256CB">
      <w:pPr>
        <w:spacing w:after="0" w:line="300" w:lineRule="atLeast"/>
        <w:jc w:val="both"/>
        <w:rPr>
          <w:rFonts w:ascii="Book Antiqua" w:hAnsi="Book Antiqua" w:cs="Arial"/>
        </w:rPr>
      </w:pPr>
      <w:r w:rsidRPr="000F0314">
        <w:rPr>
          <w:rFonts w:ascii="Book Antiqua" w:hAnsi="Book Antiqua" w:cs="Arial"/>
        </w:rPr>
        <w:t xml:space="preserve">This chapter analyzes the elements of a comprehensive legal framework required to support a REDD-compliant </w:t>
      </w:r>
      <w:r w:rsidR="00765C66">
        <w:rPr>
          <w:rFonts w:ascii="Book Antiqua" w:hAnsi="Book Antiqua" w:cs="Arial"/>
        </w:rPr>
        <w:t>BDS</w:t>
      </w:r>
      <w:r w:rsidRPr="000F0314">
        <w:rPr>
          <w:rFonts w:ascii="Book Antiqua" w:hAnsi="Book Antiqua" w:cs="Arial"/>
        </w:rPr>
        <w:t xml:space="preserve"> in </w:t>
      </w:r>
      <w:smartTag w:uri="urn:schemas-microsoft-com:office:smarttags" w:element="country-region">
        <w:smartTag w:uri="urn:schemas-microsoft-com:office:smarttags" w:element="place">
          <w:r w:rsidRPr="000F0314">
            <w:rPr>
              <w:rFonts w:ascii="Book Antiqua" w:hAnsi="Book Antiqua" w:cs="Arial"/>
            </w:rPr>
            <w:t>Viet Nam</w:t>
          </w:r>
        </w:smartTag>
      </w:smartTag>
      <w:r w:rsidRPr="000F0314">
        <w:rPr>
          <w:rFonts w:ascii="Book Antiqua" w:hAnsi="Book Antiqua" w:cs="Arial"/>
        </w:rPr>
        <w:t xml:space="preserve">.  An effective legal framework is essential in order to ensure that </w:t>
      </w:r>
      <w:r w:rsidR="00480D3D">
        <w:rPr>
          <w:rFonts w:ascii="Book Antiqua" w:hAnsi="Book Antiqua" w:cs="Arial"/>
        </w:rPr>
        <w:t>REDD+</w:t>
      </w:r>
      <w:r w:rsidRPr="000F0314">
        <w:rPr>
          <w:rFonts w:ascii="Book Antiqua" w:hAnsi="Book Antiqua" w:cs="Arial"/>
        </w:rPr>
        <w:t xml:space="preserve"> revenues are managed in such a way as to meet international expectations; and determine rights and responsibilities of the various stakeholders.  </w:t>
      </w:r>
    </w:p>
    <w:p w:rsidR="00351F2C" w:rsidRPr="000F0314" w:rsidRDefault="00351F2C" w:rsidP="00A256CB">
      <w:pPr>
        <w:spacing w:after="0" w:line="300" w:lineRule="atLeast"/>
        <w:jc w:val="both"/>
        <w:rPr>
          <w:rFonts w:ascii="Book Antiqua" w:hAnsi="Book Antiqua" w:cs="Arial"/>
        </w:rPr>
      </w:pPr>
    </w:p>
    <w:p w:rsidR="00351F2C" w:rsidRPr="000F0314" w:rsidRDefault="00351F2C" w:rsidP="00A256CB">
      <w:pPr>
        <w:spacing w:after="0" w:line="300" w:lineRule="atLeast"/>
        <w:jc w:val="both"/>
        <w:rPr>
          <w:rFonts w:ascii="Book Antiqua" w:hAnsi="Book Antiqua" w:cs="Arial"/>
        </w:rPr>
      </w:pPr>
      <w:r w:rsidRPr="000F0314">
        <w:rPr>
          <w:rFonts w:ascii="Book Antiqua" w:hAnsi="Book Antiqua" w:cs="Arial"/>
        </w:rPr>
        <w:t xml:space="preserve">With </w:t>
      </w:r>
      <w:r w:rsidR="001B6D90">
        <w:rPr>
          <w:rFonts w:ascii="Book Antiqua" w:hAnsi="Book Antiqua" w:cs="Arial"/>
        </w:rPr>
        <w:t>REDD+</w:t>
      </w:r>
      <w:r w:rsidRPr="000F0314">
        <w:rPr>
          <w:rFonts w:ascii="Book Antiqua" w:hAnsi="Book Antiqua" w:cs="Arial"/>
        </w:rPr>
        <w:t xml:space="preserve"> revenues likely to originate from both public (funds) and private international financing sources (investment), a sound, consistent and reliable legal framework for </w:t>
      </w:r>
      <w:r w:rsidR="001B6D90">
        <w:rPr>
          <w:rFonts w:ascii="Book Antiqua" w:hAnsi="Book Antiqua" w:cs="Arial"/>
        </w:rPr>
        <w:t>REDD+</w:t>
      </w:r>
      <w:r w:rsidRPr="000F0314">
        <w:rPr>
          <w:rFonts w:ascii="Book Antiqua" w:hAnsi="Book Antiqua" w:cs="Arial"/>
        </w:rPr>
        <w:t xml:space="preserve"> is essential to attract </w:t>
      </w:r>
      <w:r w:rsidR="00480D3D">
        <w:rPr>
          <w:rFonts w:ascii="Book Antiqua" w:hAnsi="Book Antiqua" w:cs="Arial"/>
        </w:rPr>
        <w:t>REDD+</w:t>
      </w:r>
      <w:r w:rsidRPr="000F0314">
        <w:rPr>
          <w:rFonts w:ascii="Book Antiqua" w:hAnsi="Book Antiqua" w:cs="Arial"/>
        </w:rPr>
        <w:t xml:space="preserve"> funds and investments to </w:t>
      </w:r>
      <w:r w:rsidR="009B66B1" w:rsidRPr="000F0314">
        <w:rPr>
          <w:rFonts w:ascii="Book Antiqua" w:hAnsi="Book Antiqua" w:cs="Arial"/>
        </w:rPr>
        <w:t>Viet Nam</w:t>
      </w:r>
      <w:r w:rsidRPr="000F0314">
        <w:rPr>
          <w:rFonts w:ascii="Book Antiqua" w:hAnsi="Book Antiqua" w:cs="Arial"/>
        </w:rPr>
        <w:t xml:space="preserve">.  </w:t>
      </w:r>
      <w:r w:rsidR="009B66B1" w:rsidRPr="000F0314">
        <w:rPr>
          <w:rFonts w:ascii="Book Antiqua" w:hAnsi="Book Antiqua" w:cs="Arial"/>
        </w:rPr>
        <w:t xml:space="preserve"> </w:t>
      </w:r>
      <w:r w:rsidRPr="000F0314">
        <w:rPr>
          <w:rFonts w:ascii="Book Antiqua" w:hAnsi="Book Antiqua" w:cs="Arial"/>
        </w:rPr>
        <w:t>A legal framework for a nationa</w:t>
      </w:r>
      <w:r w:rsidR="00C15459">
        <w:rPr>
          <w:rFonts w:ascii="Book Antiqua" w:hAnsi="Book Antiqua" w:cs="Arial"/>
        </w:rPr>
        <w:t xml:space="preserve">l </w:t>
      </w:r>
      <w:r w:rsidR="00C15459" w:rsidRPr="000F0314">
        <w:rPr>
          <w:rFonts w:ascii="Book Antiqua" w:hAnsi="Book Antiqua" w:cs="Arial"/>
        </w:rPr>
        <w:t xml:space="preserve"> </w:t>
      </w:r>
      <w:r w:rsidRPr="000F0314">
        <w:rPr>
          <w:rFonts w:ascii="Book Antiqua" w:hAnsi="Book Antiqua" w:cs="Arial"/>
        </w:rPr>
        <w:t xml:space="preserve">BDS which enables </w:t>
      </w:r>
      <w:r w:rsidR="001B6D90">
        <w:rPr>
          <w:rFonts w:ascii="Book Antiqua" w:hAnsi="Book Antiqua" w:cs="Arial"/>
        </w:rPr>
        <w:t>REDD+</w:t>
      </w:r>
      <w:r w:rsidRPr="000F0314">
        <w:rPr>
          <w:rFonts w:ascii="Book Antiqua" w:hAnsi="Book Antiqua" w:cs="Arial"/>
        </w:rPr>
        <w:t xml:space="preserve"> payments to operate effectively, efficiently and equitably will both instil confidence in investors and donors, and ensure that </w:t>
      </w:r>
      <w:r w:rsidR="001B6D90">
        <w:rPr>
          <w:rFonts w:ascii="Book Antiqua" w:hAnsi="Book Antiqua" w:cs="Arial"/>
        </w:rPr>
        <w:t>REDD+</w:t>
      </w:r>
      <w:r w:rsidRPr="000F0314">
        <w:rPr>
          <w:rFonts w:ascii="Book Antiqua" w:hAnsi="Book Antiqua" w:cs="Arial"/>
        </w:rPr>
        <w:t xml:space="preserve"> contributes, through environmental and social co-benefits, to the country’s development.</w:t>
      </w:r>
    </w:p>
    <w:p w:rsidR="00351F2C" w:rsidRPr="000F0314" w:rsidRDefault="00351F2C" w:rsidP="00A256CB">
      <w:pPr>
        <w:spacing w:after="0" w:line="300" w:lineRule="exact"/>
        <w:jc w:val="both"/>
        <w:rPr>
          <w:rFonts w:ascii="Book Antiqua" w:hAnsi="Book Antiqua" w:cs="Arial"/>
        </w:rPr>
      </w:pPr>
    </w:p>
    <w:p w:rsidR="00351F2C" w:rsidRPr="000F0314" w:rsidRDefault="00351F2C" w:rsidP="00A256CB">
      <w:pPr>
        <w:spacing w:after="0" w:line="300" w:lineRule="exact"/>
        <w:jc w:val="both"/>
        <w:rPr>
          <w:rFonts w:ascii="Book Antiqua" w:hAnsi="Book Antiqua" w:cs="Arial"/>
        </w:rPr>
      </w:pPr>
      <w:r w:rsidRPr="000F0314">
        <w:rPr>
          <w:rFonts w:ascii="Book Antiqua" w:hAnsi="Book Antiqua" w:cs="Arial"/>
        </w:rPr>
        <w:t>The Chapter addresses the following questions:</w:t>
      </w:r>
    </w:p>
    <w:p w:rsidR="00351F2C" w:rsidRPr="000F0314" w:rsidRDefault="00351F2C" w:rsidP="008227FD">
      <w:pPr>
        <w:numPr>
          <w:ilvl w:val="0"/>
          <w:numId w:val="103"/>
        </w:numPr>
        <w:spacing w:after="0" w:line="300" w:lineRule="exact"/>
        <w:ind w:left="360"/>
        <w:jc w:val="both"/>
        <w:rPr>
          <w:rFonts w:ascii="Book Antiqua" w:hAnsi="Book Antiqua" w:cs="Arial"/>
        </w:rPr>
      </w:pPr>
      <w:r w:rsidRPr="000F0314">
        <w:rPr>
          <w:rFonts w:ascii="Book Antiqua" w:hAnsi="Book Antiqua" w:cs="Arial"/>
        </w:rPr>
        <w:t xml:space="preserve">What </w:t>
      </w:r>
      <w:r w:rsidR="00C15459">
        <w:rPr>
          <w:rFonts w:ascii="Book Antiqua" w:hAnsi="Book Antiqua" w:cs="Arial"/>
        </w:rPr>
        <w:t>constitutes</w:t>
      </w:r>
      <w:r w:rsidRPr="000F0314">
        <w:rPr>
          <w:rFonts w:ascii="Book Antiqua" w:hAnsi="Book Antiqua" w:cs="Arial"/>
        </w:rPr>
        <w:t xml:space="preserve"> a comprehensive </w:t>
      </w:r>
      <w:r w:rsidR="00480D3D">
        <w:rPr>
          <w:rFonts w:ascii="Book Antiqua" w:hAnsi="Book Antiqua" w:cs="Arial"/>
        </w:rPr>
        <w:t>REDD+</w:t>
      </w:r>
      <w:r w:rsidRPr="000F0314">
        <w:rPr>
          <w:rFonts w:ascii="Book Antiqua" w:hAnsi="Book Antiqua" w:cs="Arial"/>
        </w:rPr>
        <w:t xml:space="preserve"> legal framework</w:t>
      </w:r>
      <w:r w:rsidR="009B66B1" w:rsidRPr="000F0314">
        <w:rPr>
          <w:rFonts w:ascii="Book Antiqua" w:hAnsi="Book Antiqua" w:cs="Arial"/>
        </w:rPr>
        <w:t xml:space="preserve"> for Viet Nam</w:t>
      </w:r>
      <w:r w:rsidRPr="000F0314">
        <w:rPr>
          <w:rFonts w:ascii="Book Antiqua" w:hAnsi="Book Antiqua" w:cs="Arial"/>
        </w:rPr>
        <w:t xml:space="preserve">? </w:t>
      </w:r>
    </w:p>
    <w:p w:rsidR="00351F2C" w:rsidRPr="000F0314" w:rsidRDefault="00351F2C" w:rsidP="008227FD">
      <w:pPr>
        <w:numPr>
          <w:ilvl w:val="0"/>
          <w:numId w:val="103"/>
        </w:numPr>
        <w:spacing w:after="0" w:line="300" w:lineRule="exact"/>
        <w:ind w:left="360"/>
        <w:jc w:val="both"/>
        <w:rPr>
          <w:rFonts w:ascii="Book Antiqua" w:hAnsi="Book Antiqua" w:cs="Arial"/>
        </w:rPr>
      </w:pPr>
      <w:r w:rsidRPr="000F0314">
        <w:rPr>
          <w:rFonts w:ascii="Book Antiqua" w:hAnsi="Book Antiqua" w:cs="Arial"/>
        </w:rPr>
        <w:t xml:space="preserve">What are the key legal issues in establishing the legal framework for </w:t>
      </w:r>
      <w:r w:rsidR="001B6D90">
        <w:rPr>
          <w:rFonts w:ascii="Book Antiqua" w:hAnsi="Book Antiqua" w:cs="Arial"/>
        </w:rPr>
        <w:t>REDD+</w:t>
      </w:r>
      <w:r w:rsidRPr="000F0314">
        <w:rPr>
          <w:rFonts w:ascii="Book Antiqua" w:hAnsi="Book Antiqua" w:cs="Arial"/>
        </w:rPr>
        <w:t xml:space="preserve"> BDS </w:t>
      </w:r>
      <w:r w:rsidR="009B66B1" w:rsidRPr="000F0314">
        <w:rPr>
          <w:rFonts w:ascii="Book Antiqua" w:hAnsi="Book Antiqua" w:cs="Arial"/>
        </w:rPr>
        <w:t>(</w:t>
      </w:r>
      <w:r w:rsidRPr="000F0314">
        <w:rPr>
          <w:rFonts w:ascii="Book Antiqua" w:hAnsi="Book Antiqua" w:cs="Arial"/>
        </w:rPr>
        <w:t xml:space="preserve">including existing laws and regulations addressing them in </w:t>
      </w:r>
      <w:smartTag w:uri="urn:schemas-microsoft-com:office:smarttags" w:element="country-region">
        <w:smartTag w:uri="urn:schemas-microsoft-com:office:smarttags" w:element="place">
          <w:r w:rsidRPr="000F0314">
            <w:rPr>
              <w:rFonts w:ascii="Book Antiqua" w:hAnsi="Book Antiqua" w:cs="Arial"/>
            </w:rPr>
            <w:t>Viet Nam</w:t>
          </w:r>
        </w:smartTag>
      </w:smartTag>
      <w:r w:rsidR="009B66B1" w:rsidRPr="000F0314">
        <w:rPr>
          <w:rFonts w:ascii="Book Antiqua" w:hAnsi="Book Antiqua" w:cs="Arial"/>
        </w:rPr>
        <w:t>)?</w:t>
      </w:r>
    </w:p>
    <w:p w:rsidR="00FB753B" w:rsidRDefault="00FB753B" w:rsidP="009B66B1">
      <w:pPr>
        <w:jc w:val="both"/>
        <w:rPr>
          <w:rFonts w:ascii="Book Antiqua" w:hAnsi="Book Antiqua" w:cs="Arial"/>
        </w:rPr>
      </w:pPr>
    </w:p>
    <w:p w:rsidR="00351F2C" w:rsidRPr="000F0314" w:rsidRDefault="009B66B1" w:rsidP="008F6D17">
      <w:pPr>
        <w:spacing w:after="0"/>
        <w:jc w:val="both"/>
        <w:rPr>
          <w:rFonts w:ascii="Book Antiqua" w:hAnsi="Book Antiqua" w:cs="Arial"/>
        </w:rPr>
      </w:pPr>
      <w:r w:rsidRPr="000F0314">
        <w:rPr>
          <w:rFonts w:ascii="Book Antiqua" w:hAnsi="Book Antiqua" w:cs="Arial"/>
        </w:rPr>
        <w:t>Thus, i</w:t>
      </w:r>
      <w:r w:rsidR="00351F2C" w:rsidRPr="000F0314">
        <w:rPr>
          <w:rFonts w:ascii="Book Antiqua" w:hAnsi="Book Antiqua" w:cs="Arial"/>
        </w:rPr>
        <w:t>n summary</w:t>
      </w:r>
      <w:r w:rsidRPr="000F0314">
        <w:rPr>
          <w:rFonts w:ascii="Book Antiqua" w:hAnsi="Book Antiqua" w:cs="Arial"/>
        </w:rPr>
        <w:t>, the chapter examines</w:t>
      </w:r>
      <w:r w:rsidR="00351F2C" w:rsidRPr="000F0314">
        <w:rPr>
          <w:rFonts w:ascii="Book Antiqua" w:hAnsi="Book Antiqua" w:cs="Arial"/>
        </w:rPr>
        <w:t xml:space="preserve"> the options and </w:t>
      </w:r>
      <w:r w:rsidRPr="000F0314">
        <w:rPr>
          <w:rFonts w:ascii="Book Antiqua" w:hAnsi="Book Antiqua" w:cs="Arial"/>
        </w:rPr>
        <w:t xml:space="preserve">generates </w:t>
      </w:r>
      <w:r w:rsidR="00351F2C" w:rsidRPr="000F0314">
        <w:rPr>
          <w:rFonts w:ascii="Book Antiqua" w:hAnsi="Book Antiqua" w:cs="Arial"/>
        </w:rPr>
        <w:t xml:space="preserve">recommendations for the establishment of a comprehensive legal framework to support a REDD-compliant BDS in </w:t>
      </w:r>
      <w:smartTag w:uri="urn:schemas-microsoft-com:office:smarttags" w:element="place">
        <w:smartTag w:uri="urn:schemas-microsoft-com:office:smarttags" w:element="country-region">
          <w:r w:rsidR="00351F2C" w:rsidRPr="000F0314">
            <w:rPr>
              <w:rFonts w:ascii="Book Antiqua" w:hAnsi="Book Antiqua" w:cs="Arial"/>
            </w:rPr>
            <w:t>Viet Nam</w:t>
          </w:r>
        </w:smartTag>
      </w:smartTag>
      <w:r w:rsidR="00351F2C" w:rsidRPr="000F0314">
        <w:rPr>
          <w:rFonts w:ascii="Book Antiqua" w:hAnsi="Book Antiqua" w:cs="Arial"/>
        </w:rPr>
        <w:t xml:space="preserve">. </w:t>
      </w:r>
    </w:p>
    <w:p w:rsidR="00351F2C" w:rsidRPr="000F0314" w:rsidRDefault="00351F2C" w:rsidP="008F6D17">
      <w:pPr>
        <w:spacing w:after="0" w:line="300" w:lineRule="exact"/>
        <w:jc w:val="both"/>
        <w:rPr>
          <w:rFonts w:ascii="Book Antiqua" w:hAnsi="Book Antiqua" w:cs="Arial"/>
        </w:rPr>
      </w:pPr>
      <w:r w:rsidRPr="000F0314">
        <w:rPr>
          <w:rFonts w:ascii="Book Antiqua" w:hAnsi="Book Antiqua" w:cs="Arial"/>
        </w:rPr>
        <w:t>The Chapter starts with a</w:t>
      </w:r>
      <w:r w:rsidR="009B66B1" w:rsidRPr="000F0314">
        <w:rPr>
          <w:rFonts w:ascii="Book Antiqua" w:hAnsi="Book Antiqua" w:cs="Arial"/>
        </w:rPr>
        <w:t>n</w:t>
      </w:r>
      <w:r w:rsidRPr="000F0314">
        <w:rPr>
          <w:rFonts w:ascii="Book Antiqua" w:hAnsi="Book Antiqua" w:cs="Arial"/>
        </w:rPr>
        <w:t xml:space="preserve"> overview of the elements of a comprehensive legal framework in Section </w:t>
      </w:r>
      <w:r w:rsidR="009B66B1" w:rsidRPr="000F0314">
        <w:rPr>
          <w:rFonts w:ascii="Book Antiqua" w:hAnsi="Book Antiqua" w:cs="Arial"/>
        </w:rPr>
        <w:t>3</w:t>
      </w:r>
      <w:r w:rsidRPr="000F0314">
        <w:rPr>
          <w:rFonts w:ascii="Book Antiqua" w:hAnsi="Book Antiqua" w:cs="Arial"/>
        </w:rPr>
        <w:t xml:space="preserve">.1. A brief review of the key legal issues to be addressed in establishing the basis for equitable, effective and efficient entitlement to </w:t>
      </w:r>
      <w:r w:rsidR="001B6D90">
        <w:rPr>
          <w:rFonts w:ascii="Book Antiqua" w:hAnsi="Book Antiqua" w:cs="Arial"/>
        </w:rPr>
        <w:t>REDD+</w:t>
      </w:r>
      <w:r w:rsidRPr="000F0314">
        <w:rPr>
          <w:rFonts w:ascii="Book Antiqua" w:hAnsi="Book Antiqua" w:cs="Arial"/>
        </w:rPr>
        <w:t xml:space="preserve"> benefits distribution in </w:t>
      </w:r>
      <w:smartTag w:uri="urn:schemas-microsoft-com:office:smarttags" w:element="country-region">
        <w:smartTag w:uri="urn:schemas-microsoft-com:office:smarttags" w:element="place">
          <w:r w:rsidR="00480D3D">
            <w:rPr>
              <w:rFonts w:ascii="Book Antiqua" w:hAnsi="Book Antiqua" w:cs="Arial"/>
            </w:rPr>
            <w:t>Viet Nam</w:t>
          </w:r>
        </w:smartTag>
      </w:smartTag>
      <w:r w:rsidRPr="000F0314">
        <w:rPr>
          <w:rFonts w:ascii="Book Antiqua" w:hAnsi="Book Antiqua" w:cs="Arial"/>
        </w:rPr>
        <w:t xml:space="preserve"> is provided in Section </w:t>
      </w:r>
      <w:r w:rsidR="009B66B1" w:rsidRPr="000F0314">
        <w:rPr>
          <w:rFonts w:ascii="Book Antiqua" w:hAnsi="Book Antiqua" w:cs="Arial"/>
        </w:rPr>
        <w:t>3</w:t>
      </w:r>
      <w:r w:rsidRPr="000F0314">
        <w:rPr>
          <w:rFonts w:ascii="Book Antiqua" w:hAnsi="Book Antiqua" w:cs="Arial"/>
        </w:rPr>
        <w:t xml:space="preserve">.2.  The Chapter concludes with Section </w:t>
      </w:r>
      <w:r w:rsidR="009B66B1" w:rsidRPr="000F0314">
        <w:rPr>
          <w:rFonts w:ascii="Book Antiqua" w:hAnsi="Book Antiqua" w:cs="Arial"/>
        </w:rPr>
        <w:t>3</w:t>
      </w:r>
      <w:r w:rsidRPr="000F0314">
        <w:rPr>
          <w:rFonts w:ascii="Book Antiqua" w:hAnsi="Book Antiqua" w:cs="Arial"/>
        </w:rPr>
        <w:t xml:space="preserve">.3, a summary of options and recommendations for the establishment of a comprehensive legal framework to support a REDD-compliant BDS in </w:t>
      </w:r>
      <w:smartTag w:uri="urn:schemas-microsoft-com:office:smarttags" w:element="country-region">
        <w:smartTag w:uri="urn:schemas-microsoft-com:office:smarttags" w:element="place">
          <w:r w:rsidRPr="000F0314">
            <w:rPr>
              <w:rFonts w:ascii="Book Antiqua" w:hAnsi="Book Antiqua" w:cs="Arial"/>
            </w:rPr>
            <w:t>Viet Nam</w:t>
          </w:r>
        </w:smartTag>
      </w:smartTag>
      <w:r w:rsidRPr="000F0314">
        <w:rPr>
          <w:rFonts w:ascii="Book Antiqua" w:hAnsi="Book Antiqua" w:cs="Arial"/>
        </w:rPr>
        <w:t xml:space="preserve">. </w:t>
      </w:r>
    </w:p>
    <w:p w:rsidR="00351F2C" w:rsidRPr="00445F77" w:rsidRDefault="00351F2C" w:rsidP="008F6D17">
      <w:pPr>
        <w:spacing w:after="0"/>
        <w:rPr>
          <w:rFonts w:ascii="Arial" w:hAnsi="Arial" w:cs="Arial"/>
          <w:sz w:val="24"/>
          <w:szCs w:val="24"/>
        </w:rPr>
      </w:pPr>
    </w:p>
    <w:p w:rsidR="00351F2C" w:rsidRPr="00445F77" w:rsidRDefault="001A3900" w:rsidP="008F6D17">
      <w:pPr>
        <w:pStyle w:val="Heading2"/>
        <w:spacing w:before="0" w:after="0"/>
        <w:rPr>
          <w:rFonts w:ascii="Arial" w:hAnsi="Arial" w:cs="Arial"/>
          <w:sz w:val="24"/>
          <w:szCs w:val="24"/>
        </w:rPr>
      </w:pPr>
      <w:bookmarkStart w:id="82" w:name="_Toc244735041"/>
      <w:bookmarkStart w:id="83" w:name="_Toc244735649"/>
      <w:bookmarkStart w:id="84" w:name="_Toc245810421"/>
      <w:bookmarkStart w:id="85" w:name="_Toc252354729"/>
      <w:r w:rsidRPr="00445F77">
        <w:rPr>
          <w:rFonts w:ascii="Arial" w:hAnsi="Arial" w:cs="Arial"/>
          <w:sz w:val="24"/>
          <w:szCs w:val="24"/>
        </w:rPr>
        <w:t>3</w:t>
      </w:r>
      <w:r w:rsidR="00351F2C" w:rsidRPr="00445F77">
        <w:rPr>
          <w:rFonts w:ascii="Arial" w:hAnsi="Arial" w:cs="Arial"/>
          <w:sz w:val="24"/>
          <w:szCs w:val="24"/>
        </w:rPr>
        <w:t>.1</w:t>
      </w:r>
      <w:r w:rsidR="00351F2C" w:rsidRPr="00445F77">
        <w:rPr>
          <w:rFonts w:ascii="Arial" w:hAnsi="Arial" w:cs="Arial"/>
          <w:sz w:val="24"/>
          <w:szCs w:val="24"/>
        </w:rPr>
        <w:tab/>
      </w:r>
      <w:r w:rsidR="00C15459">
        <w:rPr>
          <w:rFonts w:ascii="Arial" w:hAnsi="Arial" w:cs="Arial"/>
          <w:sz w:val="24"/>
          <w:szCs w:val="24"/>
        </w:rPr>
        <w:t>A</w:t>
      </w:r>
      <w:r w:rsidR="00351F2C" w:rsidRPr="00445F77">
        <w:rPr>
          <w:rFonts w:ascii="Arial" w:hAnsi="Arial" w:cs="Arial"/>
          <w:sz w:val="24"/>
          <w:szCs w:val="24"/>
        </w:rPr>
        <w:t xml:space="preserve"> comprehensive </w:t>
      </w:r>
      <w:r w:rsidR="001B6D90">
        <w:rPr>
          <w:rFonts w:ascii="Arial" w:hAnsi="Arial" w:cs="Arial"/>
          <w:sz w:val="24"/>
          <w:szCs w:val="24"/>
        </w:rPr>
        <w:t>REDD+</w:t>
      </w:r>
      <w:r w:rsidR="00351F2C" w:rsidRPr="00445F77">
        <w:rPr>
          <w:rFonts w:ascii="Arial" w:hAnsi="Arial" w:cs="Arial"/>
          <w:sz w:val="24"/>
          <w:szCs w:val="24"/>
        </w:rPr>
        <w:t xml:space="preserve"> BDS legal framework</w:t>
      </w:r>
      <w:bookmarkEnd w:id="82"/>
      <w:bookmarkEnd w:id="83"/>
      <w:bookmarkEnd w:id="84"/>
      <w:bookmarkEnd w:id="85"/>
    </w:p>
    <w:p w:rsidR="00351F2C" w:rsidRPr="000F0314" w:rsidRDefault="00351F2C" w:rsidP="008F6D17">
      <w:pPr>
        <w:spacing w:after="0" w:line="300" w:lineRule="exact"/>
        <w:jc w:val="both"/>
        <w:rPr>
          <w:rFonts w:ascii="Book Antiqua" w:hAnsi="Book Antiqua" w:cs="Arial"/>
        </w:rPr>
      </w:pPr>
      <w:bookmarkStart w:id="86" w:name="_Toc244327641"/>
      <w:bookmarkStart w:id="87" w:name="_Toc244327890"/>
      <w:r w:rsidRPr="000F0314">
        <w:rPr>
          <w:rFonts w:ascii="Book Antiqua" w:hAnsi="Book Antiqua" w:cs="Arial"/>
        </w:rPr>
        <w:t xml:space="preserve">A best practice national legal framework for </w:t>
      </w:r>
      <w:r w:rsidR="009B66B1" w:rsidRPr="000F0314">
        <w:rPr>
          <w:rFonts w:ascii="Book Antiqua" w:hAnsi="Book Antiqua" w:cs="Arial"/>
        </w:rPr>
        <w:t xml:space="preserve">a </w:t>
      </w:r>
      <w:r w:rsidR="001B6D90">
        <w:rPr>
          <w:rFonts w:ascii="Book Antiqua" w:hAnsi="Book Antiqua" w:cs="Arial"/>
        </w:rPr>
        <w:t>REDD+</w:t>
      </w:r>
      <w:r w:rsidRPr="000F0314">
        <w:rPr>
          <w:rFonts w:ascii="Book Antiqua" w:hAnsi="Book Antiqua" w:cs="Arial"/>
        </w:rPr>
        <w:t xml:space="preserve"> BDS could be defined as one that provides for  clear, consistent and enforceable rules (rights, obligations and responsibilities) and processes to enable equitable, effective and efficient distribution of </w:t>
      </w:r>
      <w:r w:rsidR="001B6D90">
        <w:rPr>
          <w:rFonts w:ascii="Book Antiqua" w:hAnsi="Book Antiqua" w:cs="Arial"/>
        </w:rPr>
        <w:t>REDD+</w:t>
      </w:r>
      <w:r w:rsidRPr="000F0314">
        <w:rPr>
          <w:rFonts w:ascii="Book Antiqua" w:hAnsi="Book Antiqua" w:cs="Arial"/>
        </w:rPr>
        <w:t xml:space="preserve"> benefits (see Box </w:t>
      </w:r>
      <w:r w:rsidR="009B66B1" w:rsidRPr="000F0314">
        <w:rPr>
          <w:rFonts w:ascii="Book Antiqua" w:hAnsi="Book Antiqua" w:cs="Arial"/>
        </w:rPr>
        <w:t>3</w:t>
      </w:r>
      <w:r w:rsidRPr="000F0314">
        <w:rPr>
          <w:rFonts w:ascii="Book Antiqua" w:hAnsi="Book Antiqua" w:cs="Arial"/>
        </w:rPr>
        <w:t xml:space="preserve">.1). This should comply with the </w:t>
      </w:r>
      <w:r w:rsidR="009B66B1" w:rsidRPr="000F0314">
        <w:rPr>
          <w:rFonts w:ascii="Book Antiqua" w:hAnsi="Book Antiqua" w:cs="Arial"/>
        </w:rPr>
        <w:t xml:space="preserve">provisions of the </w:t>
      </w:r>
      <w:r w:rsidRPr="000F0314">
        <w:rPr>
          <w:rFonts w:ascii="Book Antiqua" w:hAnsi="Book Antiqua" w:cs="Arial"/>
        </w:rPr>
        <w:t xml:space="preserve">UNFCCC and other relevant international treaties and principles, and be in harmony with the domestic legal, institutional and policy frameworks. It is only through addressing these issues that it will be possible to achieve the objectives of </w:t>
      </w:r>
      <w:r w:rsidR="001B6D90">
        <w:rPr>
          <w:rFonts w:ascii="Book Antiqua" w:hAnsi="Book Antiqua" w:cs="Arial"/>
        </w:rPr>
        <w:t>REDD+</w:t>
      </w:r>
      <w:r w:rsidRPr="000F0314">
        <w:rPr>
          <w:rFonts w:ascii="Book Antiqua" w:hAnsi="Book Antiqua" w:cs="Arial"/>
        </w:rPr>
        <w:t>.</w:t>
      </w:r>
    </w:p>
    <w:p w:rsidR="00351F2C" w:rsidRPr="00445F77" w:rsidRDefault="00351F2C" w:rsidP="00A256CB">
      <w:pPr>
        <w:spacing w:after="0" w:line="300" w:lineRule="exact"/>
        <w:jc w:val="both"/>
        <w:rPr>
          <w:rFonts w:ascii="Arial" w:hAnsi="Arial" w:cs="Arial"/>
          <w:sz w:val="24"/>
          <w:szCs w:val="24"/>
        </w:rPr>
      </w:pPr>
    </w:p>
    <w:p w:rsidR="00351F2C" w:rsidRPr="00445F77" w:rsidRDefault="00C47C3B" w:rsidP="00A256CB">
      <w:pPr>
        <w:spacing w:after="0" w:line="300" w:lineRule="exact"/>
        <w:jc w:val="both"/>
        <w:rPr>
          <w:rFonts w:ascii="Arial" w:hAnsi="Arial" w:cs="Arial"/>
          <w:sz w:val="24"/>
          <w:szCs w:val="24"/>
        </w:rPr>
      </w:pPr>
      <w:r w:rsidRPr="00C47C3B">
        <w:rPr>
          <w:rFonts w:ascii="Arial" w:hAnsi="Arial" w:cs="Arial"/>
          <w:noProof/>
          <w:sz w:val="24"/>
          <w:szCs w:val="24"/>
        </w:rPr>
        <w:lastRenderedPageBreak/>
        <w:pict>
          <v:shape id="_x0000_s1142" type="#_x0000_t202" style="position:absolute;left:0;text-align:left;margin-left:0;margin-top:10.5pt;width:442.2pt;height:252.45pt;z-index:251618816;mso-position-horizontal-relative:margin;mso-position-vertical-relative:margin" fillcolor="#dbe5f1">
            <v:shadow on="t" color="#95b3d7" offset="3pt,4pt" offset2="2pt,4pt"/>
            <v:textbox style="mso-next-textbox:#_x0000_s1142;mso-fit-shape-to-text:t">
              <w:txbxContent>
                <w:p w:rsidR="00B4351F" w:rsidRPr="00C75D89" w:rsidRDefault="00B4351F" w:rsidP="00A256CB">
                  <w:pPr>
                    <w:autoSpaceDE w:val="0"/>
                    <w:autoSpaceDN w:val="0"/>
                    <w:adjustRightInd w:val="0"/>
                    <w:spacing w:after="60" w:line="240" w:lineRule="auto"/>
                    <w:jc w:val="both"/>
                    <w:rPr>
                      <w:b/>
                      <w:bCs/>
                      <w:sz w:val="20"/>
                    </w:rPr>
                  </w:pPr>
                  <w:smartTag w:uri="urn:schemas-microsoft-com:office:smarttags" w:element="address">
                    <w:smartTag w:uri="urn:schemas-microsoft-com:office:smarttags" w:element="Street">
                      <w:r w:rsidRPr="00C75D89">
                        <w:rPr>
                          <w:b/>
                          <w:bCs/>
                          <w:sz w:val="20"/>
                        </w:rPr>
                        <w:t>Box</w:t>
                      </w:r>
                    </w:smartTag>
                    <w:r w:rsidRPr="00C75D89">
                      <w:rPr>
                        <w:b/>
                        <w:bCs/>
                        <w:sz w:val="20"/>
                      </w:rPr>
                      <w:t xml:space="preserve"> </w:t>
                    </w:r>
                    <w:r>
                      <w:rPr>
                        <w:b/>
                        <w:bCs/>
                        <w:sz w:val="20"/>
                      </w:rPr>
                      <w:t>3</w:t>
                    </w:r>
                    <w:r w:rsidRPr="00C75D89">
                      <w:rPr>
                        <w:b/>
                        <w:bCs/>
                        <w:sz w:val="20"/>
                      </w:rPr>
                      <w:t>.</w:t>
                    </w:r>
                    <w:r>
                      <w:rPr>
                        <w:b/>
                        <w:bCs/>
                        <w:sz w:val="20"/>
                      </w:rPr>
                      <w:t>1</w:t>
                    </w:r>
                  </w:smartTag>
                  <w:r w:rsidRPr="00C75D89">
                    <w:rPr>
                      <w:b/>
                      <w:bCs/>
                      <w:sz w:val="20"/>
                    </w:rPr>
                    <w:t>: 3E criteria</w:t>
                  </w:r>
                  <w:r>
                    <w:rPr>
                      <w:b/>
                      <w:bCs/>
                      <w:sz w:val="20"/>
                    </w:rPr>
                    <w:t xml:space="preserve"> for BDS legal framework</w:t>
                  </w:r>
                </w:p>
                <w:p w:rsidR="00B4351F" w:rsidRPr="00C75D89" w:rsidRDefault="00B4351F" w:rsidP="00A256CB">
                  <w:pPr>
                    <w:autoSpaceDE w:val="0"/>
                    <w:autoSpaceDN w:val="0"/>
                    <w:adjustRightInd w:val="0"/>
                    <w:spacing w:after="60" w:line="240" w:lineRule="auto"/>
                    <w:jc w:val="both"/>
                    <w:rPr>
                      <w:sz w:val="20"/>
                    </w:rPr>
                  </w:pPr>
                  <w:r w:rsidRPr="00C75D89">
                    <w:rPr>
                      <w:b/>
                      <w:bCs/>
                      <w:sz w:val="20"/>
                    </w:rPr>
                    <w:t>Equity</w:t>
                  </w:r>
                  <w:r w:rsidRPr="00C75D89">
                    <w:rPr>
                      <w:sz w:val="20"/>
                    </w:rPr>
                    <w:t xml:space="preserve">: benefits and costs </w:t>
                  </w:r>
                  <w:r>
                    <w:rPr>
                      <w:sz w:val="20"/>
                    </w:rPr>
                    <w:t xml:space="preserve">are </w:t>
                  </w:r>
                  <w:r w:rsidRPr="00C75D89">
                    <w:rPr>
                      <w:sz w:val="20"/>
                    </w:rPr>
                    <w:t xml:space="preserve">shared inclusively and fairly. Equity may require some trade off </w:t>
                  </w:r>
                  <w:r>
                    <w:rPr>
                      <w:sz w:val="20"/>
                    </w:rPr>
                    <w:t>against</w:t>
                  </w:r>
                  <w:r w:rsidRPr="00C75D89">
                    <w:rPr>
                      <w:sz w:val="20"/>
                    </w:rPr>
                    <w:t xml:space="preserve"> effectiveness. </w:t>
                  </w:r>
                  <w:r>
                    <w:rPr>
                      <w:sz w:val="20"/>
                    </w:rPr>
                    <w:t>S</w:t>
                  </w:r>
                  <w:r w:rsidRPr="00C75D89">
                    <w:rPr>
                      <w:sz w:val="20"/>
                    </w:rPr>
                    <w:t xml:space="preserve">takeholders practicing unsustainable forest management practices may have more to lose from the implementation of </w:t>
                  </w:r>
                  <w:r>
                    <w:rPr>
                      <w:sz w:val="20"/>
                    </w:rPr>
                    <w:t>REDD+</w:t>
                  </w:r>
                  <w:r w:rsidRPr="00C75D89">
                    <w:rPr>
                      <w:sz w:val="20"/>
                    </w:rPr>
                    <w:t xml:space="preserve"> than local communities whose impact on emissions may be negligible. However, equity considerations, as well as the concern for </w:t>
                  </w:r>
                  <w:r>
                    <w:rPr>
                      <w:sz w:val="20"/>
                    </w:rPr>
                    <w:t>REDD+</w:t>
                  </w:r>
                  <w:r w:rsidRPr="00C75D89">
                    <w:rPr>
                      <w:sz w:val="20"/>
                    </w:rPr>
                    <w:t xml:space="preserve"> co-benefits should result on benefits flowing to these communities</w:t>
                  </w:r>
                  <w:r>
                    <w:rPr>
                      <w:sz w:val="20"/>
                    </w:rPr>
                    <w:t xml:space="preserve"> as well in proportion to their performance</w:t>
                  </w:r>
                  <w:r w:rsidRPr="00C75D89">
                    <w:rPr>
                      <w:sz w:val="20"/>
                    </w:rPr>
                    <w:t xml:space="preserve">. </w:t>
                  </w:r>
                </w:p>
                <w:p w:rsidR="00B4351F" w:rsidRPr="00C75D89" w:rsidRDefault="00B4351F" w:rsidP="00A256CB">
                  <w:pPr>
                    <w:autoSpaceDE w:val="0"/>
                    <w:autoSpaceDN w:val="0"/>
                    <w:adjustRightInd w:val="0"/>
                    <w:spacing w:after="60" w:line="240" w:lineRule="auto"/>
                    <w:jc w:val="both"/>
                    <w:rPr>
                      <w:sz w:val="20"/>
                    </w:rPr>
                  </w:pPr>
                  <w:r w:rsidRPr="00C75D89">
                    <w:rPr>
                      <w:b/>
                      <w:bCs/>
                      <w:sz w:val="20"/>
                    </w:rPr>
                    <w:t>Effectiveness</w:t>
                  </w:r>
                  <w:r w:rsidRPr="00C75D89">
                    <w:rPr>
                      <w:sz w:val="20"/>
                    </w:rPr>
                    <w:t xml:space="preserve">: define clear and enforceable rules and processes for the distribution of </w:t>
                  </w:r>
                  <w:r>
                    <w:rPr>
                      <w:sz w:val="20"/>
                    </w:rPr>
                    <w:t>REDD+</w:t>
                  </w:r>
                  <w:r w:rsidRPr="00C75D89">
                    <w:rPr>
                      <w:sz w:val="20"/>
                    </w:rPr>
                    <w:t xml:space="preserve"> benefits</w:t>
                  </w:r>
                  <w:r>
                    <w:rPr>
                      <w:sz w:val="20"/>
                    </w:rPr>
                    <w:t>. P</w:t>
                  </w:r>
                  <w:r w:rsidRPr="00C75D89">
                    <w:rPr>
                      <w:sz w:val="20"/>
                    </w:rPr>
                    <w:t>rovide incentives for positive change of behaviour and disincentive</w:t>
                  </w:r>
                  <w:r>
                    <w:rPr>
                      <w:sz w:val="20"/>
                    </w:rPr>
                    <w:t>s</w:t>
                  </w:r>
                  <w:r w:rsidRPr="00C75D89">
                    <w:rPr>
                      <w:sz w:val="20"/>
                    </w:rPr>
                    <w:t xml:space="preserve"> for unsustainable forest management practices, and thus contribute to reduc</w:t>
                  </w:r>
                  <w:r>
                    <w:rPr>
                      <w:sz w:val="20"/>
                    </w:rPr>
                    <w:t>ing</w:t>
                  </w:r>
                  <w:r w:rsidRPr="00C75D89">
                    <w:rPr>
                      <w:sz w:val="20"/>
                    </w:rPr>
                    <w:t xml:space="preserve"> forest carbon emissions. Effectiveness also refers to the extent to which the </w:t>
                  </w:r>
                  <w:r>
                    <w:rPr>
                      <w:sz w:val="20"/>
                    </w:rPr>
                    <w:t>BD</w:t>
                  </w:r>
                  <w:r w:rsidRPr="00C75D89">
                    <w:rPr>
                      <w:sz w:val="20"/>
                    </w:rPr>
                    <w:t xml:space="preserve">S supports the </w:t>
                  </w:r>
                  <w:r>
                    <w:rPr>
                      <w:sz w:val="20"/>
                    </w:rPr>
                    <w:t>REDD+</w:t>
                  </w:r>
                  <w:r w:rsidRPr="00C75D89">
                    <w:rPr>
                      <w:sz w:val="20"/>
                    </w:rPr>
                    <w:t xml:space="preserve"> requirements for performance, permanence of the emissions reduction and avoidance of leakage (though domestic leakage </w:t>
                  </w:r>
                  <w:r>
                    <w:rPr>
                      <w:sz w:val="20"/>
                    </w:rPr>
                    <w:t>will</w:t>
                  </w:r>
                  <w:r w:rsidRPr="00C75D89">
                    <w:rPr>
                      <w:sz w:val="20"/>
                    </w:rPr>
                    <w:t xml:space="preserve"> </w:t>
                  </w:r>
                  <w:r>
                    <w:rPr>
                      <w:sz w:val="20"/>
                    </w:rPr>
                    <w:t xml:space="preserve">be </w:t>
                  </w:r>
                  <w:r w:rsidRPr="00C75D89">
                    <w:rPr>
                      <w:sz w:val="20"/>
                    </w:rPr>
                    <w:t xml:space="preserve">taken into account through national accounting and reporting).  </w:t>
                  </w:r>
                  <w:r>
                    <w:rPr>
                      <w:sz w:val="20"/>
                    </w:rPr>
                    <w:t>BD</w:t>
                  </w:r>
                  <w:r w:rsidRPr="00C75D89">
                    <w:rPr>
                      <w:sz w:val="20"/>
                    </w:rPr>
                    <w:t>S effectiveness depends on achieving the right balance between flexibility, so as to enable adaptation to local circumstances, and robustness, to guarantee the essential principles are held</w:t>
                  </w:r>
                  <w:r>
                    <w:rPr>
                      <w:sz w:val="20"/>
                    </w:rPr>
                    <w:t xml:space="preserve"> and performance requirements met</w:t>
                  </w:r>
                  <w:r w:rsidRPr="00C75D89">
                    <w:rPr>
                      <w:sz w:val="20"/>
                    </w:rPr>
                    <w:t>.</w:t>
                  </w:r>
                </w:p>
                <w:p w:rsidR="00B4351F" w:rsidRDefault="00B4351F" w:rsidP="00A256CB">
                  <w:pPr>
                    <w:spacing w:after="60" w:line="240" w:lineRule="auto"/>
                    <w:jc w:val="both"/>
                    <w:rPr>
                      <w:sz w:val="20"/>
                    </w:rPr>
                  </w:pPr>
                  <w:r w:rsidRPr="00C75D89">
                    <w:rPr>
                      <w:b/>
                      <w:bCs/>
                      <w:sz w:val="20"/>
                    </w:rPr>
                    <w:t>Efficiency</w:t>
                  </w:r>
                  <w:r>
                    <w:rPr>
                      <w:sz w:val="20"/>
                    </w:rPr>
                    <w:t xml:space="preserve">: </w:t>
                  </w:r>
                  <w:r w:rsidRPr="00C75D89">
                    <w:rPr>
                      <w:sz w:val="20"/>
                    </w:rPr>
                    <w:t xml:space="preserve">administrative procedures for </w:t>
                  </w:r>
                  <w:r>
                    <w:rPr>
                      <w:sz w:val="20"/>
                    </w:rPr>
                    <w:t xml:space="preserve">BDS </w:t>
                  </w:r>
                  <w:r w:rsidRPr="00C75D89">
                    <w:rPr>
                      <w:sz w:val="20"/>
                    </w:rPr>
                    <w:t xml:space="preserve">are timely and cost effective in order to </w:t>
                  </w:r>
                  <w:r>
                    <w:rPr>
                      <w:sz w:val="20"/>
                    </w:rPr>
                    <w:t xml:space="preserve">minimise the funds used to operate the BDS and </w:t>
                  </w:r>
                  <w:r w:rsidRPr="00C75D89">
                    <w:rPr>
                      <w:sz w:val="20"/>
                    </w:rPr>
                    <w:t xml:space="preserve">maximize revenues available for distribution, and </w:t>
                  </w:r>
                  <w:r>
                    <w:rPr>
                      <w:sz w:val="20"/>
                    </w:rPr>
                    <w:t>optimise</w:t>
                  </w:r>
                  <w:r w:rsidRPr="00C75D89">
                    <w:rPr>
                      <w:sz w:val="20"/>
                    </w:rPr>
                    <w:t xml:space="preserve"> the effectiveness of </w:t>
                  </w:r>
                  <w:r>
                    <w:rPr>
                      <w:sz w:val="20"/>
                    </w:rPr>
                    <w:t>REDD+</w:t>
                  </w:r>
                  <w:r w:rsidRPr="00C75D89">
                    <w:rPr>
                      <w:sz w:val="20"/>
                    </w:rPr>
                    <w:t>.</w:t>
                  </w:r>
                </w:p>
                <w:p w:rsidR="00B4351F" w:rsidRPr="00B4562C" w:rsidRDefault="00B4351F" w:rsidP="00A256CB">
                  <w:pPr>
                    <w:spacing w:after="60" w:line="240" w:lineRule="auto"/>
                    <w:jc w:val="both"/>
                    <w:rPr>
                      <w:sz w:val="18"/>
                      <w:szCs w:val="18"/>
                    </w:rPr>
                  </w:pPr>
                  <w:r w:rsidRPr="00B4562C">
                    <w:rPr>
                      <w:sz w:val="18"/>
                      <w:szCs w:val="18"/>
                    </w:rPr>
                    <w:t xml:space="preserve">Source: </w:t>
                  </w:r>
                  <w:r w:rsidRPr="00B4562C">
                    <w:rPr>
                      <w:rFonts w:cs="Arial"/>
                      <w:color w:val="231F20"/>
                      <w:sz w:val="18"/>
                      <w:szCs w:val="18"/>
                    </w:rPr>
                    <w:t>Stern, N. 2008 Key elements of a global deal on climate change</w:t>
                  </w:r>
                  <w:r w:rsidRPr="00B4562C">
                    <w:rPr>
                      <w:rFonts w:cs="Arial"/>
                      <w:i/>
                      <w:iCs/>
                      <w:color w:val="231F20"/>
                      <w:sz w:val="18"/>
                      <w:szCs w:val="18"/>
                    </w:rPr>
                    <w:t xml:space="preserve">. </w:t>
                  </w:r>
                  <w:r w:rsidRPr="00B4562C">
                    <w:rPr>
                      <w:rFonts w:cs="Arial"/>
                      <w:color w:val="231F20"/>
                      <w:sz w:val="18"/>
                      <w:szCs w:val="18"/>
                    </w:rPr>
                    <w:t>London School of Economics and Political Science, London</w:t>
                  </w:r>
                </w:p>
              </w:txbxContent>
            </v:textbox>
            <w10:wrap type="square" anchorx="margin" anchory="margin"/>
          </v:shape>
        </w:pict>
      </w:r>
    </w:p>
    <w:p w:rsidR="00351F2C" w:rsidRPr="000F0314" w:rsidRDefault="00C47C3B" w:rsidP="00A256CB">
      <w:pPr>
        <w:spacing w:after="0" w:line="300" w:lineRule="exact"/>
        <w:jc w:val="both"/>
        <w:rPr>
          <w:rFonts w:ascii="Book Antiqua" w:hAnsi="Book Antiqua" w:cs="Arial"/>
        </w:rPr>
      </w:pPr>
      <w:r w:rsidRPr="00C47C3B">
        <w:rPr>
          <w:rFonts w:ascii="Book Antiqua" w:hAnsi="Book Antiqua" w:cs="Arial"/>
          <w:noProof/>
        </w:rPr>
        <w:pict>
          <v:shape id="_x0000_s1143" type="#_x0000_t202" style="position:absolute;left:0;text-align:left;margin-left:0;margin-top:377.25pt;width:445.1pt;height:318.75pt;z-index:251619840;mso-position-horizontal-relative:margin;mso-position-vertical-relative:margin" fillcolor="#dbe5f1">
            <v:shadow on="t" color="#95b3d7" offset="3pt,4pt" offset2="2pt,4pt"/>
            <v:textbox style="mso-next-textbox:#_x0000_s1143">
              <w:txbxContent>
                <w:p w:rsidR="00B4351F" w:rsidRPr="00C75D89" w:rsidRDefault="00B4351F" w:rsidP="00A256CB">
                  <w:pPr>
                    <w:spacing w:after="60" w:line="240" w:lineRule="auto"/>
                    <w:jc w:val="both"/>
                    <w:rPr>
                      <w:rFonts w:cs="Arial"/>
                      <w:b/>
                      <w:sz w:val="20"/>
                    </w:rPr>
                  </w:pPr>
                  <w:smartTag w:uri="urn:schemas-microsoft-com:office:smarttags" w:element="address">
                    <w:smartTag w:uri="urn:schemas-microsoft-com:office:smarttags" w:element="Street">
                      <w:r w:rsidRPr="00C75D89">
                        <w:rPr>
                          <w:rFonts w:cs="Arial"/>
                          <w:b/>
                          <w:sz w:val="20"/>
                        </w:rPr>
                        <w:t>Box</w:t>
                      </w:r>
                    </w:smartTag>
                    <w:r w:rsidRPr="00C75D89">
                      <w:rPr>
                        <w:rFonts w:cs="Arial"/>
                        <w:b/>
                        <w:sz w:val="20"/>
                      </w:rPr>
                      <w:t xml:space="preserve"> </w:t>
                    </w:r>
                    <w:r>
                      <w:rPr>
                        <w:rFonts w:cs="Arial"/>
                        <w:b/>
                        <w:sz w:val="20"/>
                      </w:rPr>
                      <w:t>3</w:t>
                    </w:r>
                    <w:r w:rsidRPr="00C75D89">
                      <w:rPr>
                        <w:rFonts w:cs="Arial"/>
                        <w:b/>
                        <w:sz w:val="20"/>
                      </w:rPr>
                      <w:t>.</w:t>
                    </w:r>
                    <w:r>
                      <w:rPr>
                        <w:rFonts w:cs="Arial"/>
                        <w:b/>
                        <w:sz w:val="20"/>
                      </w:rPr>
                      <w:t>2</w:t>
                    </w:r>
                  </w:smartTag>
                  <w:r w:rsidRPr="00C75D89">
                    <w:rPr>
                      <w:rFonts w:cs="Arial"/>
                      <w:b/>
                      <w:sz w:val="20"/>
                    </w:rPr>
                    <w:t>: International</w:t>
                  </w:r>
                  <w:r>
                    <w:rPr>
                      <w:rFonts w:cs="Arial"/>
                      <w:b/>
                      <w:sz w:val="20"/>
                    </w:rPr>
                    <w:t xml:space="preserve"> Legal</w:t>
                  </w:r>
                  <w:r w:rsidRPr="00C75D89">
                    <w:rPr>
                      <w:rFonts w:cs="Arial"/>
                      <w:b/>
                      <w:sz w:val="20"/>
                    </w:rPr>
                    <w:t xml:space="preserve"> </w:t>
                  </w:r>
                  <w:r>
                    <w:rPr>
                      <w:rFonts w:cs="Arial"/>
                      <w:b/>
                      <w:sz w:val="20"/>
                    </w:rPr>
                    <w:t>Framework</w:t>
                  </w:r>
                  <w:r w:rsidRPr="00C75D89">
                    <w:rPr>
                      <w:rFonts w:cs="Arial"/>
                      <w:b/>
                      <w:sz w:val="20"/>
                    </w:rPr>
                    <w:t xml:space="preserve"> Related to REDD</w:t>
                  </w:r>
                </w:p>
                <w:p w:rsidR="00B4351F" w:rsidRPr="00C75D89" w:rsidRDefault="00B4351F" w:rsidP="00A256CB">
                  <w:pPr>
                    <w:spacing w:after="60" w:line="240" w:lineRule="auto"/>
                    <w:jc w:val="both"/>
                    <w:rPr>
                      <w:rFonts w:cs="Arial"/>
                      <w:i/>
                      <w:sz w:val="20"/>
                    </w:rPr>
                  </w:pPr>
                  <w:r w:rsidRPr="00C75D89">
                    <w:rPr>
                      <w:rFonts w:cs="Arial"/>
                      <w:i/>
                      <w:sz w:val="20"/>
                    </w:rPr>
                    <w:t>United Nations Framework Convention on Climate Change (UNFCCC)</w:t>
                  </w:r>
                </w:p>
                <w:p w:rsidR="00B4351F" w:rsidRPr="00C75D89" w:rsidRDefault="00B4351F" w:rsidP="00A256CB">
                  <w:pPr>
                    <w:autoSpaceDE w:val="0"/>
                    <w:autoSpaceDN w:val="0"/>
                    <w:adjustRightInd w:val="0"/>
                    <w:spacing w:after="60" w:line="240" w:lineRule="auto"/>
                    <w:jc w:val="both"/>
                    <w:rPr>
                      <w:rFonts w:cs="Arial"/>
                      <w:sz w:val="20"/>
                    </w:rPr>
                  </w:pPr>
                  <w:r w:rsidRPr="00C75D89">
                    <w:rPr>
                      <w:rFonts w:cs="Arial"/>
                      <w:sz w:val="20"/>
                    </w:rPr>
                    <w:t xml:space="preserve">Pending the adoption of an international law and policy framework for </w:t>
                  </w:r>
                  <w:r>
                    <w:rPr>
                      <w:rFonts w:cs="Arial"/>
                      <w:sz w:val="20"/>
                    </w:rPr>
                    <w:t>REDD+</w:t>
                  </w:r>
                  <w:r w:rsidRPr="00C75D89">
                    <w:rPr>
                      <w:rFonts w:cs="Arial"/>
                      <w:sz w:val="20"/>
                    </w:rPr>
                    <w:t xml:space="preserve"> by the UNFCCC there is a legal void at </w:t>
                  </w:r>
                  <w:r>
                    <w:rPr>
                      <w:rFonts w:cs="Arial"/>
                      <w:sz w:val="20"/>
                    </w:rPr>
                    <w:t>present</w:t>
                  </w:r>
                  <w:r w:rsidRPr="00C75D89">
                    <w:rPr>
                      <w:rFonts w:cs="Arial"/>
                      <w:sz w:val="20"/>
                    </w:rPr>
                    <w:t xml:space="preserve">. However, a consensus </w:t>
                  </w:r>
                  <w:r>
                    <w:rPr>
                      <w:rFonts w:cs="Arial"/>
                      <w:sz w:val="20"/>
                    </w:rPr>
                    <w:t>is</w:t>
                  </w:r>
                  <w:r w:rsidRPr="00C75D89">
                    <w:rPr>
                      <w:rFonts w:cs="Arial"/>
                      <w:sz w:val="20"/>
                    </w:rPr>
                    <w:t xml:space="preserve"> forming that </w:t>
                  </w:r>
                  <w:r>
                    <w:rPr>
                      <w:rFonts w:cs="Arial"/>
                      <w:sz w:val="20"/>
                    </w:rPr>
                    <w:t>REDD+</w:t>
                  </w:r>
                  <w:r w:rsidRPr="00C75D89">
                    <w:rPr>
                      <w:rFonts w:cs="Arial"/>
                      <w:sz w:val="20"/>
                    </w:rPr>
                    <w:t xml:space="preserve"> will be performance-based, requiring additionality</w:t>
                  </w:r>
                  <w:r>
                    <w:rPr>
                      <w:rFonts w:cs="Arial"/>
                      <w:sz w:val="20"/>
                    </w:rPr>
                    <w:t xml:space="preserve"> and</w:t>
                  </w:r>
                  <w:r w:rsidRPr="00C75D89">
                    <w:rPr>
                      <w:rFonts w:cs="Arial"/>
                      <w:sz w:val="20"/>
                    </w:rPr>
                    <w:t xml:space="preserve"> </w:t>
                  </w:r>
                  <w:r>
                    <w:rPr>
                      <w:rFonts w:cs="Arial"/>
                      <w:sz w:val="20"/>
                    </w:rPr>
                    <w:t xml:space="preserve">permanence be addressed, </w:t>
                  </w:r>
                  <w:r w:rsidRPr="00C75D89">
                    <w:rPr>
                      <w:rFonts w:cs="Arial"/>
                      <w:sz w:val="20"/>
                    </w:rPr>
                    <w:t>measurement, reporting and verification (MRV)</w:t>
                  </w:r>
                  <w:r>
                    <w:rPr>
                      <w:rFonts w:cs="Arial"/>
                      <w:sz w:val="20"/>
                    </w:rPr>
                    <w:t xml:space="preserve"> put in place</w:t>
                  </w:r>
                  <w:r w:rsidRPr="00C75D89">
                    <w:rPr>
                      <w:rFonts w:cs="Arial"/>
                      <w:sz w:val="20"/>
                    </w:rPr>
                    <w:t xml:space="preserve">; </w:t>
                  </w:r>
                  <w:r>
                    <w:rPr>
                      <w:rFonts w:cs="Arial"/>
                      <w:sz w:val="20"/>
                    </w:rPr>
                    <w:t xml:space="preserve">that </w:t>
                  </w:r>
                  <w:r w:rsidRPr="00C75D89">
                    <w:rPr>
                      <w:rFonts w:cs="Arial"/>
                      <w:sz w:val="20"/>
                    </w:rPr>
                    <w:t xml:space="preserve">transparency and participatory processes will be required in national implementation; and </w:t>
                  </w:r>
                  <w:r>
                    <w:rPr>
                      <w:rFonts w:cs="Arial"/>
                      <w:sz w:val="20"/>
                    </w:rPr>
                    <w:t xml:space="preserve">that </w:t>
                  </w:r>
                  <w:r w:rsidRPr="00C75D89">
                    <w:rPr>
                      <w:rFonts w:cs="Arial"/>
                      <w:sz w:val="20"/>
                    </w:rPr>
                    <w:t xml:space="preserve">there will be financing </w:t>
                  </w:r>
                  <w:r>
                    <w:rPr>
                      <w:rFonts w:cs="Arial"/>
                      <w:sz w:val="20"/>
                    </w:rPr>
                    <w:t>from</w:t>
                  </w:r>
                  <w:r w:rsidRPr="00C75D89">
                    <w:rPr>
                      <w:rFonts w:cs="Arial"/>
                      <w:sz w:val="20"/>
                    </w:rPr>
                    <w:t xml:space="preserve"> internationa</w:t>
                  </w:r>
                  <w:r>
                    <w:rPr>
                      <w:rFonts w:cs="Arial"/>
                      <w:sz w:val="20"/>
                    </w:rPr>
                    <w:t xml:space="preserve">l markets and/or public funds.  The National legal framework for BDS should also comply with the country’s obligations under the other relevant ratified treaties, including </w:t>
                  </w:r>
                  <w:r w:rsidRPr="00FC250D">
                    <w:rPr>
                      <w:rFonts w:cs="Arial"/>
                      <w:i/>
                      <w:sz w:val="20"/>
                    </w:rPr>
                    <w:t>Human Rights treaties</w:t>
                  </w:r>
                  <w:r>
                    <w:rPr>
                      <w:rFonts w:cs="Arial"/>
                      <w:sz w:val="20"/>
                    </w:rPr>
                    <w:t xml:space="preserve"> and the </w:t>
                  </w:r>
                  <w:r w:rsidRPr="00FC250D">
                    <w:rPr>
                      <w:rFonts w:cs="Arial"/>
                      <w:i/>
                      <w:sz w:val="20"/>
                    </w:rPr>
                    <w:t>Convention o</w:t>
                  </w:r>
                  <w:r>
                    <w:rPr>
                      <w:rFonts w:cs="Arial"/>
                      <w:i/>
                      <w:sz w:val="20"/>
                    </w:rPr>
                    <w:t>n</w:t>
                  </w:r>
                  <w:r w:rsidRPr="00FC250D">
                    <w:rPr>
                      <w:rFonts w:cs="Arial"/>
                      <w:i/>
                      <w:sz w:val="20"/>
                    </w:rPr>
                    <w:t xml:space="preserve"> Bio</w:t>
                  </w:r>
                  <w:r>
                    <w:rPr>
                      <w:rFonts w:cs="Arial"/>
                      <w:i/>
                      <w:sz w:val="20"/>
                    </w:rPr>
                    <w:t>logical D</w:t>
                  </w:r>
                  <w:r w:rsidRPr="00FC250D">
                    <w:rPr>
                      <w:rFonts w:cs="Arial"/>
                      <w:i/>
                      <w:sz w:val="20"/>
                    </w:rPr>
                    <w:t>iversity</w:t>
                  </w:r>
                  <w:r>
                    <w:rPr>
                      <w:rFonts w:cs="Arial"/>
                      <w:i/>
                      <w:sz w:val="20"/>
                    </w:rPr>
                    <w:t xml:space="preserve"> (CBD).</w:t>
                  </w:r>
                  <w:r>
                    <w:rPr>
                      <w:rFonts w:cs="Arial"/>
                      <w:sz w:val="20"/>
                    </w:rPr>
                    <w:t>.</w:t>
                  </w:r>
                </w:p>
                <w:p w:rsidR="00B4351F" w:rsidRPr="00C75D89" w:rsidRDefault="00B4351F" w:rsidP="00A256CB">
                  <w:pPr>
                    <w:autoSpaceDE w:val="0"/>
                    <w:autoSpaceDN w:val="0"/>
                    <w:adjustRightInd w:val="0"/>
                    <w:spacing w:after="60" w:line="240" w:lineRule="auto"/>
                    <w:jc w:val="both"/>
                    <w:rPr>
                      <w:rFonts w:cs="Arial"/>
                      <w:i/>
                      <w:sz w:val="20"/>
                    </w:rPr>
                  </w:pPr>
                  <w:r w:rsidRPr="00C75D89">
                    <w:rPr>
                      <w:rFonts w:cs="Arial"/>
                      <w:i/>
                      <w:sz w:val="20"/>
                    </w:rPr>
                    <w:t>International project standards</w:t>
                  </w:r>
                </w:p>
                <w:p w:rsidR="00B4351F" w:rsidRPr="00C75D89" w:rsidRDefault="00B4351F" w:rsidP="00A256CB">
                  <w:pPr>
                    <w:spacing w:after="60" w:line="240" w:lineRule="auto"/>
                    <w:jc w:val="both"/>
                    <w:rPr>
                      <w:rFonts w:cs="Arial"/>
                      <w:sz w:val="20"/>
                    </w:rPr>
                  </w:pPr>
                  <w:r>
                    <w:rPr>
                      <w:rFonts w:cs="Arial"/>
                      <w:sz w:val="20"/>
                    </w:rPr>
                    <w:t>Several</w:t>
                  </w:r>
                  <w:r w:rsidRPr="00C75D89">
                    <w:rPr>
                      <w:rFonts w:cs="Arial"/>
                      <w:sz w:val="20"/>
                    </w:rPr>
                    <w:t xml:space="preserve"> international </w:t>
                  </w:r>
                  <w:r>
                    <w:rPr>
                      <w:rFonts w:cs="Arial"/>
                      <w:sz w:val="20"/>
                    </w:rPr>
                    <w:t>s</w:t>
                  </w:r>
                  <w:r w:rsidRPr="00C75D89">
                    <w:rPr>
                      <w:rFonts w:cs="Arial"/>
                      <w:sz w:val="20"/>
                    </w:rPr>
                    <w:t>tandards for avoided deforestation projects have already been developed fo</w:t>
                  </w:r>
                  <w:r>
                    <w:rPr>
                      <w:rFonts w:cs="Arial"/>
                      <w:sz w:val="20"/>
                    </w:rPr>
                    <w:t>r the voluntary carbon market. Compliance with these standards increases the potential value of the carbon credits sold since they reduce the risk</w:t>
                  </w:r>
                  <w:r w:rsidRPr="00C75D89">
                    <w:rPr>
                      <w:rFonts w:cs="Arial"/>
                      <w:sz w:val="20"/>
                    </w:rPr>
                    <w:t xml:space="preserve"> </w:t>
                  </w:r>
                  <w:r>
                    <w:rPr>
                      <w:rFonts w:cs="Arial"/>
                      <w:sz w:val="20"/>
                    </w:rPr>
                    <w:t xml:space="preserve">of project failure </w:t>
                  </w:r>
                  <w:r w:rsidRPr="00C75D89">
                    <w:rPr>
                      <w:rFonts w:cs="Arial"/>
                      <w:sz w:val="20"/>
                    </w:rPr>
                    <w:t xml:space="preserve">to </w:t>
                  </w:r>
                  <w:r>
                    <w:rPr>
                      <w:rFonts w:cs="Arial"/>
                      <w:sz w:val="20"/>
                    </w:rPr>
                    <w:t>the investor</w:t>
                  </w:r>
                  <w:r w:rsidRPr="00C75D89">
                    <w:rPr>
                      <w:rFonts w:cs="Arial"/>
                      <w:sz w:val="20"/>
                    </w:rPr>
                    <w:t xml:space="preserve"> </w:t>
                  </w:r>
                  <w:r>
                    <w:rPr>
                      <w:rFonts w:cs="Arial"/>
                      <w:sz w:val="20"/>
                    </w:rPr>
                    <w:t xml:space="preserve">and </w:t>
                  </w:r>
                  <w:r w:rsidRPr="00C75D89">
                    <w:rPr>
                      <w:rFonts w:cs="Arial"/>
                      <w:sz w:val="20"/>
                    </w:rPr>
                    <w:t>henc</w:t>
                  </w:r>
                  <w:r>
                    <w:rPr>
                      <w:rFonts w:cs="Arial"/>
                      <w:sz w:val="20"/>
                    </w:rPr>
                    <w:t xml:space="preserve">e attract a higher price. </w:t>
                  </w:r>
                  <w:r w:rsidRPr="00C75D89">
                    <w:rPr>
                      <w:rFonts w:cs="Arial"/>
                      <w:sz w:val="20"/>
                    </w:rPr>
                    <w:t>The leading standards are the Voluntary Carbon Standard</w:t>
                  </w:r>
                  <w:r>
                    <w:rPr>
                      <w:rFonts w:cs="Arial"/>
                      <w:sz w:val="20"/>
                    </w:rPr>
                    <w:t xml:space="preserve"> for </w:t>
                  </w:r>
                  <w:r w:rsidRPr="00C75D89">
                    <w:rPr>
                      <w:rFonts w:cs="Arial"/>
                      <w:sz w:val="20"/>
                    </w:rPr>
                    <w:t>Agriculture, Forestry and Other Land Use (VCS</w:t>
                  </w:r>
                  <w:r>
                    <w:rPr>
                      <w:rFonts w:cs="Arial"/>
                      <w:sz w:val="20"/>
                    </w:rPr>
                    <w:t>-</w:t>
                  </w:r>
                  <w:r w:rsidRPr="00C75D89">
                    <w:rPr>
                      <w:rFonts w:cs="Arial"/>
                      <w:sz w:val="20"/>
                    </w:rPr>
                    <w:t xml:space="preserve">AFOLU), a </w:t>
                  </w:r>
                  <w:r>
                    <w:rPr>
                      <w:rFonts w:cs="Arial"/>
                      <w:sz w:val="20"/>
                    </w:rPr>
                    <w:t>carbon</w:t>
                  </w:r>
                  <w:r w:rsidRPr="00C75D89">
                    <w:rPr>
                      <w:rFonts w:cs="Arial"/>
                      <w:sz w:val="20"/>
                    </w:rPr>
                    <w:t xml:space="preserve"> focused </w:t>
                  </w:r>
                  <w:r>
                    <w:rPr>
                      <w:rFonts w:cs="Arial"/>
                      <w:sz w:val="20"/>
                    </w:rPr>
                    <w:t xml:space="preserve">technical </w:t>
                  </w:r>
                  <w:r w:rsidRPr="00C75D89">
                    <w:rPr>
                      <w:rFonts w:cs="Arial"/>
                      <w:sz w:val="20"/>
                    </w:rPr>
                    <w:t xml:space="preserve">standard, and the Climate Community and Biodiversity standards (CCBS), which </w:t>
                  </w:r>
                  <w:r>
                    <w:rPr>
                      <w:rFonts w:cs="Arial"/>
                      <w:sz w:val="20"/>
                    </w:rPr>
                    <w:t>emphasises</w:t>
                  </w:r>
                  <w:r w:rsidRPr="00C75D89">
                    <w:rPr>
                      <w:rFonts w:cs="Arial"/>
                      <w:sz w:val="20"/>
                    </w:rPr>
                    <w:t xml:space="preserve"> social and environmental co-benefits.</w:t>
                  </w:r>
                </w:p>
                <w:p w:rsidR="00B4351F" w:rsidRPr="00C75D89" w:rsidRDefault="00B4351F" w:rsidP="00A256CB">
                  <w:pPr>
                    <w:spacing w:after="60" w:line="240" w:lineRule="auto"/>
                    <w:jc w:val="both"/>
                    <w:rPr>
                      <w:rFonts w:cs="Arial"/>
                      <w:sz w:val="20"/>
                    </w:rPr>
                  </w:pPr>
                  <w:r>
                    <w:rPr>
                      <w:rFonts w:cs="Arial"/>
                      <w:sz w:val="20"/>
                    </w:rPr>
                    <w:t xml:space="preserve">The </w:t>
                  </w:r>
                  <w:r w:rsidRPr="00C75D89">
                    <w:rPr>
                      <w:rFonts w:cs="Arial"/>
                      <w:sz w:val="20"/>
                    </w:rPr>
                    <w:t xml:space="preserve">Climate, Community, Biodiversity Alliance (CCBA) has recently released draft </w:t>
                  </w:r>
                  <w:r>
                    <w:rPr>
                      <w:rFonts w:cs="Arial"/>
                      <w:sz w:val="20"/>
                    </w:rPr>
                    <w:t>REDD+</w:t>
                  </w:r>
                  <w:r w:rsidRPr="00C75D89">
                    <w:rPr>
                      <w:rFonts w:cs="Arial"/>
                      <w:sz w:val="20"/>
                    </w:rPr>
                    <w:t xml:space="preserve"> Social and Environment Standards (CCB </w:t>
                  </w:r>
                  <w:r>
                    <w:rPr>
                      <w:rFonts w:cs="Arial"/>
                      <w:sz w:val="20"/>
                    </w:rPr>
                    <w:t>REDD+</w:t>
                  </w:r>
                  <w:r w:rsidRPr="00C75D89">
                    <w:rPr>
                      <w:rFonts w:cs="Arial"/>
                      <w:sz w:val="20"/>
                    </w:rPr>
                    <w:t xml:space="preserve"> Standards). These standards are designed to </w:t>
                  </w:r>
                  <w:r>
                    <w:rPr>
                      <w:rFonts w:cs="Arial"/>
                      <w:sz w:val="20"/>
                    </w:rPr>
                    <w:t>be compatible with a compliance-based REDD+</w:t>
                  </w:r>
                  <w:r w:rsidRPr="00C75D89">
                    <w:rPr>
                      <w:rFonts w:cs="Arial"/>
                      <w:sz w:val="20"/>
                    </w:rPr>
                    <w:t xml:space="preserve"> </w:t>
                  </w:r>
                  <w:r>
                    <w:rPr>
                      <w:rFonts w:cs="Arial"/>
                      <w:sz w:val="20"/>
                    </w:rPr>
                    <w:t>mechanism under the</w:t>
                  </w:r>
                  <w:r w:rsidRPr="00C75D89">
                    <w:rPr>
                      <w:rFonts w:cs="Arial"/>
                      <w:sz w:val="20"/>
                    </w:rPr>
                    <w:t xml:space="preserve"> UNFCCC.</w:t>
                  </w:r>
                </w:p>
                <w:p w:rsidR="00B4351F" w:rsidRPr="00C75D89" w:rsidRDefault="00B4351F" w:rsidP="00A256CB">
                  <w:pPr>
                    <w:autoSpaceDE w:val="0"/>
                    <w:autoSpaceDN w:val="0"/>
                    <w:adjustRightInd w:val="0"/>
                    <w:spacing w:after="60" w:line="240" w:lineRule="auto"/>
                    <w:jc w:val="both"/>
                  </w:pPr>
                  <w:r>
                    <w:rPr>
                      <w:rFonts w:cs="Arial"/>
                      <w:sz w:val="20"/>
                    </w:rPr>
                    <w:t>CCB REDD+ S</w:t>
                  </w:r>
                  <w:r w:rsidRPr="00C75D89">
                    <w:rPr>
                      <w:rFonts w:cs="Arial"/>
                      <w:sz w:val="20"/>
                    </w:rPr>
                    <w:t xml:space="preserve">tandards consist of </w:t>
                  </w:r>
                  <w:r>
                    <w:rPr>
                      <w:rFonts w:cs="Arial"/>
                      <w:sz w:val="20"/>
                    </w:rPr>
                    <w:t>eight</w:t>
                  </w:r>
                  <w:r w:rsidRPr="00C75D89">
                    <w:rPr>
                      <w:rFonts w:cs="Arial"/>
                      <w:sz w:val="20"/>
                    </w:rPr>
                    <w:t xml:space="preserve"> principles</w:t>
                  </w:r>
                  <w:r>
                    <w:rPr>
                      <w:rFonts w:cs="Arial"/>
                      <w:sz w:val="20"/>
                    </w:rPr>
                    <w:t xml:space="preserve"> broken down into</w:t>
                  </w:r>
                  <w:r w:rsidRPr="00C75D89">
                    <w:rPr>
                      <w:rFonts w:cs="Arial"/>
                      <w:sz w:val="20"/>
                    </w:rPr>
                    <w:t xml:space="preserve"> </w:t>
                  </w:r>
                  <w:r>
                    <w:rPr>
                      <w:rFonts w:cs="Arial"/>
                      <w:sz w:val="20"/>
                    </w:rPr>
                    <w:t xml:space="preserve">31 criteria and 81 indicators. </w:t>
                  </w:r>
                  <w:r w:rsidRPr="00C75D89">
                    <w:rPr>
                      <w:rFonts w:cs="Arial"/>
                      <w:sz w:val="20"/>
                    </w:rPr>
                    <w:t>Principle 2</w:t>
                  </w:r>
                  <w:r>
                    <w:rPr>
                      <w:rFonts w:cs="Arial"/>
                      <w:sz w:val="20"/>
                    </w:rPr>
                    <w:t xml:space="preserve"> a</w:t>
                  </w:r>
                  <w:r w:rsidRPr="00C75D89">
                    <w:rPr>
                      <w:rFonts w:cs="Arial"/>
                      <w:sz w:val="20"/>
                    </w:rPr>
                    <w:t>ddresses benefit sharing</w:t>
                  </w:r>
                  <w:r w:rsidRPr="00C75D89">
                    <w:rPr>
                      <w:rFonts w:cs="Arial"/>
                      <w:b/>
                      <w:bCs/>
                      <w:sz w:val="20"/>
                    </w:rPr>
                    <w:t xml:space="preserve">: </w:t>
                  </w:r>
                  <w:r w:rsidRPr="00C75D89">
                    <w:rPr>
                      <w:rFonts w:cs="Arial"/>
                      <w:bCs/>
                      <w:sz w:val="20"/>
                    </w:rPr>
                    <w:t>“</w:t>
                  </w:r>
                  <w:r w:rsidRPr="00C75D89">
                    <w:rPr>
                      <w:rFonts w:cs="Arial"/>
                      <w:bCs/>
                      <w:i/>
                      <w:sz w:val="20"/>
                    </w:rPr>
                    <w:t xml:space="preserve">The benefits of the </w:t>
                  </w:r>
                  <w:r>
                    <w:rPr>
                      <w:rFonts w:cs="Arial"/>
                      <w:bCs/>
                      <w:i/>
                      <w:sz w:val="20"/>
                    </w:rPr>
                    <w:t>REDD+</w:t>
                  </w:r>
                  <w:r w:rsidRPr="00C75D89">
                    <w:rPr>
                      <w:rFonts w:cs="Arial"/>
                      <w:bCs/>
                      <w:i/>
                      <w:sz w:val="20"/>
                    </w:rPr>
                    <w:t xml:space="preserve"> program are shared equitably among all stakeholders and rights holders</w:t>
                  </w:r>
                  <w:r w:rsidRPr="00C75D89">
                    <w:rPr>
                      <w:rFonts w:cs="Arial"/>
                      <w:bCs/>
                      <w:sz w:val="20"/>
                    </w:rPr>
                    <w:t xml:space="preserve">”. Stakeholders are defined as </w:t>
                  </w:r>
                  <w:r w:rsidRPr="00C75D89">
                    <w:rPr>
                      <w:rFonts w:cs="Arial"/>
                      <w:sz w:val="20"/>
                    </w:rPr>
                    <w:t>“</w:t>
                  </w:r>
                  <w:r w:rsidRPr="00806497">
                    <w:rPr>
                      <w:rFonts w:cs="Arial"/>
                      <w:i/>
                      <w:sz w:val="20"/>
                    </w:rPr>
                    <w:t xml:space="preserve">groups of rights holders whose rights are potentially affected by the </w:t>
                  </w:r>
                  <w:r>
                    <w:rPr>
                      <w:rFonts w:cs="Arial"/>
                      <w:i/>
                      <w:sz w:val="20"/>
                    </w:rPr>
                    <w:t>REDD+</w:t>
                  </w:r>
                  <w:r w:rsidRPr="00806497">
                    <w:rPr>
                      <w:rFonts w:cs="Arial"/>
                      <w:i/>
                      <w:sz w:val="20"/>
                    </w:rPr>
                    <w:t xml:space="preserve"> program and groups of other stakeholders whose interests are potentially affected by the program</w:t>
                  </w:r>
                  <w:r w:rsidRPr="00C75D89">
                    <w:rPr>
                      <w:rFonts w:cs="Arial"/>
                      <w:sz w:val="20"/>
                    </w:rPr>
                    <w:t xml:space="preserve">”. </w:t>
                  </w:r>
                </w:p>
              </w:txbxContent>
            </v:textbox>
            <w10:wrap type="square" anchorx="margin" anchory="margin"/>
          </v:shape>
        </w:pict>
      </w:r>
      <w:r w:rsidR="001B6D90">
        <w:rPr>
          <w:rFonts w:ascii="Book Antiqua" w:hAnsi="Book Antiqua" w:cs="Arial"/>
        </w:rPr>
        <w:t>REDD+</w:t>
      </w:r>
      <w:r w:rsidR="00351F2C" w:rsidRPr="000F0314">
        <w:rPr>
          <w:rFonts w:ascii="Book Antiqua" w:hAnsi="Book Antiqua" w:cs="Arial"/>
        </w:rPr>
        <w:t xml:space="preserve"> is also characterized by having an international dimension, as a </w:t>
      </w:r>
      <w:r w:rsidR="009B66B1" w:rsidRPr="000F0314">
        <w:rPr>
          <w:rFonts w:ascii="Book Antiqua" w:hAnsi="Book Antiqua" w:cs="Arial"/>
        </w:rPr>
        <w:t>compliance mechanism to address</w:t>
      </w:r>
      <w:r w:rsidR="00351F2C" w:rsidRPr="000F0314">
        <w:rPr>
          <w:rFonts w:ascii="Book Antiqua" w:hAnsi="Book Antiqua" w:cs="Arial"/>
        </w:rPr>
        <w:t xml:space="preserve"> climate change </w:t>
      </w:r>
      <w:r w:rsidR="009B66B1" w:rsidRPr="000F0314">
        <w:rPr>
          <w:rFonts w:ascii="Book Antiqua" w:hAnsi="Book Antiqua" w:cs="Arial"/>
        </w:rPr>
        <w:t xml:space="preserve">mitigation </w:t>
      </w:r>
      <w:r w:rsidR="00351F2C" w:rsidRPr="000F0314">
        <w:rPr>
          <w:rFonts w:ascii="Book Antiqua" w:hAnsi="Book Antiqua" w:cs="Arial"/>
        </w:rPr>
        <w:t xml:space="preserve">through the UNFCCC, </w:t>
      </w:r>
      <w:r w:rsidR="009B66B1" w:rsidRPr="000F0314">
        <w:rPr>
          <w:rFonts w:ascii="Book Antiqua" w:hAnsi="Book Antiqua" w:cs="Arial"/>
        </w:rPr>
        <w:t>under</w:t>
      </w:r>
      <w:r w:rsidR="00351F2C" w:rsidRPr="000F0314">
        <w:rPr>
          <w:rFonts w:ascii="Book Antiqua" w:hAnsi="Book Antiqua" w:cs="Arial"/>
        </w:rPr>
        <w:t xml:space="preserve"> a financial mechanism that may rely</w:t>
      </w:r>
      <w:r w:rsidR="009B66B1" w:rsidRPr="000F0314">
        <w:rPr>
          <w:rFonts w:ascii="Book Antiqua" w:hAnsi="Book Antiqua" w:cs="Arial"/>
        </w:rPr>
        <w:t>, in part,</w:t>
      </w:r>
      <w:r w:rsidR="00351F2C" w:rsidRPr="000F0314">
        <w:rPr>
          <w:rFonts w:ascii="Book Antiqua" w:hAnsi="Book Antiqua" w:cs="Arial"/>
        </w:rPr>
        <w:t xml:space="preserve"> on a future international carbon market. Although the international framework for </w:t>
      </w:r>
      <w:r w:rsidR="001B6D90">
        <w:rPr>
          <w:rFonts w:ascii="Book Antiqua" w:hAnsi="Book Antiqua" w:cs="Arial"/>
        </w:rPr>
        <w:t>REDD+</w:t>
      </w:r>
      <w:r w:rsidR="00351F2C" w:rsidRPr="000F0314">
        <w:rPr>
          <w:rFonts w:ascii="Book Antiqua" w:hAnsi="Book Antiqua" w:cs="Arial"/>
        </w:rPr>
        <w:t xml:space="preserve"> BDS </w:t>
      </w:r>
      <w:r w:rsidR="009B66B1" w:rsidRPr="000F0314">
        <w:rPr>
          <w:rFonts w:ascii="Book Antiqua" w:hAnsi="Book Antiqua" w:cs="Arial"/>
        </w:rPr>
        <w:t>remains to be fully</w:t>
      </w:r>
      <w:r w:rsidR="00351F2C" w:rsidRPr="000F0314">
        <w:rPr>
          <w:rFonts w:ascii="Book Antiqua" w:hAnsi="Book Antiqua" w:cs="Arial"/>
        </w:rPr>
        <w:t xml:space="preserve"> defined, the success of </w:t>
      </w:r>
      <w:r w:rsidR="001B6D90">
        <w:rPr>
          <w:rFonts w:ascii="Book Antiqua" w:hAnsi="Book Antiqua" w:cs="Arial"/>
        </w:rPr>
        <w:t>REDD+</w:t>
      </w:r>
      <w:r w:rsidR="00351F2C" w:rsidRPr="000F0314">
        <w:rPr>
          <w:rFonts w:ascii="Book Antiqua" w:hAnsi="Book Antiqua" w:cs="Arial"/>
        </w:rPr>
        <w:t xml:space="preserve"> at a national level will largely depend on how it complies with the </w:t>
      </w:r>
      <w:r w:rsidR="001B6D90">
        <w:rPr>
          <w:rFonts w:ascii="Book Antiqua" w:hAnsi="Book Antiqua" w:cs="Arial"/>
        </w:rPr>
        <w:t>REDD+</w:t>
      </w:r>
      <w:r w:rsidR="00351F2C" w:rsidRPr="000F0314">
        <w:rPr>
          <w:rFonts w:ascii="Book Antiqua" w:hAnsi="Book Antiqua" w:cs="Arial"/>
        </w:rPr>
        <w:t xml:space="preserve"> international legal framework as it evolves (See Box </w:t>
      </w:r>
      <w:r w:rsidR="009B66B1" w:rsidRPr="000F0314">
        <w:rPr>
          <w:rFonts w:ascii="Book Antiqua" w:hAnsi="Book Antiqua" w:cs="Arial"/>
        </w:rPr>
        <w:t>3</w:t>
      </w:r>
      <w:r w:rsidR="00351F2C" w:rsidRPr="000F0314">
        <w:rPr>
          <w:rFonts w:ascii="Book Antiqua" w:hAnsi="Book Antiqua" w:cs="Arial"/>
        </w:rPr>
        <w:t>.2.)</w:t>
      </w:r>
    </w:p>
    <w:p w:rsidR="00351F2C" w:rsidRPr="00445F77" w:rsidRDefault="00351F2C" w:rsidP="00A256CB">
      <w:pPr>
        <w:spacing w:after="0" w:line="300" w:lineRule="exact"/>
        <w:jc w:val="both"/>
        <w:rPr>
          <w:rFonts w:ascii="Arial" w:hAnsi="Arial" w:cs="Arial"/>
          <w:sz w:val="24"/>
          <w:szCs w:val="24"/>
        </w:rPr>
      </w:pPr>
    </w:p>
    <w:p w:rsidR="00351F2C" w:rsidRPr="00445F77" w:rsidRDefault="00351F2C" w:rsidP="00A256CB">
      <w:pPr>
        <w:spacing w:after="0" w:line="300" w:lineRule="exact"/>
        <w:jc w:val="both"/>
        <w:rPr>
          <w:rFonts w:ascii="Arial" w:hAnsi="Arial" w:cs="Arial"/>
          <w:sz w:val="24"/>
          <w:szCs w:val="24"/>
        </w:rPr>
      </w:pPr>
    </w:p>
    <w:p w:rsidR="00351F2C" w:rsidRPr="00445F77" w:rsidRDefault="00351F2C" w:rsidP="00A256CB">
      <w:pPr>
        <w:pStyle w:val="Heading3"/>
        <w:rPr>
          <w:rFonts w:ascii="Arial" w:hAnsi="Arial" w:cs="Arial"/>
        </w:rPr>
      </w:pPr>
      <w:bookmarkStart w:id="88" w:name="_Toc245810422"/>
      <w:bookmarkStart w:id="89" w:name="_Toc249078671"/>
      <w:bookmarkStart w:id="90" w:name="_Toc249079507"/>
      <w:r w:rsidRPr="00445F77">
        <w:rPr>
          <w:rFonts w:ascii="Arial" w:hAnsi="Arial" w:cs="Arial"/>
        </w:rPr>
        <w:t>Essential characteristics of a legal framework:</w:t>
      </w:r>
      <w:bookmarkEnd w:id="88"/>
      <w:bookmarkEnd w:id="89"/>
      <w:bookmarkEnd w:id="90"/>
    </w:p>
    <w:p w:rsidR="00351F2C" w:rsidRPr="000F0314" w:rsidRDefault="00351F2C" w:rsidP="00A256CB">
      <w:pPr>
        <w:spacing w:after="0" w:line="300" w:lineRule="exact"/>
        <w:jc w:val="both"/>
        <w:rPr>
          <w:rFonts w:ascii="Book Antiqua" w:hAnsi="Book Antiqua" w:cs="Arial"/>
        </w:rPr>
      </w:pPr>
      <w:r w:rsidRPr="000F0314">
        <w:rPr>
          <w:rFonts w:ascii="Book Antiqua" w:hAnsi="Book Antiqua" w:cs="Arial"/>
        </w:rPr>
        <w:t xml:space="preserve">The essential characteristics of a legal framework for a </w:t>
      </w:r>
      <w:r w:rsidR="001B6D90">
        <w:rPr>
          <w:rFonts w:ascii="Book Antiqua" w:hAnsi="Book Antiqua" w:cs="Arial"/>
        </w:rPr>
        <w:t>REDD+</w:t>
      </w:r>
      <w:r w:rsidRPr="000F0314">
        <w:rPr>
          <w:rFonts w:ascii="Book Antiqua" w:hAnsi="Book Antiqua" w:cs="Arial"/>
        </w:rPr>
        <w:t xml:space="preserve"> BDS include the following:</w:t>
      </w:r>
    </w:p>
    <w:p w:rsidR="00351F2C" w:rsidRPr="000F0314" w:rsidRDefault="00351F2C" w:rsidP="008227FD">
      <w:pPr>
        <w:pStyle w:val="ListParagraph"/>
        <w:numPr>
          <w:ilvl w:val="0"/>
          <w:numId w:val="53"/>
        </w:numPr>
        <w:spacing w:after="0" w:line="300" w:lineRule="exact"/>
        <w:ind w:left="720"/>
        <w:contextualSpacing w:val="0"/>
        <w:jc w:val="both"/>
        <w:rPr>
          <w:rFonts w:ascii="Book Antiqua" w:hAnsi="Book Antiqua" w:cs="Arial"/>
          <w:lang w:val="en-GB"/>
        </w:rPr>
      </w:pPr>
      <w:r w:rsidRPr="000F0314">
        <w:rPr>
          <w:rFonts w:ascii="Book Antiqua" w:hAnsi="Book Antiqua" w:cs="Arial"/>
          <w:b/>
          <w:bCs/>
          <w:lang w:val="en-GB"/>
        </w:rPr>
        <w:t>Clarity</w:t>
      </w:r>
      <w:r w:rsidRPr="000F0314">
        <w:rPr>
          <w:rFonts w:ascii="Book Antiqua" w:hAnsi="Book Antiqua" w:cs="Arial"/>
          <w:lang w:val="en-GB"/>
        </w:rPr>
        <w:t>: the law and enabling regulations set rules that are clear, not subject to conflicting interpretations and provide for all situations. There should also be clarity as to who the rules apply to and who has responsibility for their enforcement.</w:t>
      </w:r>
    </w:p>
    <w:p w:rsidR="00351F2C" w:rsidRPr="000F0314" w:rsidRDefault="00351F2C" w:rsidP="008227FD">
      <w:pPr>
        <w:pStyle w:val="ListParagraph"/>
        <w:numPr>
          <w:ilvl w:val="0"/>
          <w:numId w:val="53"/>
        </w:numPr>
        <w:spacing w:after="0" w:line="300" w:lineRule="exact"/>
        <w:ind w:left="720"/>
        <w:contextualSpacing w:val="0"/>
        <w:jc w:val="both"/>
        <w:rPr>
          <w:rFonts w:ascii="Book Antiqua" w:hAnsi="Book Antiqua" w:cs="Arial"/>
          <w:lang w:val="en-GB"/>
        </w:rPr>
      </w:pPr>
      <w:r w:rsidRPr="000F0314">
        <w:rPr>
          <w:rFonts w:ascii="Book Antiqua" w:hAnsi="Book Antiqua" w:cs="Arial"/>
          <w:b/>
          <w:bCs/>
          <w:lang w:val="en-GB"/>
        </w:rPr>
        <w:t>Consistency</w:t>
      </w:r>
      <w:r w:rsidRPr="000F0314">
        <w:rPr>
          <w:rFonts w:ascii="Book Antiqua" w:hAnsi="Book Antiqua" w:cs="Arial"/>
          <w:lang w:val="en-GB"/>
        </w:rPr>
        <w:t xml:space="preserve">: </w:t>
      </w:r>
      <w:r w:rsidR="008841B9" w:rsidRPr="000F0314">
        <w:rPr>
          <w:rFonts w:ascii="Book Antiqua" w:hAnsi="Book Antiqua" w:cs="Arial"/>
          <w:lang w:val="en-GB"/>
        </w:rPr>
        <w:t xml:space="preserve">the </w:t>
      </w:r>
      <w:r w:rsidR="001B6D90">
        <w:rPr>
          <w:rFonts w:ascii="Book Antiqua" w:hAnsi="Book Antiqua" w:cs="Arial"/>
          <w:lang w:val="en-GB"/>
        </w:rPr>
        <w:t>REDD+</w:t>
      </w:r>
      <w:r w:rsidRPr="000F0314">
        <w:rPr>
          <w:rFonts w:ascii="Book Antiqua" w:hAnsi="Book Antiqua" w:cs="Arial"/>
          <w:lang w:val="en-GB"/>
        </w:rPr>
        <w:t xml:space="preserve"> legal framework is relevant to several ministries and government authorities (forests, land administration, finance, foreign affairs, etc.). A collaborative approach is required to prevent inconsistencies and overlaps with other existing legislation and new </w:t>
      </w:r>
      <w:r w:rsidR="001B6D90">
        <w:rPr>
          <w:rFonts w:ascii="Book Antiqua" w:hAnsi="Book Antiqua" w:cs="Arial"/>
          <w:lang w:val="en-GB"/>
        </w:rPr>
        <w:t>REDD+</w:t>
      </w:r>
      <w:r w:rsidRPr="000F0314">
        <w:rPr>
          <w:rFonts w:ascii="Book Antiqua" w:hAnsi="Book Antiqua" w:cs="Arial"/>
          <w:lang w:val="en-GB"/>
        </w:rPr>
        <w:t xml:space="preserve"> regulations (horizontal consistency). Vertical consistency should also be ensured, that is between legal instruments at different levels of government: national, provincial and local. </w:t>
      </w:r>
    </w:p>
    <w:p w:rsidR="00351F2C" w:rsidRPr="000F0314" w:rsidRDefault="00351F2C" w:rsidP="008227FD">
      <w:pPr>
        <w:pStyle w:val="ListParagraph"/>
        <w:numPr>
          <w:ilvl w:val="0"/>
          <w:numId w:val="53"/>
        </w:numPr>
        <w:spacing w:after="0" w:line="300" w:lineRule="exact"/>
        <w:ind w:left="660"/>
        <w:contextualSpacing w:val="0"/>
        <w:jc w:val="both"/>
        <w:rPr>
          <w:rFonts w:ascii="Book Antiqua" w:hAnsi="Book Antiqua" w:cs="Arial"/>
          <w:lang w:val="en-GB"/>
        </w:rPr>
      </w:pPr>
      <w:r w:rsidRPr="000F0314">
        <w:rPr>
          <w:rFonts w:ascii="Book Antiqua" w:hAnsi="Book Antiqua" w:cs="Arial"/>
          <w:b/>
          <w:bCs/>
          <w:lang w:val="en-GB"/>
        </w:rPr>
        <w:t>Compliance and enforcement</w:t>
      </w:r>
      <w:r w:rsidRPr="000F0314">
        <w:rPr>
          <w:rFonts w:ascii="Book Antiqua" w:hAnsi="Book Antiqua" w:cs="Arial"/>
          <w:lang w:val="en-GB"/>
        </w:rPr>
        <w:t xml:space="preserve">: </w:t>
      </w:r>
      <w:r w:rsidR="008841B9" w:rsidRPr="000F0314">
        <w:rPr>
          <w:rFonts w:ascii="Book Antiqua" w:hAnsi="Book Antiqua" w:cs="Arial"/>
          <w:lang w:val="en-GB"/>
        </w:rPr>
        <w:t>e</w:t>
      </w:r>
      <w:r w:rsidRPr="000F0314">
        <w:rPr>
          <w:rFonts w:ascii="Book Antiqua" w:hAnsi="Book Antiqua" w:cs="Arial"/>
          <w:lang w:val="en-GB"/>
        </w:rPr>
        <w:t xml:space="preserve">ffective enforcement requires clear rules (Clarity and Consistency) and the human and technical resources, political will and good governance to ensure the legal elements are applied correctly. A BDS system will prove inequitable, ineffective and inefficient if not supported by good governance, entailing transparency, accountability, and participation.  </w:t>
      </w:r>
    </w:p>
    <w:p w:rsidR="00351F2C" w:rsidRPr="000F0314" w:rsidRDefault="00351F2C" w:rsidP="00A256CB">
      <w:pPr>
        <w:pStyle w:val="ListParagraph"/>
        <w:spacing w:after="0" w:line="300" w:lineRule="exact"/>
        <w:ind w:left="0"/>
        <w:jc w:val="both"/>
        <w:rPr>
          <w:rFonts w:ascii="Book Antiqua" w:hAnsi="Book Antiqua" w:cs="Arial"/>
          <w:lang w:val="en-GB"/>
        </w:rPr>
      </w:pPr>
    </w:p>
    <w:p w:rsidR="00351F2C" w:rsidRPr="000F0314" w:rsidRDefault="00351F2C" w:rsidP="00A256CB">
      <w:pPr>
        <w:spacing w:after="0" w:line="300" w:lineRule="exact"/>
        <w:jc w:val="both"/>
        <w:rPr>
          <w:rFonts w:ascii="Book Antiqua" w:hAnsi="Book Antiqua" w:cs="Arial"/>
        </w:rPr>
      </w:pPr>
      <w:r w:rsidRPr="000F0314">
        <w:rPr>
          <w:rFonts w:ascii="Book Antiqua" w:hAnsi="Book Antiqua" w:cs="Arial"/>
        </w:rPr>
        <w:t xml:space="preserve">Within each particular national context, meeting international </w:t>
      </w:r>
      <w:r w:rsidR="001B6D90">
        <w:rPr>
          <w:rFonts w:ascii="Book Antiqua" w:hAnsi="Book Antiqua" w:cs="Arial"/>
        </w:rPr>
        <w:t>REDD+</w:t>
      </w:r>
      <w:r w:rsidRPr="000F0314">
        <w:rPr>
          <w:rFonts w:ascii="Book Antiqua" w:hAnsi="Book Antiqua" w:cs="Arial"/>
        </w:rPr>
        <w:t xml:space="preserve"> requirements could necessitate reforming or adapting the existing institutional and legal frameworks, and </w:t>
      </w:r>
      <w:r w:rsidR="001B6D90">
        <w:rPr>
          <w:rFonts w:ascii="Book Antiqua" w:hAnsi="Book Antiqua" w:cs="Arial"/>
        </w:rPr>
        <w:t>REDD+</w:t>
      </w:r>
      <w:r w:rsidRPr="000F0314">
        <w:rPr>
          <w:rFonts w:ascii="Book Antiqua" w:hAnsi="Book Antiqua" w:cs="Arial"/>
        </w:rPr>
        <w:t xml:space="preserve"> could be seen as the opportunity, incentive, and means to do so. Among developing countries preparing for </w:t>
      </w:r>
      <w:r w:rsidR="001B6D90">
        <w:rPr>
          <w:rFonts w:ascii="Book Antiqua" w:hAnsi="Book Antiqua" w:cs="Arial"/>
        </w:rPr>
        <w:t>REDD+</w:t>
      </w:r>
      <w:r w:rsidRPr="000F0314">
        <w:rPr>
          <w:rFonts w:ascii="Book Antiqua" w:hAnsi="Book Antiqua" w:cs="Arial"/>
        </w:rPr>
        <w:t xml:space="preserve">, only </w:t>
      </w:r>
      <w:smartTag w:uri="urn:schemas-microsoft-com:office:smarttags" w:element="country-region">
        <w:smartTag w:uri="urn:schemas-microsoft-com:office:smarttags" w:element="place">
          <w:r w:rsidRPr="000F0314">
            <w:rPr>
              <w:rFonts w:ascii="Book Antiqua" w:hAnsi="Book Antiqua" w:cs="Arial"/>
            </w:rPr>
            <w:t>Indonesia</w:t>
          </w:r>
        </w:smartTag>
      </w:smartTag>
      <w:r w:rsidRPr="000F0314">
        <w:rPr>
          <w:rFonts w:ascii="Book Antiqua" w:hAnsi="Book Antiqua" w:cs="Arial"/>
        </w:rPr>
        <w:t xml:space="preserve"> has initiated specific regulations for the implementation of </w:t>
      </w:r>
      <w:r w:rsidR="001B6D90">
        <w:rPr>
          <w:rFonts w:ascii="Book Antiqua" w:hAnsi="Book Antiqua" w:cs="Arial"/>
        </w:rPr>
        <w:t>REDD+</w:t>
      </w:r>
      <w:r w:rsidRPr="000F0314">
        <w:rPr>
          <w:rFonts w:ascii="Book Antiqua" w:hAnsi="Book Antiqua" w:cs="Arial"/>
        </w:rPr>
        <w:t xml:space="preserve"> at the national level, although the provisions regarding BDS are still incomplete and imperfect</w:t>
      </w:r>
      <w:r w:rsidR="008841B9" w:rsidRPr="000F0314">
        <w:rPr>
          <w:rFonts w:ascii="Book Antiqua" w:hAnsi="Book Antiqua" w:cs="Arial"/>
        </w:rPr>
        <w:t>, and have been designed with the voluntary market in mind</w:t>
      </w:r>
      <w:r w:rsidRPr="000F0314">
        <w:rPr>
          <w:rFonts w:ascii="Book Antiqua" w:hAnsi="Book Antiqua" w:cs="Arial"/>
        </w:rPr>
        <w:t>.</w:t>
      </w:r>
    </w:p>
    <w:p w:rsidR="00351F2C" w:rsidRPr="00445F77" w:rsidRDefault="00351F2C" w:rsidP="00A256CB">
      <w:pPr>
        <w:spacing w:after="0" w:line="300" w:lineRule="exact"/>
        <w:jc w:val="both"/>
        <w:rPr>
          <w:rFonts w:ascii="Arial" w:hAnsi="Arial" w:cs="Arial"/>
          <w:sz w:val="24"/>
          <w:szCs w:val="24"/>
        </w:rPr>
      </w:pPr>
    </w:p>
    <w:p w:rsidR="00351F2C" w:rsidRPr="00445F77" w:rsidRDefault="00351F2C" w:rsidP="00A256CB">
      <w:pPr>
        <w:pStyle w:val="Heading3"/>
        <w:rPr>
          <w:rFonts w:ascii="Arial" w:hAnsi="Arial" w:cs="Arial"/>
        </w:rPr>
      </w:pPr>
      <w:bookmarkStart w:id="91" w:name="_Toc245810423"/>
      <w:bookmarkStart w:id="92" w:name="_Toc249078672"/>
      <w:bookmarkStart w:id="93" w:name="_Toc249079508"/>
      <w:r w:rsidRPr="00445F77">
        <w:rPr>
          <w:rFonts w:ascii="Arial" w:hAnsi="Arial" w:cs="Arial"/>
        </w:rPr>
        <w:t>Assessing BDS Legal framework options</w:t>
      </w:r>
      <w:bookmarkEnd w:id="91"/>
      <w:bookmarkEnd w:id="92"/>
      <w:bookmarkEnd w:id="93"/>
    </w:p>
    <w:p w:rsidR="00351F2C" w:rsidRPr="000F0314" w:rsidRDefault="00351F2C" w:rsidP="00A256CB">
      <w:pPr>
        <w:autoSpaceDE w:val="0"/>
        <w:autoSpaceDN w:val="0"/>
        <w:adjustRightInd w:val="0"/>
        <w:spacing w:after="0" w:line="300" w:lineRule="exact"/>
        <w:jc w:val="both"/>
        <w:rPr>
          <w:rFonts w:ascii="Book Antiqua" w:hAnsi="Book Antiqua" w:cs="Arial"/>
        </w:rPr>
      </w:pPr>
      <w:r w:rsidRPr="000F0314">
        <w:rPr>
          <w:rFonts w:ascii="Book Antiqua" w:hAnsi="Book Antiqua" w:cs="Arial"/>
        </w:rPr>
        <w:t>Options for a legal framework for BDS need to be assessed against the criteria of equity, effectiveness and efficiency (“3E criteria”)</w:t>
      </w:r>
      <w:r w:rsidRPr="000F0314">
        <w:rPr>
          <w:rStyle w:val="FootnoteReference"/>
          <w:rFonts w:ascii="Book Antiqua" w:hAnsi="Book Antiqua" w:cs="Arial"/>
        </w:rPr>
        <w:footnoteReference w:id="34"/>
      </w:r>
      <w:r w:rsidRPr="000F0314">
        <w:rPr>
          <w:rFonts w:ascii="Book Antiqua" w:hAnsi="Book Antiqua" w:cs="Arial"/>
        </w:rPr>
        <w:t xml:space="preserve">, which are used to assess </w:t>
      </w:r>
      <w:r w:rsidR="001B6D90">
        <w:rPr>
          <w:rFonts w:ascii="Book Antiqua" w:hAnsi="Book Antiqua" w:cs="Arial"/>
        </w:rPr>
        <w:t>REDD+</w:t>
      </w:r>
      <w:r w:rsidRPr="000F0314">
        <w:rPr>
          <w:rFonts w:ascii="Book Antiqua" w:hAnsi="Book Antiqua" w:cs="Arial"/>
        </w:rPr>
        <w:t xml:space="preserve"> options generally (see </w:t>
      </w:r>
      <w:smartTag w:uri="urn:schemas-microsoft-com:office:smarttags" w:element="address">
        <w:smartTag w:uri="urn:schemas-microsoft-com:office:smarttags" w:element="Street">
          <w:r w:rsidRPr="000F0314">
            <w:rPr>
              <w:rFonts w:ascii="Book Antiqua" w:hAnsi="Book Antiqua" w:cs="Arial"/>
            </w:rPr>
            <w:t>Box</w:t>
          </w:r>
        </w:smartTag>
        <w:r w:rsidRPr="000F0314">
          <w:rPr>
            <w:rFonts w:ascii="Book Antiqua" w:hAnsi="Book Antiqua" w:cs="Arial"/>
          </w:rPr>
          <w:t xml:space="preserve"> </w:t>
        </w:r>
        <w:r w:rsidR="00DC2120" w:rsidRPr="000F0314">
          <w:rPr>
            <w:rFonts w:ascii="Book Antiqua" w:hAnsi="Book Antiqua" w:cs="Arial"/>
          </w:rPr>
          <w:t>3</w:t>
        </w:r>
        <w:r w:rsidRPr="000F0314">
          <w:rPr>
            <w:rFonts w:ascii="Book Antiqua" w:hAnsi="Book Antiqua" w:cs="Arial"/>
          </w:rPr>
          <w:t>.1</w:t>
        </w:r>
      </w:smartTag>
      <w:r w:rsidRPr="000F0314">
        <w:rPr>
          <w:rFonts w:ascii="Book Antiqua" w:hAnsi="Book Antiqua" w:cs="Arial"/>
        </w:rPr>
        <w:t xml:space="preserve">). The 3E criteria are referred to in the CCB Draft </w:t>
      </w:r>
      <w:r w:rsidR="001B6D90">
        <w:rPr>
          <w:rFonts w:ascii="Book Antiqua" w:hAnsi="Book Antiqua" w:cs="Arial"/>
        </w:rPr>
        <w:t>REDD+</w:t>
      </w:r>
      <w:r w:rsidRPr="000F0314">
        <w:rPr>
          <w:rFonts w:ascii="Book Antiqua" w:hAnsi="Book Antiqua" w:cs="Arial"/>
        </w:rPr>
        <w:t xml:space="preserve"> Standards, discussed below. Principle 2.2.4 provides that: “The design of the benefit-sharing mechanisms is based on a review of options with respect to the equity, effectiveness and efficiency of the </w:t>
      </w:r>
      <w:r w:rsidR="001B6D90">
        <w:rPr>
          <w:rFonts w:ascii="Book Antiqua" w:hAnsi="Book Antiqua" w:cs="Arial"/>
        </w:rPr>
        <w:t>REDD+</w:t>
      </w:r>
      <w:r w:rsidRPr="000F0314">
        <w:rPr>
          <w:rFonts w:ascii="Book Antiqua" w:hAnsi="Book Antiqua" w:cs="Arial"/>
        </w:rPr>
        <w:t xml:space="preserve"> </w:t>
      </w:r>
      <w:r w:rsidR="00480D3D">
        <w:rPr>
          <w:rFonts w:ascii="Book Antiqua" w:hAnsi="Book Antiqua" w:cs="Arial"/>
        </w:rPr>
        <w:t>programme</w:t>
      </w:r>
      <w:r w:rsidRPr="000F0314">
        <w:rPr>
          <w:rFonts w:ascii="Book Antiqua" w:hAnsi="Book Antiqua" w:cs="Arial"/>
        </w:rPr>
        <w:t>”.</w:t>
      </w:r>
    </w:p>
    <w:p w:rsidR="00351F2C" w:rsidRPr="000F0314" w:rsidRDefault="00351F2C" w:rsidP="00A256CB">
      <w:pPr>
        <w:spacing w:after="0" w:line="300" w:lineRule="exact"/>
        <w:jc w:val="both"/>
        <w:rPr>
          <w:rFonts w:ascii="Book Antiqua" w:hAnsi="Book Antiqua" w:cs="Arial"/>
        </w:rPr>
      </w:pPr>
    </w:p>
    <w:p w:rsidR="00351F2C" w:rsidRPr="000F0314" w:rsidRDefault="00351F2C" w:rsidP="00A256CB">
      <w:pPr>
        <w:spacing w:after="0" w:line="300" w:lineRule="exact"/>
        <w:jc w:val="both"/>
        <w:rPr>
          <w:rFonts w:ascii="Book Antiqua" w:hAnsi="Book Antiqua" w:cs="Arial"/>
        </w:rPr>
      </w:pPr>
      <w:r w:rsidRPr="000F0314">
        <w:rPr>
          <w:rFonts w:ascii="Book Antiqua" w:hAnsi="Book Antiqua" w:cs="Arial"/>
        </w:rPr>
        <w:t xml:space="preserve">In many developing countries, institutions and processes for distributing benefits from forests already exist, such as those established for PES. These systems need to be assessed for their ability to contribute or be adapted to a </w:t>
      </w:r>
      <w:r w:rsidR="001B6D90">
        <w:rPr>
          <w:rFonts w:ascii="Book Antiqua" w:hAnsi="Book Antiqua" w:cs="Arial"/>
        </w:rPr>
        <w:t>REDD+</w:t>
      </w:r>
      <w:r w:rsidRPr="000F0314">
        <w:rPr>
          <w:rFonts w:ascii="Book Antiqua" w:hAnsi="Book Antiqua" w:cs="Arial"/>
        </w:rPr>
        <w:t xml:space="preserve"> BDS since there are significant advantages in making use of existing institutional mechanisms. The starting point for that consideration should be the elements identified above Equity, Effectiveness and Efficiency along with legal Clarity, Consistency, Compliance and Enforcement.  </w:t>
      </w:r>
    </w:p>
    <w:p w:rsidR="00351F2C" w:rsidRPr="00445F77" w:rsidRDefault="00351F2C" w:rsidP="00A256CB">
      <w:pPr>
        <w:spacing w:after="0" w:line="300" w:lineRule="exact"/>
        <w:jc w:val="both"/>
        <w:rPr>
          <w:rFonts w:ascii="Arial" w:hAnsi="Arial" w:cs="Arial"/>
          <w:sz w:val="24"/>
          <w:szCs w:val="24"/>
        </w:rPr>
      </w:pPr>
    </w:p>
    <w:p w:rsidR="00351F2C" w:rsidRPr="00445F77" w:rsidRDefault="001A3900" w:rsidP="001A3900">
      <w:pPr>
        <w:pStyle w:val="Heading2"/>
        <w:tabs>
          <w:tab w:val="left" w:pos="567"/>
        </w:tabs>
        <w:spacing w:before="0"/>
        <w:rPr>
          <w:rFonts w:ascii="Arial" w:hAnsi="Arial" w:cs="Arial"/>
          <w:sz w:val="24"/>
          <w:szCs w:val="24"/>
        </w:rPr>
      </w:pPr>
      <w:bookmarkStart w:id="94" w:name="_Toc252354730"/>
      <w:r w:rsidRPr="00445F77">
        <w:rPr>
          <w:rFonts w:ascii="Arial" w:hAnsi="Arial" w:cs="Arial"/>
          <w:sz w:val="24"/>
          <w:szCs w:val="24"/>
        </w:rPr>
        <w:t xml:space="preserve">3.2 </w:t>
      </w:r>
      <w:bookmarkStart w:id="95" w:name="_Toc245810424"/>
      <w:r w:rsidR="00351F2C" w:rsidRPr="00445F77">
        <w:rPr>
          <w:rFonts w:ascii="Arial" w:hAnsi="Arial" w:cs="Arial"/>
          <w:sz w:val="24"/>
          <w:szCs w:val="24"/>
        </w:rPr>
        <w:t xml:space="preserve">A brief review of the key legal issues to be addressed in establishing the basis for equitable, effective and efficient entitlement to </w:t>
      </w:r>
      <w:r w:rsidR="001B6D90">
        <w:rPr>
          <w:rFonts w:ascii="Arial" w:hAnsi="Arial" w:cs="Arial"/>
          <w:sz w:val="24"/>
          <w:szCs w:val="24"/>
        </w:rPr>
        <w:t>REDD+</w:t>
      </w:r>
      <w:r w:rsidR="00351F2C" w:rsidRPr="00445F77">
        <w:rPr>
          <w:rFonts w:ascii="Arial" w:hAnsi="Arial" w:cs="Arial"/>
          <w:sz w:val="24"/>
          <w:szCs w:val="24"/>
        </w:rPr>
        <w:t xml:space="preserve"> benefits distribution in </w:t>
      </w:r>
      <w:smartTag w:uri="urn:schemas-microsoft-com:office:smarttags" w:element="country-region">
        <w:smartTag w:uri="urn:schemas-microsoft-com:office:smarttags" w:element="place">
          <w:r w:rsidR="00480D3D">
            <w:rPr>
              <w:rFonts w:ascii="Arial" w:hAnsi="Arial" w:cs="Arial"/>
              <w:sz w:val="24"/>
              <w:szCs w:val="24"/>
            </w:rPr>
            <w:t>Viet Nam</w:t>
          </w:r>
        </w:smartTag>
      </w:smartTag>
      <w:bookmarkEnd w:id="94"/>
      <w:bookmarkEnd w:id="95"/>
      <w:r w:rsidR="00351F2C" w:rsidRPr="00445F77">
        <w:rPr>
          <w:rFonts w:ascii="Arial" w:hAnsi="Arial" w:cs="Arial"/>
          <w:sz w:val="24"/>
          <w:szCs w:val="24"/>
        </w:rPr>
        <w:t xml:space="preserve"> </w:t>
      </w:r>
    </w:p>
    <w:p w:rsidR="00351F2C" w:rsidRPr="000F0314" w:rsidRDefault="00351F2C" w:rsidP="007C38DB">
      <w:pPr>
        <w:spacing w:after="0"/>
        <w:rPr>
          <w:rFonts w:ascii="Book Antiqua" w:hAnsi="Book Antiqua" w:cs="Arial"/>
        </w:rPr>
      </w:pPr>
      <w:r w:rsidRPr="000F0314">
        <w:rPr>
          <w:rFonts w:ascii="Book Antiqua" w:hAnsi="Book Antiqua" w:cs="Arial"/>
        </w:rPr>
        <w:t xml:space="preserve">Key legal issues will have a bearing of the equity, effectiveness and efficiency of a national </w:t>
      </w:r>
      <w:r w:rsidR="001B6D90">
        <w:rPr>
          <w:rFonts w:ascii="Book Antiqua" w:hAnsi="Book Antiqua" w:cs="Arial"/>
        </w:rPr>
        <w:t>REDD+</w:t>
      </w:r>
      <w:r w:rsidRPr="000F0314">
        <w:rPr>
          <w:rFonts w:ascii="Book Antiqua" w:hAnsi="Book Antiqua" w:cs="Arial"/>
        </w:rPr>
        <w:t xml:space="preserve"> BDS. They are closely related and include:</w:t>
      </w:r>
    </w:p>
    <w:p w:rsidR="00351F2C" w:rsidRPr="000F0314" w:rsidRDefault="00351F2C" w:rsidP="008227FD">
      <w:pPr>
        <w:numPr>
          <w:ilvl w:val="0"/>
          <w:numId w:val="115"/>
        </w:numPr>
        <w:spacing w:after="0" w:line="300" w:lineRule="atLeast"/>
        <w:ind w:left="360"/>
        <w:jc w:val="both"/>
        <w:rPr>
          <w:rFonts w:ascii="Book Antiqua" w:hAnsi="Book Antiqua" w:cs="Arial"/>
        </w:rPr>
      </w:pPr>
      <w:r w:rsidRPr="000F0314">
        <w:rPr>
          <w:rFonts w:ascii="Book Antiqua" w:hAnsi="Book Antiqua" w:cs="Arial"/>
        </w:rPr>
        <w:t>Carbon rights</w:t>
      </w:r>
    </w:p>
    <w:p w:rsidR="00351F2C" w:rsidRPr="000F0314" w:rsidRDefault="00351F2C" w:rsidP="008227FD">
      <w:pPr>
        <w:numPr>
          <w:ilvl w:val="0"/>
          <w:numId w:val="115"/>
        </w:numPr>
        <w:spacing w:after="0" w:line="300" w:lineRule="atLeast"/>
        <w:ind w:left="360"/>
        <w:jc w:val="both"/>
        <w:rPr>
          <w:rFonts w:ascii="Book Antiqua" w:hAnsi="Book Antiqua" w:cs="Arial"/>
        </w:rPr>
      </w:pPr>
      <w:r w:rsidRPr="000F0314">
        <w:rPr>
          <w:rFonts w:ascii="Book Antiqua" w:hAnsi="Book Antiqua" w:cs="Arial"/>
        </w:rPr>
        <w:t>Land rights</w:t>
      </w:r>
    </w:p>
    <w:p w:rsidR="00351F2C" w:rsidRPr="000F0314" w:rsidRDefault="00351F2C" w:rsidP="008227FD">
      <w:pPr>
        <w:numPr>
          <w:ilvl w:val="0"/>
          <w:numId w:val="115"/>
        </w:numPr>
        <w:spacing w:after="0" w:line="300" w:lineRule="atLeast"/>
        <w:ind w:left="360"/>
        <w:jc w:val="both"/>
        <w:rPr>
          <w:rFonts w:ascii="Book Antiqua" w:hAnsi="Book Antiqua" w:cs="Arial"/>
        </w:rPr>
      </w:pPr>
      <w:r w:rsidRPr="000F0314">
        <w:rPr>
          <w:rFonts w:ascii="Book Antiqua" w:hAnsi="Book Antiqua" w:cs="Arial"/>
        </w:rPr>
        <w:t>Legal status of beneficiaries (being an ‘entity’)</w:t>
      </w:r>
    </w:p>
    <w:p w:rsidR="00351F2C" w:rsidRPr="000F0314" w:rsidRDefault="00351F2C" w:rsidP="008227FD">
      <w:pPr>
        <w:numPr>
          <w:ilvl w:val="0"/>
          <w:numId w:val="115"/>
        </w:numPr>
        <w:spacing w:after="0" w:line="300" w:lineRule="atLeast"/>
        <w:ind w:left="360"/>
        <w:jc w:val="both"/>
        <w:rPr>
          <w:rFonts w:ascii="Book Antiqua" w:hAnsi="Book Antiqua" w:cs="Arial"/>
        </w:rPr>
      </w:pPr>
      <w:r w:rsidRPr="000F0314">
        <w:rPr>
          <w:rFonts w:ascii="Book Antiqua" w:hAnsi="Book Antiqua" w:cs="Arial"/>
        </w:rPr>
        <w:t xml:space="preserve">Entitlement to </w:t>
      </w:r>
      <w:r w:rsidR="00480D3D">
        <w:rPr>
          <w:rFonts w:ascii="Book Antiqua" w:hAnsi="Book Antiqua" w:cs="Arial"/>
        </w:rPr>
        <w:t>REDD+</w:t>
      </w:r>
      <w:r w:rsidRPr="000F0314">
        <w:rPr>
          <w:rFonts w:ascii="Book Antiqua" w:hAnsi="Book Antiqua" w:cs="Arial"/>
        </w:rPr>
        <w:t xml:space="preserve"> benefits for each stakeholder group</w:t>
      </w:r>
    </w:p>
    <w:p w:rsidR="00351F2C" w:rsidRPr="000F0314" w:rsidRDefault="00351F2C" w:rsidP="007C38DB">
      <w:pPr>
        <w:spacing w:after="0" w:line="300" w:lineRule="atLeast"/>
        <w:jc w:val="both"/>
        <w:rPr>
          <w:rFonts w:ascii="Book Antiqua" w:hAnsi="Book Antiqua" w:cs="Arial"/>
        </w:rPr>
      </w:pPr>
    </w:p>
    <w:p w:rsidR="00351F2C" w:rsidRPr="000F0314" w:rsidRDefault="00351F2C" w:rsidP="007C38DB">
      <w:pPr>
        <w:spacing w:after="0" w:line="300" w:lineRule="atLeast"/>
        <w:jc w:val="both"/>
        <w:rPr>
          <w:rFonts w:ascii="Book Antiqua" w:eastAsia="MS Mincho" w:hAnsi="Book Antiqua" w:cs="Arial"/>
        </w:rPr>
      </w:pPr>
      <w:r w:rsidRPr="000F0314">
        <w:rPr>
          <w:rFonts w:ascii="Book Antiqua" w:hAnsi="Book Antiqua" w:cs="Arial"/>
        </w:rPr>
        <w:t xml:space="preserve">In this section, these issues are examined. A brief overview of selected international experience provides the context for a </w:t>
      </w:r>
      <w:r w:rsidRPr="000F0314">
        <w:rPr>
          <w:rFonts w:ascii="Book Antiqua" w:eastAsia="MS Mincho" w:hAnsi="Book Antiqua" w:cs="Arial"/>
        </w:rPr>
        <w:t xml:space="preserve">rapid appraisal of all policies, laws, and regulations that might have some bearing on </w:t>
      </w:r>
      <w:smartTag w:uri="urn:schemas-microsoft-com:office:smarttags" w:element="country-region">
        <w:smartTag w:uri="urn:schemas-microsoft-com:office:smarttags" w:element="place">
          <w:r w:rsidRPr="000F0314">
            <w:rPr>
              <w:rFonts w:ascii="Book Antiqua" w:eastAsia="MS Mincho" w:hAnsi="Book Antiqua" w:cs="Arial"/>
            </w:rPr>
            <w:t>Viet Nam</w:t>
          </w:r>
        </w:smartTag>
      </w:smartTag>
      <w:r w:rsidRPr="000F0314">
        <w:rPr>
          <w:rFonts w:ascii="Book Antiqua" w:eastAsia="MS Mincho" w:hAnsi="Book Antiqua" w:cs="Arial"/>
        </w:rPr>
        <w:t xml:space="preserve">’s </w:t>
      </w:r>
      <w:r w:rsidR="001B6D90">
        <w:rPr>
          <w:rFonts w:ascii="Book Antiqua" w:eastAsia="MS Mincho" w:hAnsi="Book Antiqua" w:cs="Arial"/>
        </w:rPr>
        <w:t>REDD+</w:t>
      </w:r>
      <w:r w:rsidRPr="000F0314">
        <w:rPr>
          <w:rFonts w:ascii="Book Antiqua" w:eastAsia="MS Mincho" w:hAnsi="Book Antiqua" w:cs="Arial"/>
        </w:rPr>
        <w:t xml:space="preserve"> BDS legal framework.</w:t>
      </w:r>
    </w:p>
    <w:p w:rsidR="00351F2C" w:rsidRPr="00445F77" w:rsidRDefault="00351F2C" w:rsidP="007C38DB">
      <w:pPr>
        <w:spacing w:after="0" w:line="300" w:lineRule="atLeast"/>
        <w:jc w:val="both"/>
        <w:rPr>
          <w:rFonts w:ascii="Arial" w:hAnsi="Arial" w:cs="Arial"/>
          <w:sz w:val="24"/>
          <w:szCs w:val="24"/>
        </w:rPr>
      </w:pPr>
      <w:bookmarkStart w:id="96" w:name="_Toc244586153"/>
    </w:p>
    <w:p w:rsidR="00351F2C" w:rsidRPr="00445F77" w:rsidRDefault="00DC2120" w:rsidP="007C38DB">
      <w:pPr>
        <w:pStyle w:val="Heading3"/>
        <w:spacing w:before="0" w:after="0"/>
        <w:rPr>
          <w:rFonts w:ascii="Arial" w:hAnsi="Arial" w:cs="Arial"/>
        </w:rPr>
      </w:pPr>
      <w:bookmarkStart w:id="97" w:name="_Toc245810425"/>
      <w:bookmarkStart w:id="98" w:name="_Toc249078674"/>
      <w:bookmarkStart w:id="99" w:name="_Toc249079510"/>
      <w:r>
        <w:rPr>
          <w:rFonts w:ascii="Arial" w:hAnsi="Arial" w:cs="Arial"/>
        </w:rPr>
        <w:t>E</w:t>
      </w:r>
      <w:r w:rsidR="00351F2C" w:rsidRPr="00445F77">
        <w:rPr>
          <w:rFonts w:ascii="Arial" w:hAnsi="Arial" w:cs="Arial"/>
        </w:rPr>
        <w:t>xisting laws and regulations governing REDD-related activities</w:t>
      </w:r>
      <w:bookmarkEnd w:id="97"/>
      <w:bookmarkEnd w:id="98"/>
      <w:bookmarkEnd w:id="99"/>
    </w:p>
    <w:p w:rsidR="00351F2C" w:rsidRPr="000F0314" w:rsidRDefault="00DC2120" w:rsidP="007C38DB">
      <w:pPr>
        <w:spacing w:after="0"/>
        <w:jc w:val="both"/>
        <w:rPr>
          <w:rFonts w:ascii="Book Antiqua" w:hAnsi="Book Antiqua" w:cs="Arial"/>
        </w:rPr>
      </w:pPr>
      <w:r w:rsidRPr="000F0314">
        <w:rPr>
          <w:rFonts w:ascii="Book Antiqua" w:hAnsi="Book Antiqua" w:cs="Arial"/>
        </w:rPr>
        <w:t xml:space="preserve">In the absence of specific </w:t>
      </w:r>
      <w:r w:rsidR="00351F2C" w:rsidRPr="000F0314">
        <w:rPr>
          <w:rFonts w:ascii="Book Antiqua" w:hAnsi="Book Antiqua" w:cs="Arial"/>
        </w:rPr>
        <w:t xml:space="preserve">legal </w:t>
      </w:r>
      <w:r w:rsidRPr="000F0314">
        <w:rPr>
          <w:rFonts w:ascii="Book Antiqua" w:hAnsi="Book Antiqua" w:cs="Arial"/>
        </w:rPr>
        <w:t xml:space="preserve">instruments dealing with </w:t>
      </w:r>
      <w:r w:rsidR="001B6D90">
        <w:rPr>
          <w:rFonts w:ascii="Book Antiqua" w:hAnsi="Book Antiqua" w:cs="Arial"/>
        </w:rPr>
        <w:t>REDD+</w:t>
      </w:r>
      <w:r w:rsidRPr="000F0314">
        <w:rPr>
          <w:rFonts w:ascii="Book Antiqua" w:hAnsi="Book Antiqua" w:cs="Arial"/>
        </w:rPr>
        <w:t xml:space="preserve">, the only existing instruments </w:t>
      </w:r>
      <w:r w:rsidR="00351F2C" w:rsidRPr="000F0314">
        <w:rPr>
          <w:rFonts w:ascii="Book Antiqua" w:hAnsi="Book Antiqua" w:cs="Arial"/>
        </w:rPr>
        <w:t>are general</w:t>
      </w:r>
      <w:r w:rsidRPr="000F0314">
        <w:rPr>
          <w:rFonts w:ascii="Book Antiqua" w:hAnsi="Book Antiqua" w:cs="Arial"/>
        </w:rPr>
        <w:t xml:space="preserve"> in nature</w:t>
      </w:r>
      <w:r w:rsidR="00351F2C" w:rsidRPr="000F0314">
        <w:rPr>
          <w:rFonts w:ascii="Book Antiqua" w:hAnsi="Book Antiqua" w:cs="Arial"/>
        </w:rPr>
        <w:t xml:space="preserve">, </w:t>
      </w:r>
      <w:r w:rsidRPr="000F0314">
        <w:rPr>
          <w:rFonts w:ascii="Book Antiqua" w:hAnsi="Book Antiqua" w:cs="Arial"/>
        </w:rPr>
        <w:t>for example, the L</w:t>
      </w:r>
      <w:r w:rsidR="00351F2C" w:rsidRPr="000F0314">
        <w:rPr>
          <w:rFonts w:ascii="Book Antiqua" w:hAnsi="Book Antiqua" w:cs="Arial"/>
        </w:rPr>
        <w:t xml:space="preserve">and </w:t>
      </w:r>
      <w:r w:rsidRPr="000F0314">
        <w:rPr>
          <w:rFonts w:ascii="Book Antiqua" w:hAnsi="Book Antiqua" w:cs="Arial"/>
        </w:rPr>
        <w:t>L</w:t>
      </w:r>
      <w:r w:rsidR="00351F2C" w:rsidRPr="000F0314">
        <w:rPr>
          <w:rFonts w:ascii="Book Antiqua" w:hAnsi="Book Antiqua" w:cs="Arial"/>
        </w:rPr>
        <w:t>aw. Similarly</w:t>
      </w:r>
      <w:r w:rsidRPr="000F0314">
        <w:rPr>
          <w:rFonts w:ascii="Book Antiqua" w:hAnsi="Book Antiqua" w:cs="Arial"/>
        </w:rPr>
        <w:t xml:space="preserve">, institutional arrangements for implementing </w:t>
      </w:r>
      <w:r w:rsidR="001B6D90">
        <w:rPr>
          <w:rFonts w:ascii="Book Antiqua" w:hAnsi="Book Antiqua" w:cs="Arial"/>
        </w:rPr>
        <w:t>REDD+</w:t>
      </w:r>
      <w:r w:rsidRPr="000F0314">
        <w:rPr>
          <w:rFonts w:ascii="Book Antiqua" w:hAnsi="Book Antiqua" w:cs="Arial"/>
        </w:rPr>
        <w:t>, at least initially, will be based on</w:t>
      </w:r>
      <w:r w:rsidR="00351F2C" w:rsidRPr="000F0314">
        <w:rPr>
          <w:rFonts w:ascii="Book Antiqua" w:hAnsi="Book Antiqua" w:cs="Arial"/>
        </w:rPr>
        <w:t xml:space="preserve"> administrative </w:t>
      </w:r>
      <w:r w:rsidRPr="000F0314">
        <w:rPr>
          <w:rFonts w:ascii="Book Antiqua" w:hAnsi="Book Antiqua" w:cs="Arial"/>
        </w:rPr>
        <w:t>structures</w:t>
      </w:r>
      <w:r w:rsidR="00351F2C" w:rsidRPr="000F0314">
        <w:rPr>
          <w:rFonts w:ascii="Book Antiqua" w:hAnsi="Book Antiqua" w:cs="Arial"/>
        </w:rPr>
        <w:t xml:space="preserve"> set up by law, </w:t>
      </w:r>
      <w:r w:rsidRPr="000F0314">
        <w:rPr>
          <w:rFonts w:ascii="Book Antiqua" w:hAnsi="Book Antiqua" w:cs="Arial"/>
        </w:rPr>
        <w:t xml:space="preserve">for example the current institutional structures within </w:t>
      </w:r>
      <w:r w:rsidR="00351F2C" w:rsidRPr="000F0314">
        <w:rPr>
          <w:rFonts w:ascii="Book Antiqua" w:hAnsi="Book Antiqua" w:cs="Arial"/>
        </w:rPr>
        <w:t xml:space="preserve">MARD. With the concept of </w:t>
      </w:r>
      <w:r w:rsidR="001B6D90">
        <w:rPr>
          <w:rFonts w:ascii="Book Antiqua" w:hAnsi="Book Antiqua" w:cs="Arial"/>
        </w:rPr>
        <w:t>REDD+</w:t>
      </w:r>
      <w:r w:rsidR="00351F2C" w:rsidRPr="000F0314">
        <w:rPr>
          <w:rFonts w:ascii="Book Antiqua" w:hAnsi="Book Antiqua" w:cs="Arial"/>
        </w:rPr>
        <w:t xml:space="preserve"> being new and </w:t>
      </w:r>
      <w:r w:rsidRPr="000F0314">
        <w:rPr>
          <w:rFonts w:ascii="Book Antiqua" w:hAnsi="Book Antiqua" w:cs="Arial"/>
        </w:rPr>
        <w:t>evolv</w:t>
      </w:r>
      <w:r w:rsidR="00351F2C" w:rsidRPr="000F0314">
        <w:rPr>
          <w:rFonts w:ascii="Book Antiqua" w:hAnsi="Book Antiqua" w:cs="Arial"/>
        </w:rPr>
        <w:t xml:space="preserve">ing, there has </w:t>
      </w:r>
      <w:r w:rsidRPr="000F0314">
        <w:rPr>
          <w:rFonts w:ascii="Book Antiqua" w:hAnsi="Book Antiqua" w:cs="Arial"/>
        </w:rPr>
        <w:t>not yet been an</w:t>
      </w:r>
      <w:r w:rsidR="00351F2C" w:rsidRPr="000F0314">
        <w:rPr>
          <w:rFonts w:ascii="Book Antiqua" w:hAnsi="Book Antiqua" w:cs="Arial"/>
        </w:rPr>
        <w:t xml:space="preserve"> opportunity for law makers in </w:t>
      </w:r>
      <w:smartTag w:uri="urn:schemas-microsoft-com:office:smarttags" w:element="country-region">
        <w:smartTag w:uri="urn:schemas-microsoft-com:office:smarttags" w:element="place">
          <w:r w:rsidR="00351F2C" w:rsidRPr="000F0314">
            <w:rPr>
              <w:rFonts w:ascii="Book Antiqua" w:hAnsi="Book Antiqua" w:cs="Arial"/>
            </w:rPr>
            <w:t>Viet Nam</w:t>
          </w:r>
        </w:smartTag>
      </w:smartTag>
      <w:r w:rsidR="00351F2C" w:rsidRPr="000F0314">
        <w:rPr>
          <w:rFonts w:ascii="Book Antiqua" w:hAnsi="Book Antiqua" w:cs="Arial"/>
        </w:rPr>
        <w:t xml:space="preserve"> to consider and initiate new laws to deal with </w:t>
      </w:r>
      <w:r w:rsidR="00480D3D">
        <w:rPr>
          <w:rFonts w:ascii="Book Antiqua" w:hAnsi="Book Antiqua" w:cs="Arial"/>
        </w:rPr>
        <w:t>REDD+</w:t>
      </w:r>
      <w:r w:rsidR="00351F2C" w:rsidRPr="000F0314">
        <w:rPr>
          <w:rFonts w:ascii="Book Antiqua" w:hAnsi="Book Antiqua" w:cs="Arial"/>
        </w:rPr>
        <w:t xml:space="preserve"> and its implications in either the </w:t>
      </w:r>
      <w:r w:rsidRPr="000F0314">
        <w:rPr>
          <w:rFonts w:ascii="Book Antiqua" w:hAnsi="Book Antiqua" w:cs="Arial"/>
        </w:rPr>
        <w:t>regulatory</w:t>
      </w:r>
      <w:r w:rsidR="00351F2C" w:rsidRPr="000F0314">
        <w:rPr>
          <w:rFonts w:ascii="Book Antiqua" w:hAnsi="Book Antiqua" w:cs="Arial"/>
        </w:rPr>
        <w:t xml:space="preserve"> or the institutional respects. </w:t>
      </w:r>
      <w:r w:rsidRPr="000F0314">
        <w:rPr>
          <w:rFonts w:ascii="Book Antiqua" w:hAnsi="Book Antiqua" w:cs="Arial"/>
        </w:rPr>
        <w:t xml:space="preserve"> </w:t>
      </w:r>
      <w:r w:rsidR="00351F2C" w:rsidRPr="000F0314">
        <w:rPr>
          <w:rFonts w:ascii="Book Antiqua" w:hAnsi="Book Antiqua" w:cs="Arial"/>
        </w:rPr>
        <w:t xml:space="preserve">There </w:t>
      </w:r>
      <w:r w:rsidRPr="000F0314">
        <w:rPr>
          <w:rFonts w:ascii="Book Antiqua" w:hAnsi="Book Antiqua" w:cs="Arial"/>
        </w:rPr>
        <w:t>is</w:t>
      </w:r>
      <w:r w:rsidR="00351F2C" w:rsidRPr="000F0314">
        <w:rPr>
          <w:rFonts w:ascii="Book Antiqua" w:hAnsi="Book Antiqua" w:cs="Arial"/>
        </w:rPr>
        <w:t xml:space="preserve"> a clear need for changes to </w:t>
      </w:r>
      <w:r w:rsidRPr="000F0314">
        <w:rPr>
          <w:rFonts w:ascii="Book Antiqua" w:hAnsi="Book Antiqua" w:cs="Arial"/>
        </w:rPr>
        <w:t>existing legal instruments</w:t>
      </w:r>
      <w:r w:rsidR="00351F2C" w:rsidRPr="000F0314">
        <w:rPr>
          <w:rFonts w:ascii="Book Antiqua" w:hAnsi="Book Antiqua" w:cs="Arial"/>
        </w:rPr>
        <w:t xml:space="preserve"> and </w:t>
      </w:r>
      <w:r w:rsidRPr="000F0314">
        <w:rPr>
          <w:rFonts w:ascii="Book Antiqua" w:hAnsi="Book Antiqua" w:cs="Arial"/>
        </w:rPr>
        <w:t>for new legal instruments</w:t>
      </w:r>
      <w:r w:rsidR="00351F2C" w:rsidRPr="000F0314">
        <w:rPr>
          <w:rFonts w:ascii="Book Antiqua" w:hAnsi="Book Antiqua" w:cs="Arial"/>
        </w:rPr>
        <w:t xml:space="preserve"> in due course. </w:t>
      </w:r>
    </w:p>
    <w:p w:rsidR="00123DF4" w:rsidRDefault="00123DF4" w:rsidP="007C38DB">
      <w:pPr>
        <w:pStyle w:val="Heading3"/>
        <w:spacing w:before="0" w:after="0"/>
        <w:rPr>
          <w:rFonts w:ascii="Arial" w:hAnsi="Arial" w:cs="Arial"/>
        </w:rPr>
      </w:pPr>
      <w:bookmarkStart w:id="100" w:name="_Toc245810426"/>
      <w:bookmarkStart w:id="101" w:name="_Toc249078675"/>
      <w:bookmarkStart w:id="102" w:name="_Toc249079511"/>
    </w:p>
    <w:p w:rsidR="00351F2C" w:rsidRPr="00445F77" w:rsidRDefault="00351F2C" w:rsidP="007C38DB">
      <w:pPr>
        <w:pStyle w:val="Heading3"/>
        <w:spacing w:before="0" w:after="0"/>
        <w:rPr>
          <w:rFonts w:ascii="Arial" w:hAnsi="Arial" w:cs="Arial"/>
        </w:rPr>
      </w:pPr>
      <w:r w:rsidRPr="00445F77">
        <w:rPr>
          <w:rFonts w:ascii="Arial" w:hAnsi="Arial" w:cs="Arial"/>
        </w:rPr>
        <w:t>Carbon rights</w:t>
      </w:r>
      <w:bookmarkEnd w:id="96"/>
      <w:bookmarkEnd w:id="100"/>
      <w:bookmarkEnd w:id="101"/>
      <w:bookmarkEnd w:id="102"/>
    </w:p>
    <w:p w:rsidR="00351F2C" w:rsidRPr="000F0314" w:rsidRDefault="00351F2C" w:rsidP="007C38DB">
      <w:pPr>
        <w:spacing w:after="0" w:line="300" w:lineRule="exact"/>
        <w:jc w:val="both"/>
        <w:rPr>
          <w:rFonts w:ascii="Book Antiqua" w:hAnsi="Book Antiqua" w:cs="Arial"/>
        </w:rPr>
      </w:pPr>
      <w:r w:rsidRPr="000F0314">
        <w:rPr>
          <w:rFonts w:ascii="Book Antiqua" w:hAnsi="Book Antiqua" w:cs="Arial"/>
        </w:rPr>
        <w:t xml:space="preserve">Carbon rights are intangible assets attached to </w:t>
      </w:r>
      <w:r w:rsidR="00DC2120" w:rsidRPr="000F0314">
        <w:rPr>
          <w:rFonts w:ascii="Book Antiqua" w:hAnsi="Book Antiqua" w:cs="Arial"/>
        </w:rPr>
        <w:t>the different carbon pools</w:t>
      </w:r>
      <w:r w:rsidRPr="000F0314">
        <w:rPr>
          <w:rFonts w:ascii="Book Antiqua" w:hAnsi="Book Antiqua" w:cs="Arial"/>
        </w:rPr>
        <w:t xml:space="preserve">. </w:t>
      </w:r>
      <w:r w:rsidR="00DC2120" w:rsidRPr="000F0314">
        <w:rPr>
          <w:rFonts w:ascii="Book Antiqua" w:hAnsi="Book Antiqua" w:cs="Arial"/>
        </w:rPr>
        <w:t xml:space="preserve"> </w:t>
      </w:r>
      <w:r w:rsidRPr="000F0314">
        <w:rPr>
          <w:rFonts w:ascii="Book Antiqua" w:hAnsi="Book Antiqua" w:cs="Arial"/>
        </w:rPr>
        <w:t xml:space="preserve">Who holds carbon rights, and who is entitled to benefits from carbon services are questions that </w:t>
      </w:r>
      <w:r w:rsidR="00DC2120" w:rsidRPr="000F0314">
        <w:rPr>
          <w:rFonts w:ascii="Book Antiqua" w:hAnsi="Book Antiqua" w:cs="Arial"/>
        </w:rPr>
        <w:t>need to</w:t>
      </w:r>
      <w:r w:rsidRPr="000F0314">
        <w:rPr>
          <w:rFonts w:ascii="Book Antiqua" w:hAnsi="Book Antiqua" w:cs="Arial"/>
        </w:rPr>
        <w:t xml:space="preserve"> be addressed at a national level. </w:t>
      </w:r>
      <w:r w:rsidR="00DC2120" w:rsidRPr="000F0314">
        <w:rPr>
          <w:rFonts w:ascii="Book Antiqua" w:hAnsi="Book Antiqua" w:cs="Arial"/>
        </w:rPr>
        <w:t xml:space="preserve"> </w:t>
      </w:r>
      <w:r w:rsidRPr="000F0314">
        <w:rPr>
          <w:rFonts w:ascii="Book Antiqua" w:hAnsi="Book Antiqua" w:cs="Arial"/>
        </w:rPr>
        <w:t xml:space="preserve">Carbon rights also generate responsibilities for maintaining carbon stocks. </w:t>
      </w:r>
      <w:r w:rsidR="00DC2120" w:rsidRPr="000F0314">
        <w:rPr>
          <w:rFonts w:ascii="Book Antiqua" w:hAnsi="Book Antiqua" w:cs="Arial"/>
        </w:rPr>
        <w:t xml:space="preserve"> </w:t>
      </w:r>
      <w:r w:rsidRPr="000F0314">
        <w:rPr>
          <w:rFonts w:ascii="Book Antiqua" w:hAnsi="Book Antiqua" w:cs="Arial"/>
        </w:rPr>
        <w:t xml:space="preserve">Pursuing the protection of carbon stocks alone may lead to restrictive access and use of land for local communities, which should be compensated in terms of opportunity costs, making it an important consideration in distribution of </w:t>
      </w:r>
      <w:r w:rsidR="00480D3D">
        <w:rPr>
          <w:rFonts w:ascii="Book Antiqua" w:hAnsi="Book Antiqua" w:cs="Arial"/>
        </w:rPr>
        <w:t>REDD+</w:t>
      </w:r>
      <w:r w:rsidRPr="000F0314">
        <w:rPr>
          <w:rFonts w:ascii="Book Antiqua" w:hAnsi="Book Antiqua" w:cs="Arial"/>
        </w:rPr>
        <w:t xml:space="preserve"> benefits.</w:t>
      </w:r>
    </w:p>
    <w:p w:rsidR="00351F2C" w:rsidRPr="000F0314" w:rsidRDefault="00351F2C" w:rsidP="007C38DB">
      <w:pPr>
        <w:spacing w:after="0" w:line="300" w:lineRule="exact"/>
        <w:jc w:val="both"/>
        <w:rPr>
          <w:rFonts w:ascii="Book Antiqua" w:hAnsi="Book Antiqua" w:cs="Arial"/>
        </w:rPr>
      </w:pPr>
    </w:p>
    <w:p w:rsidR="00351F2C" w:rsidRPr="000F0314" w:rsidRDefault="00351F2C" w:rsidP="007C38DB">
      <w:pPr>
        <w:spacing w:after="0" w:line="300" w:lineRule="exact"/>
        <w:jc w:val="both"/>
        <w:rPr>
          <w:rFonts w:ascii="Book Antiqua" w:hAnsi="Book Antiqua" w:cs="Arial"/>
        </w:rPr>
      </w:pPr>
      <w:r w:rsidRPr="000F0314">
        <w:rPr>
          <w:rFonts w:ascii="Book Antiqua" w:hAnsi="Book Antiqua" w:cs="Arial"/>
        </w:rPr>
        <w:t xml:space="preserve">Carbon trading assumes the separation between land/forest rights and carbon rights. One of the main challenges for </w:t>
      </w:r>
      <w:r w:rsidR="001B6D90">
        <w:rPr>
          <w:rFonts w:ascii="Book Antiqua" w:hAnsi="Book Antiqua" w:cs="Arial"/>
        </w:rPr>
        <w:t>REDD+</w:t>
      </w:r>
      <w:r w:rsidRPr="000F0314">
        <w:rPr>
          <w:rFonts w:ascii="Book Antiqua" w:hAnsi="Book Antiqua" w:cs="Arial"/>
        </w:rPr>
        <w:t xml:space="preserve"> is to establish certainty for the </w:t>
      </w:r>
      <w:r w:rsidR="00123DF4" w:rsidRPr="000F0314">
        <w:rPr>
          <w:rFonts w:ascii="Book Antiqua" w:hAnsi="Book Antiqua" w:cs="Arial"/>
        </w:rPr>
        <w:t>allocation of benefits for the conservation of</w:t>
      </w:r>
      <w:r w:rsidRPr="000F0314">
        <w:rPr>
          <w:rFonts w:ascii="Book Antiqua" w:hAnsi="Book Antiqua" w:cs="Arial"/>
        </w:rPr>
        <w:t xml:space="preserve"> a product which has an ambiguous legal definition, and is governed by various legal standards which are firmly under national sovereignty regimes (</w:t>
      </w:r>
      <w:r w:rsidRPr="000F0314">
        <w:rPr>
          <w:rFonts w:ascii="Book Antiqua" w:hAnsi="Book Antiqua" w:cs="Arial"/>
          <w:bCs/>
        </w:rPr>
        <w:t>Luttrell, Schreckenberg and Peskett, 2007).</w:t>
      </w:r>
      <w:r w:rsidRPr="000F0314">
        <w:rPr>
          <w:rFonts w:ascii="Book Antiqua" w:hAnsi="Book Antiqua" w:cs="Arial"/>
        </w:rPr>
        <w:t xml:space="preserve"> </w:t>
      </w:r>
    </w:p>
    <w:p w:rsidR="00351F2C" w:rsidRPr="000F0314" w:rsidRDefault="00351F2C" w:rsidP="007C38DB">
      <w:pPr>
        <w:spacing w:after="0" w:line="300" w:lineRule="exact"/>
        <w:jc w:val="both"/>
        <w:rPr>
          <w:rFonts w:ascii="Book Antiqua" w:hAnsi="Book Antiqua" w:cs="Arial"/>
        </w:rPr>
      </w:pPr>
    </w:p>
    <w:p w:rsidR="00351F2C" w:rsidRPr="000F0314" w:rsidRDefault="00351F2C" w:rsidP="007C38DB">
      <w:pPr>
        <w:spacing w:after="0" w:line="300" w:lineRule="exact"/>
        <w:jc w:val="both"/>
        <w:rPr>
          <w:rFonts w:ascii="Book Antiqua" w:hAnsi="Book Antiqua" w:cs="Arial"/>
        </w:rPr>
      </w:pPr>
      <w:r w:rsidRPr="000F0314">
        <w:rPr>
          <w:rFonts w:ascii="Book Antiqua" w:hAnsi="Book Antiqua" w:cs="Arial"/>
        </w:rPr>
        <w:t xml:space="preserve">The majority of developing countries are yet to pass specific legislation to formalize carbon rights and enable their separation from land and forests rights (See Box </w:t>
      </w:r>
      <w:r w:rsidR="00DC2120" w:rsidRPr="000F0314">
        <w:rPr>
          <w:rFonts w:ascii="Book Antiqua" w:hAnsi="Book Antiqua" w:cs="Arial"/>
        </w:rPr>
        <w:t>3</w:t>
      </w:r>
      <w:r w:rsidRPr="000F0314">
        <w:rPr>
          <w:rFonts w:ascii="Book Antiqua" w:hAnsi="Book Antiqua" w:cs="Arial"/>
        </w:rPr>
        <w:t xml:space="preserve">.3). Uncertainty over land rights is a major hurdle in establishing carbon rights. </w:t>
      </w:r>
    </w:p>
    <w:p w:rsidR="00351F2C" w:rsidRPr="00445F77" w:rsidRDefault="00351F2C" w:rsidP="007C38DB">
      <w:pPr>
        <w:spacing w:after="0" w:line="300" w:lineRule="exact"/>
        <w:jc w:val="both"/>
        <w:rPr>
          <w:rFonts w:ascii="Arial" w:hAnsi="Arial" w:cs="Arial"/>
          <w:sz w:val="24"/>
          <w:szCs w:val="24"/>
        </w:rPr>
      </w:pPr>
    </w:p>
    <w:p w:rsidR="00351F2C" w:rsidRPr="00445F77" w:rsidRDefault="00351F2C" w:rsidP="007C38DB">
      <w:pPr>
        <w:pStyle w:val="Heading3"/>
        <w:spacing w:before="0" w:after="0"/>
        <w:rPr>
          <w:rFonts w:ascii="Arial" w:hAnsi="Arial" w:cs="Arial"/>
        </w:rPr>
      </w:pPr>
      <w:bookmarkStart w:id="103" w:name="_Toc245810427"/>
      <w:bookmarkStart w:id="104" w:name="_Toc249078676"/>
      <w:bookmarkStart w:id="105" w:name="_Toc249079512"/>
      <w:r w:rsidRPr="00445F77">
        <w:rPr>
          <w:rFonts w:ascii="Arial" w:hAnsi="Arial" w:cs="Arial"/>
        </w:rPr>
        <w:lastRenderedPageBreak/>
        <w:t xml:space="preserve">Who owns the carbon in </w:t>
      </w:r>
      <w:smartTag w:uri="urn:schemas-microsoft-com:office:smarttags" w:element="country-region">
        <w:smartTag w:uri="urn:schemas-microsoft-com:office:smarttags" w:element="place">
          <w:r w:rsidR="00480D3D">
            <w:rPr>
              <w:rFonts w:ascii="Arial" w:hAnsi="Arial" w:cs="Arial"/>
            </w:rPr>
            <w:t>Viet Nam</w:t>
          </w:r>
        </w:smartTag>
      </w:smartTag>
      <w:r w:rsidRPr="00445F77">
        <w:rPr>
          <w:rFonts w:ascii="Arial" w:hAnsi="Arial" w:cs="Arial"/>
        </w:rPr>
        <w:t>?</w:t>
      </w:r>
      <w:bookmarkEnd w:id="103"/>
      <w:bookmarkEnd w:id="104"/>
      <w:bookmarkEnd w:id="105"/>
    </w:p>
    <w:p w:rsidR="00351F2C" w:rsidRPr="000F0314" w:rsidRDefault="00C47C3B" w:rsidP="007C38DB">
      <w:pPr>
        <w:spacing w:after="0" w:line="300" w:lineRule="exact"/>
        <w:jc w:val="both"/>
        <w:rPr>
          <w:rFonts w:ascii="Book Antiqua" w:eastAsia="MS Mincho" w:hAnsi="Book Antiqua" w:cs="Arial"/>
        </w:rPr>
      </w:pPr>
      <w:r w:rsidRPr="00C47C3B">
        <w:rPr>
          <w:rFonts w:ascii="Arial" w:hAnsi="Arial" w:cs="Arial"/>
          <w:noProof/>
        </w:rPr>
        <w:pict>
          <v:shape id="_x0000_s1146" type="#_x0000_t202" style="position:absolute;left:0;text-align:left;margin-left:0;margin-top:147pt;width:445.5pt;height:190.5pt;z-index:251620864;mso-position-horizontal-relative:margin;mso-position-vertical-relative:margin" fillcolor="#dbe5f1">
            <v:shadow on="t" color="#95b3d7" offset="3pt,4pt" offset2="2pt,4pt"/>
            <v:textbox style="mso-next-textbox:#_x0000_s1146">
              <w:txbxContent>
                <w:p w:rsidR="00B4351F" w:rsidRPr="00C75D89" w:rsidRDefault="00B4351F" w:rsidP="00A256CB">
                  <w:pPr>
                    <w:spacing w:after="60" w:line="240" w:lineRule="auto"/>
                    <w:jc w:val="both"/>
                    <w:rPr>
                      <w:rFonts w:cs="Arial"/>
                      <w:b/>
                      <w:sz w:val="20"/>
                    </w:rPr>
                  </w:pPr>
                  <w:smartTag w:uri="urn:schemas-microsoft-com:office:smarttags" w:element="address">
                    <w:smartTag w:uri="urn:schemas-microsoft-com:office:smarttags" w:element="Street">
                      <w:r w:rsidRPr="00C75D89">
                        <w:rPr>
                          <w:rFonts w:cs="Arial"/>
                          <w:b/>
                          <w:sz w:val="20"/>
                        </w:rPr>
                        <w:t>Box</w:t>
                      </w:r>
                    </w:smartTag>
                    <w:r w:rsidRPr="00C75D89">
                      <w:rPr>
                        <w:rFonts w:cs="Arial"/>
                        <w:b/>
                        <w:sz w:val="20"/>
                      </w:rPr>
                      <w:t xml:space="preserve"> </w:t>
                    </w:r>
                    <w:r>
                      <w:rPr>
                        <w:rFonts w:cs="Arial"/>
                        <w:b/>
                        <w:sz w:val="20"/>
                      </w:rPr>
                      <w:t>3</w:t>
                    </w:r>
                    <w:r w:rsidRPr="00C75D89">
                      <w:rPr>
                        <w:rFonts w:cs="Arial"/>
                        <w:b/>
                        <w:sz w:val="20"/>
                      </w:rPr>
                      <w:t>.</w:t>
                    </w:r>
                    <w:r>
                      <w:rPr>
                        <w:rFonts w:cs="Arial"/>
                        <w:b/>
                        <w:sz w:val="20"/>
                      </w:rPr>
                      <w:t>3</w:t>
                    </w:r>
                  </w:smartTag>
                  <w:r w:rsidRPr="00C75D89">
                    <w:rPr>
                      <w:rFonts w:cs="Arial"/>
                      <w:b/>
                      <w:sz w:val="20"/>
                    </w:rPr>
                    <w:t>: International examples of carbon rights establishment</w:t>
                  </w:r>
                </w:p>
                <w:p w:rsidR="00B4351F" w:rsidRDefault="00B4351F" w:rsidP="00A256CB">
                  <w:pPr>
                    <w:spacing w:after="60" w:line="240" w:lineRule="auto"/>
                    <w:jc w:val="both"/>
                    <w:rPr>
                      <w:rFonts w:cs="Arial"/>
                      <w:b/>
                      <w:sz w:val="20"/>
                    </w:rPr>
                  </w:pPr>
                  <w:r w:rsidRPr="00EC2CF8">
                    <w:rPr>
                      <w:rFonts w:cs="Arial"/>
                      <w:sz w:val="20"/>
                    </w:rPr>
                    <w:t xml:space="preserve">Australia’s States have passed laws to create a form of carbon sequestration right that landowners may register in favour of a third party, thereby transferring carbon rights and responsibilities associated with the land to that party. </w:t>
                  </w:r>
                </w:p>
                <w:p w:rsidR="00B4351F" w:rsidRDefault="00B4351F" w:rsidP="00A256CB">
                  <w:pPr>
                    <w:spacing w:after="60" w:line="240" w:lineRule="auto"/>
                    <w:jc w:val="both"/>
                    <w:rPr>
                      <w:rFonts w:cs="Arial"/>
                      <w:sz w:val="20"/>
                    </w:rPr>
                  </w:pPr>
                  <w:r>
                    <w:rPr>
                      <w:rFonts w:cs="Arial"/>
                      <w:sz w:val="20"/>
                    </w:rPr>
                    <w:t>I</w:t>
                  </w:r>
                  <w:r w:rsidRPr="00C75D89">
                    <w:rPr>
                      <w:rFonts w:cs="Arial"/>
                      <w:sz w:val="20"/>
                    </w:rPr>
                    <w:t>n Indonesia</w:t>
                  </w:r>
                  <w:r>
                    <w:rPr>
                      <w:rFonts w:cs="Arial"/>
                      <w:sz w:val="20"/>
                    </w:rPr>
                    <w:t>,</w:t>
                  </w:r>
                  <w:r w:rsidRPr="00C75D89">
                    <w:rPr>
                      <w:rFonts w:cs="Arial"/>
                      <w:sz w:val="20"/>
                    </w:rPr>
                    <w:t xml:space="preserve"> Regulation </w:t>
                  </w:r>
                  <w:r>
                    <w:rPr>
                      <w:rFonts w:cs="Arial"/>
                      <w:sz w:val="20"/>
                    </w:rPr>
                    <w:t>PP</w:t>
                  </w:r>
                  <w:r w:rsidRPr="00C75D89">
                    <w:rPr>
                      <w:rFonts w:cs="Arial"/>
                      <w:sz w:val="20"/>
                    </w:rPr>
                    <w:t xml:space="preserve">6/2007 </w:t>
                  </w:r>
                  <w:r w:rsidRPr="00C75D89">
                    <w:rPr>
                      <w:rFonts w:cs="Arial"/>
                      <w:color w:val="000000"/>
                      <w:sz w:val="20"/>
                    </w:rPr>
                    <w:t xml:space="preserve">authorises provincial and district governments to issue permits for the utilisation of environmental services, called </w:t>
                  </w:r>
                  <w:r w:rsidRPr="00C75D89">
                    <w:rPr>
                      <w:rFonts w:cs="Arial"/>
                      <w:i/>
                      <w:iCs/>
                      <w:color w:val="000000"/>
                      <w:sz w:val="20"/>
                    </w:rPr>
                    <w:t xml:space="preserve">Izin Usaha Pemanfaatan Jasa Lingkungan </w:t>
                  </w:r>
                  <w:r w:rsidRPr="00C75D89">
                    <w:rPr>
                      <w:rFonts w:cs="Arial"/>
                      <w:color w:val="000000"/>
                      <w:sz w:val="20"/>
                    </w:rPr>
                    <w:t>(</w:t>
                  </w:r>
                  <w:r w:rsidRPr="00C75D89">
                    <w:rPr>
                      <w:rFonts w:cs="Arial"/>
                      <w:bCs/>
                      <w:iCs/>
                      <w:color w:val="000000"/>
                      <w:sz w:val="20"/>
                    </w:rPr>
                    <w:t>IUPJL</w:t>
                  </w:r>
                  <w:r w:rsidRPr="00C75D89">
                    <w:rPr>
                      <w:rFonts w:cs="Arial"/>
                      <w:color w:val="000000"/>
                      <w:sz w:val="20"/>
                    </w:rPr>
                    <w:t>). IUPJLs entitle their holder to store and absorb carbon and other environmental services and are granted for a term of at least 30 years</w:t>
                  </w:r>
                  <w:r>
                    <w:rPr>
                      <w:rFonts w:cs="Arial"/>
                      <w:sz w:val="20"/>
                    </w:rPr>
                    <w:t xml:space="preserve"> (Crittenden and Wilder</w:t>
                  </w:r>
                  <w:r w:rsidRPr="00C75D89">
                    <w:rPr>
                      <w:rFonts w:cs="Arial"/>
                      <w:sz w:val="20"/>
                    </w:rPr>
                    <w:t xml:space="preserve"> 200</w:t>
                  </w:r>
                  <w:r>
                    <w:rPr>
                      <w:rFonts w:cs="Arial"/>
                      <w:sz w:val="20"/>
                    </w:rPr>
                    <w:t>8</w:t>
                  </w:r>
                  <w:r w:rsidRPr="00C75D89">
                    <w:rPr>
                      <w:rFonts w:cs="Arial"/>
                      <w:sz w:val="20"/>
                    </w:rPr>
                    <w:t xml:space="preserve">). </w:t>
                  </w:r>
                </w:p>
                <w:p w:rsidR="00B4351F" w:rsidRPr="00C75D89" w:rsidRDefault="00B4351F" w:rsidP="00A256CB">
                  <w:pPr>
                    <w:spacing w:after="60" w:line="240" w:lineRule="auto"/>
                    <w:jc w:val="both"/>
                    <w:rPr>
                      <w:rFonts w:cs="Arial"/>
                      <w:sz w:val="20"/>
                    </w:rPr>
                  </w:pPr>
                  <w:r w:rsidRPr="00C75D89">
                    <w:rPr>
                      <w:rFonts w:cs="Arial"/>
                      <w:sz w:val="20"/>
                    </w:rPr>
                    <w:t>In Papua New Guinea</w:t>
                  </w:r>
                  <w:r>
                    <w:rPr>
                      <w:rFonts w:cs="Arial"/>
                      <w:sz w:val="20"/>
                    </w:rPr>
                    <w:t>,</w:t>
                  </w:r>
                  <w:r w:rsidRPr="00C75D89">
                    <w:rPr>
                      <w:rFonts w:cs="Arial"/>
                      <w:sz w:val="20"/>
                    </w:rPr>
                    <w:t xml:space="preserve"> where 97% of land </w:t>
                  </w:r>
                  <w:r>
                    <w:rPr>
                      <w:rFonts w:cs="Arial"/>
                      <w:sz w:val="20"/>
                    </w:rPr>
                    <w:t xml:space="preserve">is under </w:t>
                  </w:r>
                  <w:r w:rsidRPr="00C75D89">
                    <w:rPr>
                      <w:rFonts w:cs="Arial"/>
                      <w:sz w:val="20"/>
                    </w:rPr>
                    <w:t>indigenous tenure</w:t>
                  </w:r>
                  <w:r>
                    <w:rPr>
                      <w:rFonts w:cs="Arial"/>
                      <w:sz w:val="20"/>
                    </w:rPr>
                    <w:t xml:space="preserve"> and cannot be</w:t>
                  </w:r>
                  <w:r w:rsidRPr="00C75D89">
                    <w:rPr>
                      <w:rFonts w:cs="Arial"/>
                      <w:sz w:val="20"/>
                    </w:rPr>
                    <w:t xml:space="preserve"> transfe</w:t>
                  </w:r>
                  <w:r>
                    <w:rPr>
                      <w:rFonts w:cs="Arial"/>
                      <w:sz w:val="20"/>
                    </w:rPr>
                    <w:t>r</w:t>
                  </w:r>
                  <w:r w:rsidRPr="00C75D89">
                    <w:rPr>
                      <w:rFonts w:cs="Arial"/>
                      <w:sz w:val="20"/>
                    </w:rPr>
                    <w:t>r</w:t>
                  </w:r>
                  <w:r>
                    <w:rPr>
                      <w:rFonts w:cs="Arial"/>
                      <w:sz w:val="20"/>
                    </w:rPr>
                    <w:t>ed</w:t>
                  </w:r>
                  <w:r w:rsidRPr="00C75D89">
                    <w:rPr>
                      <w:rFonts w:cs="Arial"/>
                      <w:sz w:val="20"/>
                    </w:rPr>
                    <w:t xml:space="preserve">, draft regulations </w:t>
                  </w:r>
                  <w:r>
                    <w:rPr>
                      <w:rFonts w:cs="Arial"/>
                      <w:sz w:val="20"/>
                    </w:rPr>
                    <w:t>point to the government regulating and facilitating</w:t>
                  </w:r>
                  <w:r w:rsidRPr="00C75D89">
                    <w:rPr>
                      <w:rFonts w:cs="Arial"/>
                      <w:sz w:val="20"/>
                    </w:rPr>
                    <w:t xml:space="preserve"> the sale of carbon </w:t>
                  </w:r>
                  <w:r>
                    <w:rPr>
                      <w:rFonts w:cs="Arial"/>
                      <w:sz w:val="20"/>
                    </w:rPr>
                    <w:t xml:space="preserve">but with the </w:t>
                  </w:r>
                  <w:r w:rsidRPr="00C75D89">
                    <w:rPr>
                      <w:rFonts w:cs="Arial"/>
                      <w:sz w:val="20"/>
                    </w:rPr>
                    <w:t>right</w:t>
                  </w:r>
                  <w:r>
                    <w:rPr>
                      <w:rFonts w:cs="Arial"/>
                      <w:sz w:val="20"/>
                    </w:rPr>
                    <w:t>s</w:t>
                  </w:r>
                  <w:r w:rsidRPr="00C75D89">
                    <w:rPr>
                      <w:rFonts w:cs="Arial"/>
                      <w:sz w:val="20"/>
                    </w:rPr>
                    <w:t xml:space="preserve"> to </w:t>
                  </w:r>
                  <w:r>
                    <w:rPr>
                      <w:rFonts w:cs="Arial"/>
                      <w:sz w:val="20"/>
                    </w:rPr>
                    <w:t xml:space="preserve">(and hence benefits from) </w:t>
                  </w:r>
                  <w:r w:rsidRPr="00C75D89">
                    <w:rPr>
                      <w:rFonts w:cs="Arial"/>
                      <w:sz w:val="20"/>
                    </w:rPr>
                    <w:t>carbon stay</w:t>
                  </w:r>
                  <w:r>
                    <w:rPr>
                      <w:rFonts w:cs="Arial"/>
                      <w:sz w:val="20"/>
                    </w:rPr>
                    <w:t>ing</w:t>
                  </w:r>
                  <w:r w:rsidRPr="00C75D89">
                    <w:rPr>
                      <w:rFonts w:cs="Arial"/>
                      <w:sz w:val="20"/>
                    </w:rPr>
                    <w:t xml:space="preserve"> with the landholder (Covington and Bakers &amp; McKenzie, Background Analys</w:t>
                  </w:r>
                  <w:r>
                    <w:rPr>
                      <w:rFonts w:cs="Arial"/>
                      <w:sz w:val="20"/>
                    </w:rPr>
                    <w:t>is of REDD Regulatory Framework</w:t>
                  </w:r>
                  <w:r w:rsidRPr="00C75D89">
                    <w:rPr>
                      <w:rFonts w:cs="Arial"/>
                      <w:sz w:val="20"/>
                    </w:rPr>
                    <w:t xml:space="preserve"> 2009).  </w:t>
                  </w:r>
                  <w:smartTag w:uri="urn:schemas-microsoft-com:office:smarttags" w:element="place">
                    <w:smartTag w:uri="urn:schemas-microsoft-com:office:smarttags" w:element="country-region">
                      <w:r w:rsidRPr="00C75D89">
                        <w:rPr>
                          <w:rFonts w:cs="Arial"/>
                          <w:sz w:val="20"/>
                        </w:rPr>
                        <w:t>New Zealand</w:t>
                      </w:r>
                    </w:smartTag>
                  </w:smartTag>
                  <w:r w:rsidRPr="00C75D89">
                    <w:rPr>
                      <w:rFonts w:cs="Arial"/>
                      <w:sz w:val="20"/>
                    </w:rPr>
                    <w:t xml:space="preserve">, </w:t>
                  </w:r>
                  <w:r>
                    <w:rPr>
                      <w:rFonts w:cs="Arial"/>
                      <w:sz w:val="20"/>
                    </w:rPr>
                    <w:t xml:space="preserve">recently reversed the decision to nationalise </w:t>
                  </w:r>
                  <w:r w:rsidRPr="00C75D89">
                    <w:rPr>
                      <w:rFonts w:cs="Arial"/>
                      <w:sz w:val="20"/>
                    </w:rPr>
                    <w:t xml:space="preserve">carbon rights which </w:t>
                  </w:r>
                  <w:r>
                    <w:rPr>
                      <w:rFonts w:cs="Arial"/>
                      <w:sz w:val="20"/>
                    </w:rPr>
                    <w:t xml:space="preserve">had </w:t>
                  </w:r>
                  <w:r w:rsidRPr="00C75D89">
                    <w:rPr>
                      <w:rFonts w:cs="Arial"/>
                      <w:sz w:val="20"/>
                    </w:rPr>
                    <w:t>created a perverse incentive for landowners who no longer had the benefits of selling carbon.</w:t>
                  </w:r>
                </w:p>
              </w:txbxContent>
            </v:textbox>
            <w10:wrap type="square" anchorx="margin" anchory="margin"/>
          </v:shape>
        </w:pict>
      </w:r>
      <w:r w:rsidR="00351F2C" w:rsidRPr="000F0314">
        <w:rPr>
          <w:rFonts w:ascii="Book Antiqua" w:eastAsia="MS Mincho" w:hAnsi="Book Antiqua" w:cs="Arial"/>
        </w:rPr>
        <w:t xml:space="preserve">The Constitution of the Socialist Republic of </w:t>
      </w:r>
      <w:r w:rsidR="00480D3D">
        <w:rPr>
          <w:rFonts w:ascii="Book Antiqua" w:eastAsia="MS Mincho" w:hAnsi="Book Antiqua" w:cs="Arial"/>
        </w:rPr>
        <w:t>Viet Nam</w:t>
      </w:r>
      <w:r w:rsidR="00351F2C" w:rsidRPr="000F0314">
        <w:rPr>
          <w:rFonts w:ascii="Book Antiqua" w:eastAsia="MS Mincho" w:hAnsi="Book Antiqua" w:cs="Arial"/>
        </w:rPr>
        <w:t>, which was last revised in</w:t>
      </w:r>
      <w:r w:rsidR="00351F2C" w:rsidRPr="00445F77">
        <w:rPr>
          <w:rFonts w:ascii="Arial" w:eastAsia="MS Mincho" w:hAnsi="Arial" w:cs="Arial"/>
          <w:sz w:val="24"/>
          <w:szCs w:val="24"/>
        </w:rPr>
        <w:t xml:space="preserve"> </w:t>
      </w:r>
      <w:r w:rsidR="00351F2C" w:rsidRPr="000F0314">
        <w:rPr>
          <w:rFonts w:ascii="Book Antiqua" w:eastAsia="MS Mincho" w:hAnsi="Book Antiqua" w:cs="Arial"/>
        </w:rPr>
        <w:t>1992, says that all land and forest resources belong to the State and that the State allocates these resources to organizations and individuals for “stable long-term use” (Article 18).  The 2003 Land Law provides additional detail regarding land allocation: “</w:t>
      </w:r>
      <w:r w:rsidR="00351F2C" w:rsidRPr="000F0314">
        <w:rPr>
          <w:rFonts w:ascii="Book Antiqua" w:eastAsia="MS Mincho" w:hAnsi="Book Antiqua" w:cs="Arial"/>
          <w:i/>
        </w:rPr>
        <w:t>The State shall grant land use rights to land users via the allocation of land, lease of land, and recognition of land use rights for persons currently using the land stably</w:t>
      </w:r>
      <w:r w:rsidR="00351F2C" w:rsidRPr="000F0314">
        <w:rPr>
          <w:rFonts w:ascii="Book Antiqua" w:eastAsia="MS Mincho" w:hAnsi="Book Antiqua" w:cs="Arial"/>
        </w:rPr>
        <w:t xml:space="preserve">” (Article 5).  So whereas the State retains </w:t>
      </w:r>
      <w:r w:rsidR="00351F2C" w:rsidRPr="000F0314">
        <w:rPr>
          <w:rFonts w:ascii="Book Antiqua" w:eastAsia="MS Mincho" w:hAnsi="Book Antiqua" w:cs="Arial"/>
          <w:i/>
        </w:rPr>
        <w:t>ownership</w:t>
      </w:r>
      <w:r w:rsidR="00351F2C" w:rsidRPr="000F0314">
        <w:rPr>
          <w:rFonts w:ascii="Book Antiqua" w:eastAsia="MS Mincho" w:hAnsi="Book Antiqua" w:cs="Arial"/>
        </w:rPr>
        <w:t xml:space="preserve"> of land, individuals and organizations may be granted the right to</w:t>
      </w:r>
      <w:r w:rsidR="00351F2C" w:rsidRPr="000F0314">
        <w:rPr>
          <w:rFonts w:ascii="Book Antiqua" w:eastAsia="MS Mincho" w:hAnsi="Book Antiqua" w:cs="Arial"/>
          <w:i/>
        </w:rPr>
        <w:t xml:space="preserve"> use and benefit</w:t>
      </w:r>
      <w:r w:rsidR="00351F2C" w:rsidRPr="000F0314">
        <w:rPr>
          <w:rFonts w:ascii="Book Antiqua" w:eastAsia="MS Mincho" w:hAnsi="Book Antiqua" w:cs="Arial"/>
        </w:rPr>
        <w:t xml:space="preserve"> from it.  Although not specified, this right would presumably extend to carbon.  </w:t>
      </w:r>
    </w:p>
    <w:p w:rsidR="00351F2C" w:rsidRPr="000F0314" w:rsidRDefault="00351F2C" w:rsidP="007C38DB">
      <w:pPr>
        <w:spacing w:after="0" w:line="300" w:lineRule="exact"/>
        <w:jc w:val="both"/>
        <w:rPr>
          <w:rFonts w:ascii="Book Antiqua" w:eastAsia="MS Mincho" w:hAnsi="Book Antiqua" w:cs="Arial"/>
        </w:rPr>
      </w:pPr>
    </w:p>
    <w:p w:rsidR="00123DF4" w:rsidRPr="000F0314" w:rsidRDefault="00351F2C" w:rsidP="00123DF4">
      <w:pPr>
        <w:spacing w:after="0" w:line="240" w:lineRule="auto"/>
        <w:jc w:val="both"/>
        <w:rPr>
          <w:rFonts w:ascii="Book Antiqua" w:hAnsi="Book Antiqua" w:cs="Arial"/>
        </w:rPr>
      </w:pPr>
      <w:r w:rsidRPr="000F0314">
        <w:rPr>
          <w:rFonts w:ascii="Book Antiqua" w:eastAsia="MS Mincho" w:hAnsi="Book Antiqua" w:cs="Arial"/>
        </w:rPr>
        <w:t>The 2004 Forest Protection and Development Law recognizes the principle of buyers purchasing forest goods and services (</w:t>
      </w:r>
      <w:r w:rsidR="00123DF4" w:rsidRPr="000F0314">
        <w:rPr>
          <w:rFonts w:ascii="Book Antiqua" w:eastAsia="MS Mincho" w:hAnsi="Book Antiqua" w:cs="Arial"/>
        </w:rPr>
        <w:t>which could include</w:t>
      </w:r>
      <w:r w:rsidRPr="000F0314">
        <w:rPr>
          <w:rFonts w:ascii="Book Antiqua" w:eastAsia="MS Mincho" w:hAnsi="Book Antiqua" w:cs="Arial"/>
        </w:rPr>
        <w:t xml:space="preserve"> reduced carbon emissions) with payments delivered to those who protect and regenerate the forests to reduce deforestation and degradation.  Decision </w:t>
      </w:r>
      <w:r w:rsidRPr="000F0314">
        <w:rPr>
          <w:rFonts w:ascii="Book Antiqua" w:hAnsi="Book Antiqua" w:cs="Arial"/>
          <w:color w:val="000000"/>
        </w:rPr>
        <w:t>178</w:t>
      </w:r>
      <w:r w:rsidRPr="000F0314">
        <w:rPr>
          <w:rFonts w:ascii="Book Antiqua" w:eastAsia="MS Mincho" w:hAnsi="Book Antiqua" w:cs="Arial"/>
        </w:rPr>
        <w:t xml:space="preserve">/2001/QD-TTg (November 12, 2001) specifies the </w:t>
      </w:r>
      <w:r w:rsidRPr="000F0314">
        <w:rPr>
          <w:rFonts w:ascii="Book Antiqua" w:hAnsi="Book Antiqua" w:cs="Arial"/>
          <w:color w:val="000000"/>
        </w:rPr>
        <w:t>ways in which households and individuals can be allocated, leased, or contracted to manage or protect forest and the payments that they can receive for these services.</w:t>
      </w:r>
      <w:r w:rsidRPr="000F0314">
        <w:rPr>
          <w:rFonts w:ascii="Book Antiqua" w:eastAsia="MS Mincho" w:hAnsi="Book Antiqua" w:cs="Arial"/>
        </w:rPr>
        <w:t xml:space="preserve">  The legal basis for a performance-based </w:t>
      </w:r>
      <w:r w:rsidR="00765C66">
        <w:rPr>
          <w:rFonts w:ascii="Book Antiqua" w:eastAsia="MS Mincho" w:hAnsi="Book Antiqua" w:cs="Arial"/>
        </w:rPr>
        <w:t>BDS</w:t>
      </w:r>
      <w:r w:rsidR="00123DF4" w:rsidRPr="000F0314">
        <w:rPr>
          <w:rFonts w:ascii="Book Antiqua" w:eastAsia="MS Mincho" w:hAnsi="Book Antiqua" w:cs="Arial"/>
        </w:rPr>
        <w:t xml:space="preserve"> </w:t>
      </w:r>
      <w:r w:rsidRPr="000F0314">
        <w:rPr>
          <w:rFonts w:ascii="Book Antiqua" w:eastAsia="MS Mincho" w:hAnsi="Book Antiqua" w:cs="Arial"/>
        </w:rPr>
        <w:t>therefore exists.</w:t>
      </w:r>
      <w:r w:rsidR="00123DF4" w:rsidRPr="000F0314">
        <w:rPr>
          <w:rFonts w:ascii="Book Antiqua" w:eastAsia="MS Mincho" w:hAnsi="Book Antiqua" w:cs="Arial"/>
        </w:rPr>
        <w:t xml:space="preserve">  </w:t>
      </w:r>
    </w:p>
    <w:p w:rsidR="00351F2C" w:rsidRPr="000F0314" w:rsidRDefault="00351F2C" w:rsidP="00A256CB">
      <w:pPr>
        <w:autoSpaceDE w:val="0"/>
        <w:autoSpaceDN w:val="0"/>
        <w:adjustRightInd w:val="0"/>
        <w:spacing w:after="0" w:line="300" w:lineRule="exact"/>
        <w:jc w:val="both"/>
        <w:rPr>
          <w:rFonts w:ascii="Book Antiqua" w:eastAsia="MS Mincho" w:hAnsi="Book Antiqua" w:cs="Arial"/>
        </w:rPr>
      </w:pPr>
    </w:p>
    <w:p w:rsidR="00351F2C" w:rsidRPr="000F0314" w:rsidRDefault="00C47C3B" w:rsidP="00375121">
      <w:pPr>
        <w:spacing w:after="0" w:line="300" w:lineRule="exact"/>
        <w:jc w:val="both"/>
        <w:rPr>
          <w:rFonts w:ascii="Book Antiqua" w:eastAsia="MS Mincho" w:hAnsi="Book Antiqua" w:cs="Arial"/>
        </w:rPr>
      </w:pPr>
      <w:r w:rsidRPr="00C47C3B">
        <w:rPr>
          <w:rFonts w:ascii="Book Antiqua" w:hAnsi="Book Antiqua" w:cs="Arial"/>
          <w:noProof/>
          <w:color w:val="000000"/>
        </w:rPr>
        <w:pict>
          <v:shape id="_x0000_s1140" type="#_x0000_t202" style="position:absolute;left:0;text-align:left;margin-left:0;margin-top:-326.25pt;width:445.1pt;height:198pt;z-index:251616768;mso-position-horizontal-relative:margin;mso-position-vertical-relative:margin" fillcolor="#dbe5f1">
            <v:shadow on="t" color="#95b3d7" offset="3pt,4pt" offset2="2pt,4pt"/>
            <v:textbox style="mso-next-textbox:#_x0000_s1140">
              <w:txbxContent>
                <w:p w:rsidR="00B4351F" w:rsidRPr="00C75D89" w:rsidRDefault="00B4351F" w:rsidP="00A256CB">
                  <w:pPr>
                    <w:spacing w:after="0" w:line="240" w:lineRule="auto"/>
                    <w:jc w:val="both"/>
                    <w:rPr>
                      <w:rFonts w:cs="Arial"/>
                      <w:b/>
                      <w:sz w:val="20"/>
                    </w:rPr>
                  </w:pPr>
                  <w:r w:rsidRPr="00C75D89">
                    <w:rPr>
                      <w:rFonts w:cs="Arial"/>
                      <w:b/>
                      <w:sz w:val="20"/>
                    </w:rPr>
                    <w:t>Box 2.x: International examples of carbon rights establishment</w:t>
                  </w:r>
                </w:p>
                <w:p w:rsidR="00B4351F" w:rsidRPr="00C75D89" w:rsidRDefault="00B4351F" w:rsidP="00A256CB">
                  <w:pPr>
                    <w:spacing w:after="0" w:line="240" w:lineRule="auto"/>
                    <w:jc w:val="both"/>
                    <w:rPr>
                      <w:rFonts w:cs="Arial"/>
                      <w:b/>
                      <w:sz w:val="20"/>
                    </w:rPr>
                  </w:pPr>
                </w:p>
                <w:p w:rsidR="00B4351F" w:rsidRDefault="00B4351F" w:rsidP="00A256CB">
                  <w:pPr>
                    <w:spacing w:after="0" w:line="240" w:lineRule="auto"/>
                    <w:jc w:val="both"/>
                    <w:rPr>
                      <w:rFonts w:cs="Arial"/>
                      <w:b/>
                      <w:sz w:val="20"/>
                    </w:rPr>
                  </w:pPr>
                  <w:r w:rsidRPr="00EC2CF8">
                    <w:rPr>
                      <w:rFonts w:cs="Arial"/>
                      <w:sz w:val="20"/>
                    </w:rPr>
                    <w:t xml:space="preserve">Australia’s States have passed laws to create a form of carbon sequestration right that landowners may register in favour of a third party, thereby transferring carbon rights and responsibilities associated with the land to that party. </w:t>
                  </w:r>
                </w:p>
                <w:p w:rsidR="00B4351F" w:rsidRDefault="00B4351F" w:rsidP="00A256CB">
                  <w:pPr>
                    <w:spacing w:after="0" w:line="240" w:lineRule="auto"/>
                    <w:jc w:val="both"/>
                    <w:rPr>
                      <w:rFonts w:cs="Arial"/>
                      <w:sz w:val="20"/>
                    </w:rPr>
                  </w:pPr>
                  <w:r>
                    <w:rPr>
                      <w:rFonts w:cs="Arial"/>
                      <w:sz w:val="20"/>
                    </w:rPr>
                    <w:t>I</w:t>
                  </w:r>
                  <w:r w:rsidRPr="00C75D89">
                    <w:rPr>
                      <w:rFonts w:cs="Arial"/>
                      <w:sz w:val="20"/>
                    </w:rPr>
                    <w:t>n Indonesia</w:t>
                  </w:r>
                  <w:r>
                    <w:rPr>
                      <w:rFonts w:cs="Arial"/>
                      <w:sz w:val="20"/>
                    </w:rPr>
                    <w:t>,</w:t>
                  </w:r>
                  <w:r w:rsidRPr="00C75D89">
                    <w:rPr>
                      <w:rFonts w:cs="Arial"/>
                      <w:sz w:val="20"/>
                    </w:rPr>
                    <w:t xml:space="preserve"> Regulation </w:t>
                  </w:r>
                  <w:r>
                    <w:rPr>
                      <w:rFonts w:cs="Arial"/>
                      <w:sz w:val="20"/>
                    </w:rPr>
                    <w:t>PP</w:t>
                  </w:r>
                  <w:r w:rsidRPr="00C75D89">
                    <w:rPr>
                      <w:rFonts w:cs="Arial"/>
                      <w:sz w:val="20"/>
                    </w:rPr>
                    <w:t xml:space="preserve">6/2007 </w:t>
                  </w:r>
                  <w:r w:rsidRPr="00C75D89">
                    <w:rPr>
                      <w:rFonts w:cs="Arial"/>
                      <w:color w:val="000000"/>
                      <w:sz w:val="20"/>
                    </w:rPr>
                    <w:t xml:space="preserve">authorises provincial and district governments to issue permits for the utilisation of environmental services, called </w:t>
                  </w:r>
                  <w:r w:rsidRPr="00C75D89">
                    <w:rPr>
                      <w:rFonts w:cs="Arial"/>
                      <w:i/>
                      <w:iCs/>
                      <w:color w:val="000000"/>
                      <w:sz w:val="20"/>
                    </w:rPr>
                    <w:t xml:space="preserve">Izin Usaha Pemanfaatan Jasa Lingkungan </w:t>
                  </w:r>
                  <w:r w:rsidRPr="00C75D89">
                    <w:rPr>
                      <w:rFonts w:cs="Arial"/>
                      <w:color w:val="000000"/>
                      <w:sz w:val="20"/>
                    </w:rPr>
                    <w:t>(</w:t>
                  </w:r>
                  <w:r w:rsidRPr="00C75D89">
                    <w:rPr>
                      <w:rFonts w:cs="Arial"/>
                      <w:bCs/>
                      <w:iCs/>
                      <w:color w:val="000000"/>
                      <w:sz w:val="20"/>
                    </w:rPr>
                    <w:t>IUPJL</w:t>
                  </w:r>
                  <w:r w:rsidRPr="00C75D89">
                    <w:rPr>
                      <w:rFonts w:cs="Arial"/>
                      <w:color w:val="000000"/>
                      <w:sz w:val="20"/>
                    </w:rPr>
                    <w:t>). IUPJLs entitle their holder to store and absorb carbon and other environmental services and are granted for a term of at least 30 years</w:t>
                  </w:r>
                  <w:r>
                    <w:rPr>
                      <w:rFonts w:cs="Arial"/>
                      <w:sz w:val="20"/>
                    </w:rPr>
                    <w:t xml:space="preserve"> (Crittenden and Wilder</w:t>
                  </w:r>
                  <w:r w:rsidRPr="00C75D89">
                    <w:rPr>
                      <w:rFonts w:cs="Arial"/>
                      <w:sz w:val="20"/>
                    </w:rPr>
                    <w:t xml:space="preserve"> 2009). </w:t>
                  </w:r>
                </w:p>
                <w:p w:rsidR="00B4351F" w:rsidRPr="00C75D89" w:rsidRDefault="00B4351F" w:rsidP="00A256CB">
                  <w:pPr>
                    <w:spacing w:after="0" w:line="240" w:lineRule="auto"/>
                    <w:jc w:val="both"/>
                    <w:rPr>
                      <w:rFonts w:cs="Arial"/>
                      <w:sz w:val="20"/>
                    </w:rPr>
                  </w:pPr>
                  <w:r w:rsidRPr="00C75D89">
                    <w:rPr>
                      <w:rFonts w:cs="Arial"/>
                      <w:sz w:val="20"/>
                    </w:rPr>
                    <w:t>In Papua New Guinea</w:t>
                  </w:r>
                  <w:r>
                    <w:rPr>
                      <w:rFonts w:cs="Arial"/>
                      <w:sz w:val="20"/>
                    </w:rPr>
                    <w:t>,</w:t>
                  </w:r>
                  <w:r w:rsidRPr="00C75D89">
                    <w:rPr>
                      <w:rFonts w:cs="Arial"/>
                      <w:sz w:val="20"/>
                    </w:rPr>
                    <w:t xml:space="preserve"> where 97% of land </w:t>
                  </w:r>
                  <w:r>
                    <w:rPr>
                      <w:rFonts w:cs="Arial"/>
                      <w:sz w:val="20"/>
                    </w:rPr>
                    <w:t xml:space="preserve">is under </w:t>
                  </w:r>
                  <w:r w:rsidRPr="00C75D89">
                    <w:rPr>
                      <w:rFonts w:cs="Arial"/>
                      <w:sz w:val="20"/>
                    </w:rPr>
                    <w:t>indigenous tenure</w:t>
                  </w:r>
                  <w:r>
                    <w:rPr>
                      <w:rFonts w:cs="Arial"/>
                      <w:sz w:val="20"/>
                    </w:rPr>
                    <w:t xml:space="preserve"> and cannot be</w:t>
                  </w:r>
                  <w:r w:rsidRPr="00C75D89">
                    <w:rPr>
                      <w:rFonts w:cs="Arial"/>
                      <w:sz w:val="20"/>
                    </w:rPr>
                    <w:t xml:space="preserve"> transfe</w:t>
                  </w:r>
                  <w:r>
                    <w:rPr>
                      <w:rFonts w:cs="Arial"/>
                      <w:sz w:val="20"/>
                    </w:rPr>
                    <w:t>r</w:t>
                  </w:r>
                  <w:r w:rsidRPr="00C75D89">
                    <w:rPr>
                      <w:rFonts w:cs="Arial"/>
                      <w:sz w:val="20"/>
                    </w:rPr>
                    <w:t>r</w:t>
                  </w:r>
                  <w:r>
                    <w:rPr>
                      <w:rFonts w:cs="Arial"/>
                      <w:sz w:val="20"/>
                    </w:rPr>
                    <w:t>ed</w:t>
                  </w:r>
                  <w:r w:rsidRPr="00C75D89">
                    <w:rPr>
                      <w:rFonts w:cs="Arial"/>
                      <w:sz w:val="20"/>
                    </w:rPr>
                    <w:t xml:space="preserve">, draft regulations </w:t>
                  </w:r>
                  <w:r>
                    <w:rPr>
                      <w:rFonts w:cs="Arial"/>
                      <w:sz w:val="20"/>
                    </w:rPr>
                    <w:t>point to the government regulating and facilitating</w:t>
                  </w:r>
                  <w:r w:rsidRPr="00C75D89">
                    <w:rPr>
                      <w:rFonts w:cs="Arial"/>
                      <w:sz w:val="20"/>
                    </w:rPr>
                    <w:t xml:space="preserve"> the sale of carbon </w:t>
                  </w:r>
                  <w:r>
                    <w:rPr>
                      <w:rFonts w:cs="Arial"/>
                      <w:sz w:val="20"/>
                    </w:rPr>
                    <w:t xml:space="preserve">but with the </w:t>
                  </w:r>
                  <w:r w:rsidRPr="00C75D89">
                    <w:rPr>
                      <w:rFonts w:cs="Arial"/>
                      <w:sz w:val="20"/>
                    </w:rPr>
                    <w:t>right</w:t>
                  </w:r>
                  <w:r>
                    <w:rPr>
                      <w:rFonts w:cs="Arial"/>
                      <w:sz w:val="20"/>
                    </w:rPr>
                    <w:t>s</w:t>
                  </w:r>
                  <w:r w:rsidRPr="00C75D89">
                    <w:rPr>
                      <w:rFonts w:cs="Arial"/>
                      <w:sz w:val="20"/>
                    </w:rPr>
                    <w:t xml:space="preserve"> to </w:t>
                  </w:r>
                  <w:r>
                    <w:rPr>
                      <w:rFonts w:cs="Arial"/>
                      <w:sz w:val="20"/>
                    </w:rPr>
                    <w:t xml:space="preserve">(and hence benefits from) </w:t>
                  </w:r>
                  <w:r w:rsidRPr="00C75D89">
                    <w:rPr>
                      <w:rFonts w:cs="Arial"/>
                      <w:sz w:val="20"/>
                    </w:rPr>
                    <w:t>carbon stay</w:t>
                  </w:r>
                  <w:r>
                    <w:rPr>
                      <w:rFonts w:cs="Arial"/>
                      <w:sz w:val="20"/>
                    </w:rPr>
                    <w:t>ing</w:t>
                  </w:r>
                  <w:r w:rsidRPr="00C75D89">
                    <w:rPr>
                      <w:rFonts w:cs="Arial"/>
                      <w:sz w:val="20"/>
                    </w:rPr>
                    <w:t xml:space="preserve"> with the landholder (Covington and Bakers &amp; McKenzie, Background Analys</w:t>
                  </w:r>
                  <w:r>
                    <w:rPr>
                      <w:rFonts w:cs="Arial"/>
                      <w:sz w:val="20"/>
                    </w:rPr>
                    <w:t>is of REDD Regulatory Framework</w:t>
                  </w:r>
                  <w:r w:rsidRPr="00C75D89">
                    <w:rPr>
                      <w:rFonts w:cs="Arial"/>
                      <w:sz w:val="20"/>
                    </w:rPr>
                    <w:t xml:space="preserve"> 2009).  </w:t>
                  </w:r>
                  <w:smartTag w:uri="urn:schemas-microsoft-com:office:smarttags" w:element="place">
                    <w:smartTag w:uri="urn:schemas-microsoft-com:office:smarttags" w:element="country-region">
                      <w:r w:rsidRPr="00C75D89">
                        <w:rPr>
                          <w:rFonts w:cs="Arial"/>
                          <w:sz w:val="20"/>
                        </w:rPr>
                        <w:t>New Zealand</w:t>
                      </w:r>
                    </w:smartTag>
                  </w:smartTag>
                  <w:r w:rsidRPr="00C75D89">
                    <w:rPr>
                      <w:rFonts w:cs="Arial"/>
                      <w:sz w:val="20"/>
                    </w:rPr>
                    <w:t xml:space="preserve">, </w:t>
                  </w:r>
                  <w:r>
                    <w:rPr>
                      <w:rFonts w:cs="Arial"/>
                      <w:sz w:val="20"/>
                    </w:rPr>
                    <w:t xml:space="preserve">recently reversed the decision to nationalise </w:t>
                  </w:r>
                  <w:r w:rsidRPr="00C75D89">
                    <w:rPr>
                      <w:rFonts w:cs="Arial"/>
                      <w:sz w:val="20"/>
                    </w:rPr>
                    <w:t xml:space="preserve">carbon rights which </w:t>
                  </w:r>
                  <w:r>
                    <w:rPr>
                      <w:rFonts w:cs="Arial"/>
                      <w:sz w:val="20"/>
                    </w:rPr>
                    <w:t xml:space="preserve">had </w:t>
                  </w:r>
                  <w:r w:rsidRPr="00C75D89">
                    <w:rPr>
                      <w:rFonts w:cs="Arial"/>
                      <w:sz w:val="20"/>
                    </w:rPr>
                    <w:t>created a perverse incentive for landowners who no longer had the benefits of selling carbon.</w:t>
                  </w:r>
                </w:p>
              </w:txbxContent>
            </v:textbox>
            <w10:wrap type="square" anchorx="margin" anchory="margin"/>
          </v:shape>
        </w:pict>
      </w:r>
      <w:r w:rsidR="00351F2C" w:rsidRPr="000F0314">
        <w:rPr>
          <w:rFonts w:ascii="Book Antiqua" w:eastAsia="MS Mincho" w:hAnsi="Book Antiqua" w:cs="Arial"/>
        </w:rPr>
        <w:t>However, the 2005 Law on Environmental Protection states that the “</w:t>
      </w:r>
      <w:r w:rsidR="00351F2C" w:rsidRPr="000F0314">
        <w:rPr>
          <w:rFonts w:ascii="Book Antiqua" w:eastAsia="MS Mincho" w:hAnsi="Book Antiqua" w:cs="Arial"/>
          <w:i/>
        </w:rPr>
        <w:t xml:space="preserve">transfer, buying, and selling of greenhouse gas emissions quotas between </w:t>
      </w:r>
      <w:r w:rsidR="00480D3D">
        <w:rPr>
          <w:rFonts w:ascii="Book Antiqua" w:eastAsia="MS Mincho" w:hAnsi="Book Antiqua" w:cs="Arial"/>
          <w:i/>
        </w:rPr>
        <w:t>Viet Nam</w:t>
      </w:r>
      <w:r w:rsidR="00351F2C" w:rsidRPr="000F0314">
        <w:rPr>
          <w:rFonts w:ascii="Book Antiqua" w:eastAsia="MS Mincho" w:hAnsi="Book Antiqua" w:cs="Arial"/>
          <w:i/>
        </w:rPr>
        <w:t xml:space="preserve"> and foreign countries shall be stipulated by the Prime Minister</w:t>
      </w:r>
      <w:r w:rsidR="00351F2C" w:rsidRPr="000F0314">
        <w:rPr>
          <w:rFonts w:ascii="Book Antiqua" w:eastAsia="MS Mincho" w:hAnsi="Book Antiqua" w:cs="Arial"/>
        </w:rPr>
        <w:t xml:space="preserve">” (Article 84).  In other words, while individuals and organizations may have the right to benefit from carbon emission reduction credits, transactions with international buyers (as is envisaged under a </w:t>
      </w:r>
      <w:r w:rsidR="001B6D90">
        <w:rPr>
          <w:rFonts w:ascii="Book Antiqua" w:eastAsia="MS Mincho" w:hAnsi="Book Antiqua" w:cs="Arial"/>
        </w:rPr>
        <w:t>REDD+</w:t>
      </w:r>
      <w:r w:rsidR="00351F2C" w:rsidRPr="000F0314">
        <w:rPr>
          <w:rFonts w:ascii="Book Antiqua" w:eastAsia="MS Mincho" w:hAnsi="Book Antiqua" w:cs="Arial"/>
        </w:rPr>
        <w:t xml:space="preserve"> regime) would need to be approved by the Prime Minister.  Beneficiaries cannot have direct contractual relations with foreign entities</w:t>
      </w:r>
      <w:r w:rsidR="00123DF4" w:rsidRPr="000F0314">
        <w:rPr>
          <w:rFonts w:ascii="Book Antiqua" w:eastAsia="MS Mincho" w:hAnsi="Book Antiqua" w:cs="Arial"/>
        </w:rPr>
        <w:t xml:space="preserve">, implying that sub-national implementation would be legally problematic for </w:t>
      </w:r>
      <w:smartTag w:uri="urn:schemas-microsoft-com:office:smarttags" w:element="country-region">
        <w:smartTag w:uri="urn:schemas-microsoft-com:office:smarttags" w:element="place">
          <w:r w:rsidR="00123DF4" w:rsidRPr="000F0314">
            <w:rPr>
              <w:rFonts w:ascii="Book Antiqua" w:eastAsia="MS Mincho" w:hAnsi="Book Antiqua" w:cs="Arial"/>
            </w:rPr>
            <w:t>Viet Nam</w:t>
          </w:r>
        </w:smartTag>
      </w:smartTag>
      <w:r w:rsidR="00123DF4" w:rsidRPr="000F0314">
        <w:rPr>
          <w:rFonts w:ascii="Book Antiqua" w:eastAsia="MS Mincho" w:hAnsi="Book Antiqua" w:cs="Arial"/>
        </w:rPr>
        <w:t>.</w:t>
      </w:r>
    </w:p>
    <w:p w:rsidR="00123DF4" w:rsidRDefault="00123DF4" w:rsidP="00375121">
      <w:pPr>
        <w:spacing w:after="0" w:line="300" w:lineRule="exact"/>
        <w:jc w:val="both"/>
        <w:rPr>
          <w:rFonts w:ascii="Arial" w:hAnsi="Arial" w:cs="Arial"/>
          <w:sz w:val="24"/>
          <w:szCs w:val="24"/>
        </w:rPr>
      </w:pPr>
    </w:p>
    <w:p w:rsidR="00351F2C" w:rsidRPr="00445F77" w:rsidRDefault="00351F2C" w:rsidP="00375121">
      <w:pPr>
        <w:pStyle w:val="Heading3"/>
        <w:spacing w:before="0" w:after="0"/>
        <w:rPr>
          <w:rFonts w:ascii="Arial" w:hAnsi="Arial" w:cs="Arial"/>
        </w:rPr>
      </w:pPr>
      <w:bookmarkStart w:id="106" w:name="_Toc245810428"/>
      <w:bookmarkStart w:id="107" w:name="_Toc249078677"/>
      <w:bookmarkStart w:id="108" w:name="_Toc249079513"/>
      <w:r w:rsidRPr="00445F77">
        <w:rPr>
          <w:rFonts w:ascii="Arial" w:hAnsi="Arial" w:cs="Arial"/>
        </w:rPr>
        <w:t>Land Rights</w:t>
      </w:r>
      <w:bookmarkEnd w:id="106"/>
      <w:bookmarkEnd w:id="107"/>
      <w:bookmarkEnd w:id="108"/>
    </w:p>
    <w:p w:rsidR="00351F2C" w:rsidRPr="000F0314" w:rsidRDefault="00351F2C" w:rsidP="007C38DB">
      <w:pPr>
        <w:spacing w:after="0" w:line="300" w:lineRule="exact"/>
        <w:jc w:val="both"/>
        <w:rPr>
          <w:rFonts w:ascii="Book Antiqua" w:hAnsi="Book Antiqua" w:cs="Arial"/>
        </w:rPr>
      </w:pPr>
      <w:r w:rsidRPr="000F0314">
        <w:rPr>
          <w:rFonts w:ascii="Book Antiqua" w:hAnsi="Book Antiqua" w:cs="Arial"/>
        </w:rPr>
        <w:t>As carbon rights are by default deemed to be attached to land, the question of land rights arises as a prerequisite to the definition of carbon rights. Unclear land rights, and uncertainty surrounding land title, are held as “</w:t>
      </w:r>
      <w:r w:rsidRPr="000F0314">
        <w:rPr>
          <w:rFonts w:ascii="Book Antiqua" w:hAnsi="Book Antiqua" w:cs="Arial"/>
          <w:i/>
        </w:rPr>
        <w:t>the single most significant impediment to effective preconditions for a REDD Scheme</w:t>
      </w:r>
      <w:r w:rsidRPr="000F0314">
        <w:rPr>
          <w:rFonts w:ascii="Book Antiqua" w:hAnsi="Book Antiqua" w:cs="Arial"/>
        </w:rPr>
        <w:t xml:space="preserve">” (Covington et al 2009), caused by the significant </w:t>
      </w:r>
      <w:r w:rsidRPr="000F0314">
        <w:rPr>
          <w:rFonts w:ascii="Book Antiqua" w:hAnsi="Book Antiqua" w:cs="Arial"/>
        </w:rPr>
        <w:lastRenderedPageBreak/>
        <w:t>competing interests and conflicts over land and tenure rights that constitute investment risk. (White and Martin 2002).</w:t>
      </w:r>
    </w:p>
    <w:p w:rsidR="00351F2C" w:rsidRPr="000F0314" w:rsidRDefault="00351F2C" w:rsidP="007C38DB">
      <w:pPr>
        <w:spacing w:after="0" w:line="300" w:lineRule="exact"/>
        <w:jc w:val="both"/>
        <w:rPr>
          <w:rFonts w:ascii="Book Antiqua" w:hAnsi="Book Antiqua" w:cs="Arial"/>
        </w:rPr>
      </w:pPr>
    </w:p>
    <w:p w:rsidR="00351F2C" w:rsidRPr="000F0314" w:rsidRDefault="00351F2C" w:rsidP="007C38DB">
      <w:pPr>
        <w:spacing w:after="0" w:line="300" w:lineRule="exact"/>
        <w:jc w:val="both"/>
        <w:rPr>
          <w:rFonts w:ascii="Book Antiqua" w:hAnsi="Book Antiqua" w:cs="Arial"/>
        </w:rPr>
      </w:pPr>
      <w:r w:rsidRPr="000F0314">
        <w:rPr>
          <w:rFonts w:ascii="Book Antiqua" w:hAnsi="Book Antiqua" w:cs="Arial"/>
        </w:rPr>
        <w:t xml:space="preserve">Of critical importance to the entitlement to benefits as they define rights and responsibility </w:t>
      </w:r>
      <w:r w:rsidR="00123DF4" w:rsidRPr="000F0314">
        <w:rPr>
          <w:rFonts w:ascii="Book Antiqua" w:hAnsi="Book Antiqua" w:cs="Arial"/>
        </w:rPr>
        <w:t>under</w:t>
      </w:r>
      <w:r w:rsidRPr="000F0314">
        <w:rPr>
          <w:rFonts w:ascii="Book Antiqua" w:hAnsi="Book Antiqua" w:cs="Arial"/>
        </w:rPr>
        <w:t xml:space="preserve"> </w:t>
      </w:r>
      <w:r w:rsidR="001B6D90">
        <w:rPr>
          <w:rFonts w:ascii="Book Antiqua" w:hAnsi="Book Antiqua" w:cs="Arial"/>
        </w:rPr>
        <w:t>REDD+</w:t>
      </w:r>
      <w:r w:rsidR="00123DF4" w:rsidRPr="000F0314">
        <w:rPr>
          <w:rFonts w:ascii="Book Antiqua" w:hAnsi="Book Antiqua" w:cs="Arial"/>
        </w:rPr>
        <w:t xml:space="preserve"> is</w:t>
      </w:r>
      <w:r w:rsidRPr="000F0314">
        <w:rPr>
          <w:rFonts w:ascii="Book Antiqua" w:hAnsi="Book Antiqua" w:cs="Arial"/>
        </w:rPr>
        <w:t xml:space="preserve"> the legal framework for land use /spatial planning, forest classification (conservation forests, commercial forests) and national models of land and forests ownership. </w:t>
      </w:r>
      <w:r w:rsidR="00123DF4" w:rsidRPr="000F0314">
        <w:rPr>
          <w:rFonts w:ascii="Book Antiqua" w:hAnsi="Book Antiqua" w:cs="Arial"/>
        </w:rPr>
        <w:t xml:space="preserve"> Land ca</w:t>
      </w:r>
      <w:r w:rsidRPr="000F0314">
        <w:rPr>
          <w:rFonts w:ascii="Book Antiqua" w:hAnsi="Book Antiqua" w:cs="Arial"/>
        </w:rPr>
        <w:t xml:space="preserve">n be owned in totality or majority by the state (national or sub-national), such as in </w:t>
      </w:r>
      <w:smartTag w:uri="urn:schemas-microsoft-com:office:smarttags" w:element="country-region">
        <w:r w:rsidR="00480D3D">
          <w:rPr>
            <w:rFonts w:ascii="Book Antiqua" w:hAnsi="Book Antiqua" w:cs="Arial"/>
          </w:rPr>
          <w:t>Viet Nam</w:t>
        </w:r>
      </w:smartTag>
      <w:r w:rsidRPr="000F0314">
        <w:rPr>
          <w:rFonts w:ascii="Book Antiqua" w:hAnsi="Book Antiqua" w:cs="Arial"/>
        </w:rPr>
        <w:t xml:space="preserve">, </w:t>
      </w:r>
      <w:smartTag w:uri="urn:schemas-microsoft-com:office:smarttags" w:element="country-region">
        <w:r w:rsidRPr="000F0314">
          <w:rPr>
            <w:rFonts w:ascii="Book Antiqua" w:hAnsi="Book Antiqua" w:cs="Arial"/>
          </w:rPr>
          <w:t>Lao</w:t>
        </w:r>
        <w:r w:rsidR="00123DF4" w:rsidRPr="000F0314">
          <w:rPr>
            <w:rFonts w:ascii="Book Antiqua" w:hAnsi="Book Antiqua" w:cs="Arial"/>
          </w:rPr>
          <w:t>s</w:t>
        </w:r>
      </w:smartTag>
      <w:r w:rsidRPr="000F0314">
        <w:rPr>
          <w:rFonts w:ascii="Book Antiqua" w:hAnsi="Book Antiqua" w:cs="Arial"/>
        </w:rPr>
        <w:t xml:space="preserve">, </w:t>
      </w:r>
      <w:smartTag w:uri="urn:schemas-microsoft-com:office:smarttags" w:element="country-region">
        <w:r w:rsidRPr="000F0314">
          <w:rPr>
            <w:rFonts w:ascii="Book Antiqua" w:hAnsi="Book Antiqua" w:cs="Arial"/>
          </w:rPr>
          <w:t>Cambodia</w:t>
        </w:r>
      </w:smartTag>
      <w:r w:rsidRPr="000F0314">
        <w:rPr>
          <w:rFonts w:ascii="Book Antiqua" w:hAnsi="Book Antiqua" w:cs="Arial"/>
        </w:rPr>
        <w:t xml:space="preserve">, </w:t>
      </w:r>
      <w:smartTag w:uri="urn:schemas-microsoft-com:office:smarttags" w:element="country-region">
        <w:r w:rsidRPr="000F0314">
          <w:rPr>
            <w:rFonts w:ascii="Book Antiqua" w:hAnsi="Book Antiqua" w:cs="Arial"/>
          </w:rPr>
          <w:t>Indonesia</w:t>
        </w:r>
      </w:smartTag>
      <w:r w:rsidRPr="000F0314">
        <w:rPr>
          <w:rFonts w:ascii="Book Antiqua" w:hAnsi="Book Antiqua" w:cs="Arial"/>
        </w:rPr>
        <w:t xml:space="preserve">, </w:t>
      </w:r>
      <w:smartTag w:uri="urn:schemas-microsoft-com:office:smarttags" w:element="country-region">
        <w:r w:rsidRPr="000F0314">
          <w:rPr>
            <w:rFonts w:ascii="Book Antiqua" w:hAnsi="Book Antiqua" w:cs="Arial"/>
          </w:rPr>
          <w:t>Brazil</w:t>
        </w:r>
      </w:smartTag>
      <w:r w:rsidRPr="000F0314">
        <w:rPr>
          <w:rFonts w:ascii="Book Antiqua" w:hAnsi="Book Antiqua" w:cs="Arial"/>
        </w:rPr>
        <w:t xml:space="preserve">, Madagascar etc., or by communities such as in </w:t>
      </w:r>
      <w:smartTag w:uri="urn:schemas-microsoft-com:office:smarttags" w:element="country-region">
        <w:smartTag w:uri="urn:schemas-microsoft-com:office:smarttags" w:element="place">
          <w:r w:rsidRPr="000F0314">
            <w:rPr>
              <w:rFonts w:ascii="Book Antiqua" w:hAnsi="Book Antiqua" w:cs="Arial"/>
            </w:rPr>
            <w:t>Papua New Guinea</w:t>
          </w:r>
        </w:smartTag>
      </w:smartTag>
      <w:r w:rsidRPr="000F0314">
        <w:rPr>
          <w:rFonts w:ascii="Book Antiqua" w:hAnsi="Book Antiqua" w:cs="Arial"/>
        </w:rPr>
        <w:t xml:space="preserve">. Where land and forests are state-owned, individuals and organizations may be granted land-use rights (such as concessions) or tenure rights usually by the designated responsible agency (such as land planning agencies and forestry administration). </w:t>
      </w:r>
      <w:r w:rsidR="00123DF4" w:rsidRPr="000F0314">
        <w:rPr>
          <w:rFonts w:ascii="Book Antiqua" w:hAnsi="Book Antiqua" w:cs="Arial"/>
        </w:rPr>
        <w:t xml:space="preserve"> </w:t>
      </w:r>
      <w:r w:rsidRPr="000F0314">
        <w:rPr>
          <w:rFonts w:ascii="Book Antiqua" w:hAnsi="Book Antiqua" w:cs="Arial"/>
        </w:rPr>
        <w:t xml:space="preserve">As a result, several different stakeholders may have rights and interests, and consequently entitlements to </w:t>
      </w:r>
      <w:r w:rsidR="001B6D90">
        <w:rPr>
          <w:rFonts w:ascii="Book Antiqua" w:hAnsi="Book Antiqua" w:cs="Arial"/>
        </w:rPr>
        <w:t>REDD+</w:t>
      </w:r>
      <w:r w:rsidRPr="000F0314">
        <w:rPr>
          <w:rFonts w:ascii="Book Antiqua" w:hAnsi="Book Antiqua" w:cs="Arial"/>
        </w:rPr>
        <w:t xml:space="preserve"> benefits.</w:t>
      </w:r>
    </w:p>
    <w:p w:rsidR="00351F2C" w:rsidRPr="000F0314" w:rsidRDefault="00351F2C" w:rsidP="007C38DB">
      <w:pPr>
        <w:spacing w:after="0" w:line="300" w:lineRule="exact"/>
        <w:jc w:val="both"/>
        <w:rPr>
          <w:rFonts w:ascii="Book Antiqua" w:hAnsi="Book Antiqua" w:cs="Arial"/>
        </w:rPr>
      </w:pPr>
    </w:p>
    <w:p w:rsidR="00123DF4" w:rsidRPr="000F0314" w:rsidRDefault="00351F2C" w:rsidP="007C38DB">
      <w:pPr>
        <w:spacing w:after="0" w:line="300" w:lineRule="exact"/>
        <w:jc w:val="both"/>
        <w:rPr>
          <w:rFonts w:ascii="Book Antiqua" w:hAnsi="Book Antiqua" w:cs="Arial"/>
        </w:rPr>
      </w:pPr>
      <w:r w:rsidRPr="000F0314">
        <w:rPr>
          <w:rFonts w:ascii="Book Antiqua" w:hAnsi="Book Antiqua" w:cs="Arial"/>
        </w:rPr>
        <w:t xml:space="preserve">From a legal perspective, the entitlement of ethnic minorities and local communities to </w:t>
      </w:r>
      <w:r w:rsidR="001B6D90">
        <w:rPr>
          <w:rFonts w:ascii="Book Antiqua" w:hAnsi="Book Antiqua" w:cs="Arial"/>
        </w:rPr>
        <w:t>REDD+</w:t>
      </w:r>
      <w:r w:rsidRPr="000F0314">
        <w:rPr>
          <w:rFonts w:ascii="Book Antiqua" w:hAnsi="Book Antiqua" w:cs="Arial"/>
        </w:rPr>
        <w:t xml:space="preserve"> benefits presents a particular problem because </w:t>
      </w:r>
      <w:r w:rsidRPr="000F0314">
        <w:rPr>
          <w:rFonts w:ascii="Book Antiqua" w:hAnsi="Book Antiqua" w:cs="Arial"/>
          <w:color w:val="000000"/>
        </w:rPr>
        <w:t xml:space="preserve">they typically do not hold registered title and enforceable rights </w:t>
      </w:r>
      <w:r w:rsidRPr="000F0314">
        <w:rPr>
          <w:rFonts w:ascii="Book Antiqua" w:hAnsi="Book Antiqua" w:cs="Arial"/>
        </w:rPr>
        <w:t>over the land they manage. Spatial planning often fails to account for customary land and tenure rights</w:t>
      </w:r>
      <w:r w:rsidRPr="000F0314">
        <w:rPr>
          <w:rFonts w:ascii="Book Antiqua" w:hAnsi="Book Antiqua" w:cs="Arial"/>
          <w:color w:val="000000"/>
        </w:rPr>
        <w:t xml:space="preserve"> (White and Martin 2002), and when customary rights are recognized </w:t>
      </w:r>
      <w:r w:rsidRPr="000F0314">
        <w:rPr>
          <w:rFonts w:ascii="Book Antiqua" w:hAnsi="Book Antiqua" w:cs="Arial"/>
          <w:i/>
          <w:iCs/>
          <w:color w:val="000000"/>
        </w:rPr>
        <w:t>de jure</w:t>
      </w:r>
      <w:r w:rsidRPr="000F0314">
        <w:rPr>
          <w:rFonts w:ascii="Book Antiqua" w:hAnsi="Book Antiqua" w:cs="Arial"/>
          <w:color w:val="000000"/>
        </w:rPr>
        <w:t xml:space="preserve">, this does not always mean that their </w:t>
      </w:r>
      <w:r w:rsidRPr="000F0314">
        <w:rPr>
          <w:rFonts w:ascii="Book Antiqua" w:hAnsi="Book Antiqua" w:cs="Arial"/>
          <w:i/>
          <w:iCs/>
          <w:color w:val="000000"/>
        </w:rPr>
        <w:t xml:space="preserve">de facto </w:t>
      </w:r>
      <w:r w:rsidRPr="000F0314">
        <w:rPr>
          <w:rFonts w:ascii="Book Antiqua" w:hAnsi="Book Antiqua" w:cs="Arial"/>
          <w:color w:val="000000"/>
        </w:rPr>
        <w:t xml:space="preserve">rights are upheld (see Box </w:t>
      </w:r>
      <w:r w:rsidR="00123DF4" w:rsidRPr="000F0314">
        <w:rPr>
          <w:rFonts w:ascii="Book Antiqua" w:hAnsi="Book Antiqua" w:cs="Arial"/>
          <w:color w:val="000000"/>
        </w:rPr>
        <w:t>3</w:t>
      </w:r>
      <w:r w:rsidRPr="000F0314">
        <w:rPr>
          <w:rFonts w:ascii="Book Antiqua" w:hAnsi="Book Antiqua" w:cs="Arial"/>
          <w:color w:val="000000"/>
        </w:rPr>
        <w:t>.4).</w:t>
      </w:r>
      <w:r w:rsidR="00123DF4" w:rsidRPr="000F0314">
        <w:rPr>
          <w:rFonts w:ascii="Book Antiqua" w:hAnsi="Book Antiqua" w:cs="Arial"/>
          <w:color w:val="000000"/>
        </w:rPr>
        <w:t xml:space="preserve">  </w:t>
      </w:r>
    </w:p>
    <w:p w:rsidR="00351F2C" w:rsidRPr="000F0314" w:rsidRDefault="00351F2C" w:rsidP="007C38DB">
      <w:pPr>
        <w:spacing w:after="0" w:line="300" w:lineRule="exact"/>
        <w:jc w:val="both"/>
        <w:rPr>
          <w:rFonts w:ascii="Book Antiqua" w:hAnsi="Book Antiqua" w:cs="Arial"/>
          <w:color w:val="000000"/>
        </w:rPr>
      </w:pPr>
    </w:p>
    <w:p w:rsidR="00123DF4" w:rsidRPr="000F0314" w:rsidRDefault="00351F2C" w:rsidP="007C38DB">
      <w:pPr>
        <w:spacing w:after="0" w:line="300" w:lineRule="exact"/>
        <w:jc w:val="both"/>
        <w:rPr>
          <w:rFonts w:ascii="Book Antiqua" w:hAnsi="Book Antiqua" w:cs="Arial"/>
        </w:rPr>
      </w:pPr>
      <w:r w:rsidRPr="000F0314">
        <w:rPr>
          <w:rFonts w:ascii="Book Antiqua" w:hAnsi="Book Antiqua" w:cs="Arial"/>
        </w:rPr>
        <w:t xml:space="preserve">The implementation of </w:t>
      </w:r>
      <w:r w:rsidR="001B6D90">
        <w:rPr>
          <w:rFonts w:ascii="Book Antiqua" w:hAnsi="Book Antiqua" w:cs="Arial"/>
        </w:rPr>
        <w:t>REDD+</w:t>
      </w:r>
      <w:r w:rsidRPr="000F0314">
        <w:rPr>
          <w:rFonts w:ascii="Book Antiqua" w:hAnsi="Book Antiqua" w:cs="Arial"/>
        </w:rPr>
        <w:t xml:space="preserve"> may disrupt informal arrangements and lead to competing claims on forests traditionally managed and used by local communities, causing conflicts. Disempowered communities may suffer from loss of access to forest resources, the unequal imposition of the costs of forest protection, and may be ineligible for </w:t>
      </w:r>
      <w:r w:rsidR="001B6D90">
        <w:rPr>
          <w:rFonts w:ascii="Book Antiqua" w:hAnsi="Book Antiqua" w:cs="Arial"/>
        </w:rPr>
        <w:t>REDD+</w:t>
      </w:r>
      <w:r w:rsidRPr="000F0314">
        <w:rPr>
          <w:rFonts w:ascii="Book Antiqua" w:hAnsi="Book Antiqua" w:cs="Arial"/>
        </w:rPr>
        <w:t xml:space="preserve"> benefits as they do not enjoy formal title (Peskett and Harkin 2007).</w:t>
      </w:r>
      <w:r w:rsidR="00123DF4" w:rsidRPr="000F0314">
        <w:rPr>
          <w:rFonts w:ascii="Book Antiqua" w:eastAsia="MS Mincho" w:hAnsi="Book Antiqua" w:cs="Arial"/>
        </w:rPr>
        <w:t xml:space="preserve">  </w:t>
      </w:r>
    </w:p>
    <w:p w:rsidR="00351F2C" w:rsidRPr="00445F77" w:rsidRDefault="00C47C3B" w:rsidP="007C38DB">
      <w:pPr>
        <w:spacing w:after="0" w:line="300" w:lineRule="exact"/>
        <w:jc w:val="both"/>
        <w:rPr>
          <w:rFonts w:ascii="Arial" w:eastAsia="MS Mincho" w:hAnsi="Arial" w:cs="Arial"/>
          <w:sz w:val="24"/>
          <w:szCs w:val="24"/>
        </w:rPr>
      </w:pPr>
      <w:bookmarkStart w:id="109" w:name="_Toc244327642"/>
      <w:bookmarkStart w:id="110" w:name="_Toc244327891"/>
      <w:bookmarkEnd w:id="86"/>
      <w:bookmarkEnd w:id="87"/>
      <w:r w:rsidRPr="00C47C3B">
        <w:rPr>
          <w:rFonts w:ascii="Arial" w:hAnsi="Arial" w:cs="Arial"/>
          <w:noProof/>
          <w:color w:val="000000"/>
          <w:sz w:val="24"/>
          <w:szCs w:val="24"/>
        </w:rPr>
        <w:pict>
          <v:shape id="_x0000_s1141" type="#_x0000_t202" style="position:absolute;left:0;text-align:left;margin-left:-.25pt;margin-top:399.75pt;width:444.7pt;height:102.35pt;z-index:251617792;mso-position-horizontal-relative:margin;mso-position-vertical-relative:margin" fillcolor="#dbe5f1">
            <v:shadow on="t" color="#95b3d7" offset="3pt,4pt" offset2="2pt,4pt"/>
            <v:textbox style="mso-next-textbox:#_x0000_s1141">
              <w:txbxContent>
                <w:p w:rsidR="00B4351F" w:rsidRPr="00C75D89" w:rsidRDefault="00B4351F" w:rsidP="00A256CB">
                  <w:pPr>
                    <w:spacing w:after="60" w:line="240" w:lineRule="auto"/>
                    <w:jc w:val="both"/>
                    <w:rPr>
                      <w:rFonts w:cs="Arial"/>
                      <w:b/>
                      <w:color w:val="000000"/>
                      <w:sz w:val="20"/>
                    </w:rPr>
                  </w:pPr>
                  <w:smartTag w:uri="urn:schemas-microsoft-com:office:smarttags" w:element="address">
                    <w:smartTag w:uri="urn:schemas-microsoft-com:office:smarttags" w:element="Street">
                      <w:r w:rsidRPr="00C75D89">
                        <w:rPr>
                          <w:rFonts w:cs="Arial"/>
                          <w:b/>
                          <w:color w:val="000000"/>
                          <w:sz w:val="20"/>
                        </w:rPr>
                        <w:t>Box</w:t>
                      </w:r>
                    </w:smartTag>
                    <w:r w:rsidRPr="00C75D89">
                      <w:rPr>
                        <w:rFonts w:cs="Arial"/>
                        <w:b/>
                        <w:color w:val="000000"/>
                        <w:sz w:val="20"/>
                      </w:rPr>
                      <w:t xml:space="preserve"> </w:t>
                    </w:r>
                    <w:r>
                      <w:rPr>
                        <w:rFonts w:cs="Arial"/>
                        <w:b/>
                        <w:color w:val="000000"/>
                        <w:sz w:val="20"/>
                      </w:rPr>
                      <w:t>3</w:t>
                    </w:r>
                    <w:r w:rsidRPr="00C75D89">
                      <w:rPr>
                        <w:rFonts w:cs="Arial"/>
                        <w:b/>
                        <w:color w:val="000000"/>
                        <w:sz w:val="20"/>
                      </w:rPr>
                      <w:t>.</w:t>
                    </w:r>
                    <w:r>
                      <w:rPr>
                        <w:rFonts w:cs="Arial"/>
                        <w:b/>
                        <w:color w:val="000000"/>
                        <w:sz w:val="20"/>
                      </w:rPr>
                      <w:t>4</w:t>
                    </w:r>
                  </w:smartTag>
                  <w:r w:rsidRPr="00C75D89">
                    <w:rPr>
                      <w:rFonts w:cs="Arial"/>
                      <w:b/>
                      <w:color w:val="000000"/>
                      <w:sz w:val="20"/>
                    </w:rPr>
                    <w:t xml:space="preserve">: Example of differences between </w:t>
                  </w:r>
                  <w:r w:rsidRPr="00C75D89">
                    <w:rPr>
                      <w:rFonts w:cs="Arial"/>
                      <w:b/>
                      <w:i/>
                      <w:color w:val="000000"/>
                      <w:sz w:val="20"/>
                    </w:rPr>
                    <w:t>de jure</w:t>
                  </w:r>
                  <w:r w:rsidRPr="00C75D89">
                    <w:rPr>
                      <w:rFonts w:cs="Arial"/>
                      <w:b/>
                      <w:color w:val="000000"/>
                      <w:sz w:val="20"/>
                    </w:rPr>
                    <w:t xml:space="preserve"> and </w:t>
                  </w:r>
                  <w:r w:rsidRPr="00C75D89">
                    <w:rPr>
                      <w:rFonts w:cs="Arial"/>
                      <w:b/>
                      <w:i/>
                      <w:color w:val="000000"/>
                      <w:sz w:val="20"/>
                    </w:rPr>
                    <w:t>de facto</w:t>
                  </w:r>
                  <w:r w:rsidRPr="00C75D89">
                    <w:rPr>
                      <w:rFonts w:cs="Arial"/>
                      <w:b/>
                      <w:color w:val="000000"/>
                      <w:sz w:val="20"/>
                    </w:rPr>
                    <w:t xml:space="preserve"> rights</w:t>
                  </w:r>
                </w:p>
                <w:p w:rsidR="00B4351F" w:rsidRPr="00C75D89" w:rsidRDefault="00B4351F" w:rsidP="00A256CB">
                  <w:pPr>
                    <w:spacing w:after="60" w:line="240" w:lineRule="auto"/>
                    <w:jc w:val="both"/>
                  </w:pPr>
                  <w:r>
                    <w:rPr>
                      <w:rFonts w:cs="Arial"/>
                      <w:color w:val="000000"/>
                      <w:sz w:val="20"/>
                    </w:rPr>
                    <w:t>A study on a</w:t>
                  </w:r>
                  <w:r w:rsidRPr="00C75D89">
                    <w:rPr>
                      <w:rFonts w:cs="Arial"/>
                      <w:color w:val="000000"/>
                      <w:sz w:val="20"/>
                    </w:rPr>
                    <w:t>voided deforestation i</w:t>
                  </w:r>
                  <w:r>
                    <w:rPr>
                      <w:rFonts w:cs="Arial"/>
                      <w:color w:val="000000"/>
                      <w:sz w:val="20"/>
                    </w:rPr>
                    <w:t>n Aceh, Indonesia (Dunlop 2009)</w:t>
                  </w:r>
                  <w:r w:rsidRPr="00C75D89">
                    <w:rPr>
                      <w:rFonts w:cs="Arial"/>
                      <w:color w:val="000000"/>
                      <w:sz w:val="20"/>
                    </w:rPr>
                    <w:t xml:space="preserve"> found that “</w:t>
                  </w:r>
                  <w:r w:rsidRPr="00C75D89">
                    <w:rPr>
                      <w:rFonts w:cs="Arial"/>
                      <w:i/>
                      <w:color w:val="000000"/>
                      <w:sz w:val="20"/>
                    </w:rPr>
                    <w:t>While adat rights are recognized by the Constitution, they are limited according to the national interest, a broad notion of development and the state’s right of control. This approach permeates all land and forest law and policy discourse in Indonesia, including the recent Ministry of Forestry REDD Regulations. In practice, these laws have subordinated adat rights to the national interest and the overriding principle of economic development.</w:t>
                  </w:r>
                  <w:r>
                    <w:rPr>
                      <w:rFonts w:cs="Arial"/>
                      <w:i/>
                      <w:color w:val="000000"/>
                      <w:sz w:val="20"/>
                    </w:rPr>
                    <w:t>”</w:t>
                  </w:r>
                </w:p>
              </w:txbxContent>
            </v:textbox>
            <w10:wrap type="square" anchorx="margin" anchory="margin"/>
          </v:shape>
        </w:pict>
      </w:r>
    </w:p>
    <w:p w:rsidR="00351F2C" w:rsidRPr="00445F77" w:rsidRDefault="00351F2C" w:rsidP="00375121">
      <w:pPr>
        <w:pStyle w:val="Heading3"/>
        <w:spacing w:before="0" w:after="0"/>
        <w:rPr>
          <w:rFonts w:ascii="Arial" w:hAnsi="Arial" w:cs="Arial"/>
        </w:rPr>
      </w:pPr>
      <w:bookmarkStart w:id="111" w:name="_Toc245810430"/>
      <w:bookmarkStart w:id="112" w:name="_Toc249078678"/>
      <w:bookmarkStart w:id="113" w:name="_Toc249079514"/>
      <w:r w:rsidRPr="00445F77">
        <w:rPr>
          <w:rFonts w:ascii="Arial" w:hAnsi="Arial" w:cs="Arial"/>
        </w:rPr>
        <w:t xml:space="preserve">Legal status issues in </w:t>
      </w:r>
      <w:r w:rsidR="00480D3D">
        <w:rPr>
          <w:rFonts w:ascii="Arial" w:hAnsi="Arial" w:cs="Arial"/>
        </w:rPr>
        <w:t>Viet Nam</w:t>
      </w:r>
      <w:bookmarkEnd w:id="111"/>
      <w:bookmarkEnd w:id="112"/>
      <w:bookmarkEnd w:id="113"/>
    </w:p>
    <w:p w:rsidR="00351F2C" w:rsidRPr="000F0314" w:rsidRDefault="00351F2C" w:rsidP="00375121">
      <w:pPr>
        <w:spacing w:after="0" w:line="300" w:lineRule="atLeast"/>
        <w:jc w:val="both"/>
        <w:rPr>
          <w:rFonts w:ascii="Book Antiqua" w:hAnsi="Book Antiqua" w:cs="Arial"/>
        </w:rPr>
      </w:pPr>
      <w:r w:rsidRPr="000F0314">
        <w:rPr>
          <w:rFonts w:ascii="Book Antiqua" w:hAnsi="Book Antiqua" w:cs="Arial"/>
        </w:rPr>
        <w:t xml:space="preserve">In </w:t>
      </w:r>
      <w:smartTag w:uri="urn:schemas-microsoft-com:office:smarttags" w:element="country-region">
        <w:smartTag w:uri="urn:schemas-microsoft-com:office:smarttags" w:element="place">
          <w:r w:rsidR="00480D3D">
            <w:rPr>
              <w:rFonts w:ascii="Book Antiqua" w:hAnsi="Book Antiqua" w:cs="Arial"/>
            </w:rPr>
            <w:t>Viet Nam</w:t>
          </w:r>
        </w:smartTag>
      </w:smartTag>
      <w:r w:rsidRPr="000F0314">
        <w:rPr>
          <w:rFonts w:ascii="Book Antiqua" w:hAnsi="Book Antiqua" w:cs="Arial"/>
        </w:rPr>
        <w:t>, the Forest Protection and Development Law identifies who forest rights holders are and the Land Law identifies stakeholders who can receive the land-use rights. Interpreting these laws, forest owners should be receivers of payments for carbon credits.</w:t>
      </w:r>
    </w:p>
    <w:p w:rsidR="00123DF4" w:rsidRPr="000F0314" w:rsidRDefault="00123DF4" w:rsidP="00A256CB">
      <w:pPr>
        <w:spacing w:after="0" w:line="300" w:lineRule="atLeast"/>
        <w:jc w:val="both"/>
        <w:rPr>
          <w:rFonts w:ascii="Book Antiqua" w:hAnsi="Book Antiqua" w:cs="Arial"/>
        </w:rPr>
      </w:pPr>
    </w:p>
    <w:p w:rsidR="00351F2C" w:rsidRPr="000F0314" w:rsidRDefault="00351F2C" w:rsidP="00A256CB">
      <w:pPr>
        <w:spacing w:after="0" w:line="300" w:lineRule="atLeast"/>
        <w:jc w:val="both"/>
        <w:rPr>
          <w:rFonts w:ascii="Book Antiqua" w:hAnsi="Book Antiqua" w:cs="Arial"/>
        </w:rPr>
      </w:pPr>
      <w:r w:rsidRPr="000F0314">
        <w:rPr>
          <w:rFonts w:ascii="Book Antiqua" w:hAnsi="Book Antiqua" w:cs="Arial"/>
        </w:rPr>
        <w:t xml:space="preserve">An entitlement to </w:t>
      </w:r>
      <w:r w:rsidR="001B6D90">
        <w:rPr>
          <w:rFonts w:ascii="Book Antiqua" w:hAnsi="Book Antiqua" w:cs="Arial"/>
        </w:rPr>
        <w:t>REDD+</w:t>
      </w:r>
      <w:r w:rsidRPr="000F0314">
        <w:rPr>
          <w:rFonts w:ascii="Book Antiqua" w:hAnsi="Book Antiqua" w:cs="Arial"/>
        </w:rPr>
        <w:t xml:space="preserve"> benefits of communities and forest contractors may be compromised by the uncertainty of their legal status</w:t>
      </w:r>
      <w:r w:rsidR="007521E9" w:rsidRPr="000F0314">
        <w:rPr>
          <w:rFonts w:ascii="Book Antiqua" w:hAnsi="Book Antiqua" w:cs="Arial"/>
        </w:rPr>
        <w:t>:</w:t>
      </w:r>
      <w:r w:rsidRPr="000F0314">
        <w:rPr>
          <w:rFonts w:ascii="Book Antiqua" w:hAnsi="Book Antiqua" w:cs="Arial"/>
        </w:rPr>
        <w:t xml:space="preserve"> </w:t>
      </w:r>
    </w:p>
    <w:p w:rsidR="00351F2C" w:rsidRPr="000F0314" w:rsidRDefault="00351F2C" w:rsidP="008227FD">
      <w:pPr>
        <w:numPr>
          <w:ilvl w:val="1"/>
          <w:numId w:val="52"/>
        </w:numPr>
        <w:tabs>
          <w:tab w:val="clear" w:pos="1440"/>
          <w:tab w:val="num" w:pos="360"/>
        </w:tabs>
        <w:spacing w:after="0" w:line="300" w:lineRule="atLeast"/>
        <w:ind w:left="360"/>
        <w:jc w:val="both"/>
        <w:rPr>
          <w:rFonts w:ascii="Book Antiqua" w:hAnsi="Book Antiqua" w:cs="Arial"/>
        </w:rPr>
      </w:pPr>
      <w:r w:rsidRPr="000F0314">
        <w:rPr>
          <w:rFonts w:ascii="Book Antiqua" w:hAnsi="Book Antiqua" w:cs="Arial"/>
        </w:rPr>
        <w:t xml:space="preserve">Communities are classified as one type of forest owner; however, the civil code does not recognise the legal status of the community, which may inhibit their access to a </w:t>
      </w:r>
      <w:r w:rsidR="001B6D90">
        <w:rPr>
          <w:rFonts w:ascii="Book Antiqua" w:hAnsi="Book Antiqua" w:cs="Arial"/>
        </w:rPr>
        <w:t>REDD+</w:t>
      </w:r>
      <w:r w:rsidRPr="000F0314">
        <w:rPr>
          <w:rFonts w:ascii="Book Antiqua" w:hAnsi="Book Antiqua" w:cs="Arial"/>
        </w:rPr>
        <w:t xml:space="preserve"> benefits as they are not a recognised ‘entity’ in law.</w:t>
      </w:r>
    </w:p>
    <w:p w:rsidR="00351F2C" w:rsidRPr="000F0314" w:rsidRDefault="00351F2C" w:rsidP="008227FD">
      <w:pPr>
        <w:numPr>
          <w:ilvl w:val="1"/>
          <w:numId w:val="52"/>
        </w:numPr>
        <w:tabs>
          <w:tab w:val="clear" w:pos="1440"/>
          <w:tab w:val="num" w:pos="360"/>
        </w:tabs>
        <w:spacing w:after="0" w:line="300" w:lineRule="atLeast"/>
        <w:ind w:left="360"/>
        <w:jc w:val="both"/>
        <w:rPr>
          <w:rFonts w:ascii="Book Antiqua" w:hAnsi="Book Antiqua" w:cs="Arial"/>
        </w:rPr>
      </w:pPr>
      <w:r w:rsidRPr="000F0314">
        <w:rPr>
          <w:rFonts w:ascii="Book Antiqua" w:hAnsi="Book Antiqua" w:cs="Arial"/>
        </w:rPr>
        <w:lastRenderedPageBreak/>
        <w:t xml:space="preserve">Forest Contractors, who are people contracted to protect and plant forests, are not recognised forest owners, which may compromise their entitlement to </w:t>
      </w:r>
      <w:r w:rsidR="001B6D90">
        <w:rPr>
          <w:rFonts w:ascii="Book Antiqua" w:hAnsi="Book Antiqua" w:cs="Arial"/>
        </w:rPr>
        <w:t>REDD+</w:t>
      </w:r>
      <w:r w:rsidRPr="000F0314">
        <w:rPr>
          <w:rFonts w:ascii="Book Antiqua" w:hAnsi="Book Antiqua" w:cs="Arial"/>
        </w:rPr>
        <w:t xml:space="preserve"> benefits. The legal status of such forest contractors is also unclear. Contract duration can vary, from one to many years. Long term contractors will have the opportunities during the contract period to invest in carbon stock management, but their rights to benefits is unclear.</w:t>
      </w:r>
    </w:p>
    <w:p w:rsidR="00351F2C" w:rsidRPr="000F0314" w:rsidRDefault="00351F2C" w:rsidP="00A256CB">
      <w:pPr>
        <w:spacing w:after="0" w:line="300" w:lineRule="atLeast"/>
        <w:jc w:val="both"/>
        <w:rPr>
          <w:rFonts w:ascii="Book Antiqua" w:hAnsi="Book Antiqua" w:cs="Arial"/>
        </w:rPr>
      </w:pPr>
    </w:p>
    <w:p w:rsidR="007521E9" w:rsidRPr="000F0314" w:rsidRDefault="007521E9" w:rsidP="00375121">
      <w:pPr>
        <w:spacing w:after="0" w:line="300" w:lineRule="atLeast"/>
        <w:jc w:val="both"/>
        <w:rPr>
          <w:rFonts w:ascii="Book Antiqua" w:hAnsi="Book Antiqua" w:cs="Arial"/>
        </w:rPr>
      </w:pPr>
      <w:r w:rsidRPr="000F0314">
        <w:rPr>
          <w:rFonts w:ascii="Book Antiqua" w:eastAsia="MS Mincho" w:hAnsi="Book Antiqua" w:cs="Arial"/>
        </w:rPr>
        <w:t>T</w:t>
      </w:r>
      <w:r w:rsidRPr="000F0314">
        <w:rPr>
          <w:rFonts w:ascii="Book Antiqua" w:hAnsi="Book Antiqua" w:cs="Arial"/>
        </w:rPr>
        <w:t>he ability to decentralize the distribution of benefits at the sub-national and sub-provincial level would provide opportunities strengthen appropriate traditional administrative units and contribute to resolving the issue of communities and their legal status.</w:t>
      </w:r>
    </w:p>
    <w:p w:rsidR="007521E9" w:rsidRDefault="007521E9" w:rsidP="00375121">
      <w:pPr>
        <w:spacing w:after="0" w:line="300" w:lineRule="atLeast"/>
        <w:jc w:val="both"/>
        <w:rPr>
          <w:rFonts w:ascii="Arial" w:hAnsi="Arial" w:cs="Arial"/>
          <w:sz w:val="24"/>
          <w:szCs w:val="24"/>
        </w:rPr>
      </w:pPr>
    </w:p>
    <w:p w:rsidR="00351F2C" w:rsidRPr="00445F77" w:rsidRDefault="00351F2C" w:rsidP="00375121">
      <w:pPr>
        <w:pStyle w:val="Heading3"/>
        <w:spacing w:before="0" w:after="0"/>
        <w:rPr>
          <w:rFonts w:ascii="Arial" w:hAnsi="Arial" w:cs="Arial"/>
        </w:rPr>
      </w:pPr>
      <w:bookmarkStart w:id="114" w:name="_Toc245810429"/>
      <w:bookmarkStart w:id="115" w:name="_Toc249078679"/>
      <w:bookmarkStart w:id="116" w:name="_Toc249079515"/>
      <w:r w:rsidRPr="00445F77">
        <w:rPr>
          <w:rFonts w:ascii="Arial" w:hAnsi="Arial" w:cs="Arial"/>
        </w:rPr>
        <w:t>Legal status of beneficiaries</w:t>
      </w:r>
      <w:bookmarkEnd w:id="114"/>
      <w:bookmarkEnd w:id="115"/>
      <w:bookmarkEnd w:id="116"/>
    </w:p>
    <w:p w:rsidR="00351F2C" w:rsidRPr="000F0314" w:rsidRDefault="00351F2C" w:rsidP="00375121">
      <w:pPr>
        <w:spacing w:after="0" w:line="300" w:lineRule="exact"/>
        <w:jc w:val="both"/>
        <w:rPr>
          <w:rFonts w:ascii="Book Antiqua" w:eastAsia="MS Mincho" w:hAnsi="Book Antiqua" w:cs="Arial"/>
        </w:rPr>
      </w:pPr>
      <w:r w:rsidRPr="000F0314">
        <w:rPr>
          <w:rFonts w:ascii="Book Antiqua" w:eastAsia="MS Mincho" w:hAnsi="Book Antiqua" w:cs="Arial"/>
        </w:rPr>
        <w:t xml:space="preserve">Equitable entitlements to </w:t>
      </w:r>
      <w:r w:rsidR="001B6D90">
        <w:rPr>
          <w:rFonts w:ascii="Book Antiqua" w:eastAsia="MS Mincho" w:hAnsi="Book Antiqua" w:cs="Arial"/>
        </w:rPr>
        <w:t>REDD+</w:t>
      </w:r>
      <w:r w:rsidRPr="000F0314">
        <w:rPr>
          <w:rFonts w:ascii="Book Antiqua" w:eastAsia="MS Mincho" w:hAnsi="Book Antiqua" w:cs="Arial"/>
        </w:rPr>
        <w:t xml:space="preserve"> revenue</w:t>
      </w:r>
      <w:r w:rsidR="007521E9" w:rsidRPr="000F0314">
        <w:rPr>
          <w:rFonts w:ascii="Book Antiqua" w:eastAsia="MS Mincho" w:hAnsi="Book Antiqua" w:cs="Arial"/>
        </w:rPr>
        <w:t>s</w:t>
      </w:r>
      <w:r w:rsidRPr="000F0314">
        <w:rPr>
          <w:rFonts w:ascii="Book Antiqua" w:eastAsia="MS Mincho" w:hAnsi="Book Antiqua" w:cs="Arial"/>
        </w:rPr>
        <w:t xml:space="preserve">, whether they are granted to individuals, households, communities, or some other entity, and irrespective of the form they may take (cash or in-kind benefits) will need to be secure. This will require formalisation of the rights and responsibilities attached to these benefits as legal agreements or contracts. A lack of legal status of these entities risks impeding the entitlement to benefits. </w:t>
      </w:r>
    </w:p>
    <w:p w:rsidR="00351F2C" w:rsidRPr="00445F77" w:rsidRDefault="00351F2C" w:rsidP="00375121">
      <w:pPr>
        <w:spacing w:after="0" w:line="300" w:lineRule="atLeast"/>
        <w:jc w:val="both"/>
        <w:rPr>
          <w:rFonts w:ascii="Arial" w:hAnsi="Arial" w:cs="Arial"/>
          <w:sz w:val="24"/>
          <w:szCs w:val="24"/>
        </w:rPr>
      </w:pPr>
    </w:p>
    <w:p w:rsidR="00351F2C" w:rsidRPr="00445F77" w:rsidRDefault="00351F2C" w:rsidP="00375121">
      <w:pPr>
        <w:pStyle w:val="Heading3"/>
        <w:spacing w:before="0" w:after="0"/>
        <w:rPr>
          <w:rFonts w:ascii="Arial" w:hAnsi="Arial" w:cs="Arial"/>
        </w:rPr>
      </w:pPr>
      <w:bookmarkStart w:id="117" w:name="_Toc245810431"/>
      <w:bookmarkStart w:id="118" w:name="_Toc249078680"/>
      <w:bookmarkStart w:id="119" w:name="_Toc249079516"/>
      <w:r w:rsidRPr="00445F77">
        <w:rPr>
          <w:rFonts w:ascii="Arial" w:hAnsi="Arial" w:cs="Arial"/>
        </w:rPr>
        <w:t>How can individuals and groups benefit from carbon</w:t>
      </w:r>
      <w:r w:rsidR="00C15459">
        <w:rPr>
          <w:rFonts w:ascii="Arial" w:hAnsi="Arial" w:cs="Arial"/>
        </w:rPr>
        <w:t xml:space="preserve"> conservation</w:t>
      </w:r>
      <w:r w:rsidRPr="00445F77">
        <w:rPr>
          <w:rFonts w:ascii="Arial" w:hAnsi="Arial" w:cs="Arial"/>
        </w:rPr>
        <w:t xml:space="preserve"> in Viet Nam?</w:t>
      </w:r>
      <w:bookmarkEnd w:id="117"/>
      <w:bookmarkEnd w:id="118"/>
      <w:bookmarkEnd w:id="119"/>
    </w:p>
    <w:p w:rsidR="00C15459" w:rsidRDefault="00351F2C" w:rsidP="00375121">
      <w:pPr>
        <w:spacing w:after="0" w:line="300" w:lineRule="exact"/>
        <w:jc w:val="both"/>
        <w:rPr>
          <w:rFonts w:ascii="Book Antiqua" w:eastAsia="MS Mincho" w:hAnsi="Book Antiqua" w:cs="Arial"/>
        </w:rPr>
      </w:pPr>
      <w:r w:rsidRPr="000F0314">
        <w:rPr>
          <w:rFonts w:ascii="Book Antiqua" w:eastAsia="MS Mincho" w:hAnsi="Book Antiqua" w:cs="Arial"/>
        </w:rPr>
        <w:t xml:space="preserve">The scope for </w:t>
      </w:r>
      <w:r w:rsidR="00C15459">
        <w:rPr>
          <w:rFonts w:ascii="Book Antiqua" w:eastAsia="MS Mincho" w:hAnsi="Book Antiqua" w:cs="Arial"/>
        </w:rPr>
        <w:t>securing revenue from carbon conservation</w:t>
      </w:r>
      <w:r w:rsidRPr="000F0314">
        <w:rPr>
          <w:rFonts w:ascii="Book Antiqua" w:eastAsia="MS Mincho" w:hAnsi="Book Antiqua" w:cs="Arial"/>
        </w:rPr>
        <w:t xml:space="preserve"> depends on the forest type.  </w:t>
      </w:r>
      <w:smartTag w:uri="urn:schemas-microsoft-com:office:smarttags" w:element="PlaceName">
        <w:r w:rsidRPr="000F0314">
          <w:rPr>
            <w:rFonts w:ascii="Book Antiqua" w:eastAsia="MS Mincho" w:hAnsi="Book Antiqua" w:cs="Arial"/>
          </w:rPr>
          <w:t>Special</w:t>
        </w:r>
      </w:smartTag>
      <w:r w:rsidRPr="000F0314">
        <w:rPr>
          <w:rFonts w:ascii="Book Antiqua" w:eastAsia="MS Mincho" w:hAnsi="Book Antiqua" w:cs="Arial"/>
        </w:rPr>
        <w:t xml:space="preserve"> </w:t>
      </w:r>
      <w:smartTag w:uri="urn:schemas-microsoft-com:office:smarttags" w:element="PlaceName">
        <w:r w:rsidRPr="000F0314">
          <w:rPr>
            <w:rFonts w:ascii="Book Antiqua" w:eastAsia="MS Mincho" w:hAnsi="Book Antiqua" w:cs="Arial"/>
          </w:rPr>
          <w:t>Use</w:t>
        </w:r>
      </w:smartTag>
      <w:r w:rsidRPr="000F0314">
        <w:rPr>
          <w:rFonts w:ascii="Book Antiqua" w:eastAsia="MS Mincho" w:hAnsi="Book Antiqua" w:cs="Arial"/>
        </w:rPr>
        <w:t xml:space="preserve"> </w:t>
      </w:r>
      <w:smartTag w:uri="urn:schemas-microsoft-com:office:smarttags" w:element="PlaceType">
        <w:r w:rsidRPr="000F0314">
          <w:rPr>
            <w:rFonts w:ascii="Book Antiqua" w:eastAsia="MS Mincho" w:hAnsi="Book Antiqua" w:cs="Arial"/>
          </w:rPr>
          <w:t>Forest</w:t>
        </w:r>
      </w:smartTag>
      <w:r w:rsidRPr="000F0314">
        <w:rPr>
          <w:rFonts w:ascii="Book Antiqua" w:eastAsia="MS Mincho" w:hAnsi="Book Antiqua" w:cs="Arial"/>
        </w:rPr>
        <w:t xml:space="preserve"> (SUF), which comprises all of </w:t>
      </w:r>
      <w:smartTag w:uri="urn:schemas-microsoft-com:office:smarttags" w:element="country-region">
        <w:smartTag w:uri="urn:schemas-microsoft-com:office:smarttags" w:element="place">
          <w:r w:rsidR="00480D3D">
            <w:rPr>
              <w:rFonts w:ascii="Book Antiqua" w:eastAsia="MS Mincho" w:hAnsi="Book Antiqua" w:cs="Arial"/>
            </w:rPr>
            <w:t>Viet Nam</w:t>
          </w:r>
        </w:smartTag>
      </w:smartTag>
      <w:r w:rsidRPr="000F0314">
        <w:rPr>
          <w:rFonts w:ascii="Book Antiqua" w:eastAsia="MS Mincho" w:hAnsi="Book Antiqua" w:cs="Arial"/>
        </w:rPr>
        <w:t xml:space="preserve">’s protected areas, is under exclusive government control.  There are no legal provisions for community </w:t>
      </w:r>
      <w:r w:rsidR="00CB053D" w:rsidRPr="000F0314">
        <w:rPr>
          <w:rFonts w:ascii="Book Antiqua" w:eastAsia="MS Mincho" w:hAnsi="Book Antiqua" w:cs="Arial"/>
        </w:rPr>
        <w:t xml:space="preserve">or household </w:t>
      </w:r>
      <w:r w:rsidRPr="000F0314">
        <w:rPr>
          <w:rFonts w:ascii="Book Antiqua" w:eastAsia="MS Mincho" w:hAnsi="Book Antiqua" w:cs="Arial"/>
        </w:rPr>
        <w:t>participation in SUF management</w:t>
      </w:r>
      <w:r w:rsidR="00C15459">
        <w:rPr>
          <w:rFonts w:ascii="Book Antiqua" w:eastAsia="MS Mincho" w:hAnsi="Book Antiqua" w:cs="Arial"/>
        </w:rPr>
        <w:t>.  Consequently, to the extent that SUFs meet the additionality criterion under REDD+, it would</w:t>
      </w:r>
      <w:r w:rsidR="00CB053D" w:rsidRPr="000F0314">
        <w:rPr>
          <w:rFonts w:ascii="Book Antiqua" w:eastAsia="MS Mincho" w:hAnsi="Book Antiqua" w:cs="Arial"/>
        </w:rPr>
        <w:t xml:space="preserve"> only </w:t>
      </w:r>
      <w:r w:rsidR="00C15459">
        <w:rPr>
          <w:rFonts w:ascii="Book Antiqua" w:eastAsia="MS Mincho" w:hAnsi="Book Antiqua" w:cs="Arial"/>
        </w:rPr>
        <w:t xml:space="preserve">be </w:t>
      </w:r>
      <w:r w:rsidR="00CB053D" w:rsidRPr="000F0314">
        <w:rPr>
          <w:rFonts w:ascii="Book Antiqua" w:eastAsia="MS Mincho" w:hAnsi="Book Antiqua" w:cs="Arial"/>
        </w:rPr>
        <w:t xml:space="preserve">PAMBs which are eligible to </w:t>
      </w:r>
      <w:r w:rsidR="0092792E">
        <w:rPr>
          <w:rFonts w:ascii="Book Antiqua" w:eastAsia="MS Mincho" w:hAnsi="Book Antiqua" w:cs="Arial"/>
        </w:rPr>
        <w:t xml:space="preserve">receive </w:t>
      </w:r>
      <w:r w:rsidR="0092792E" w:rsidRPr="000F0314">
        <w:rPr>
          <w:rFonts w:ascii="Book Antiqua" w:eastAsia="MS Mincho" w:hAnsi="Book Antiqua" w:cs="Arial"/>
        </w:rPr>
        <w:t>REDD</w:t>
      </w:r>
      <w:r w:rsidR="001B6D90">
        <w:rPr>
          <w:rFonts w:ascii="Book Antiqua" w:eastAsia="MS Mincho" w:hAnsi="Book Antiqua" w:cs="Arial"/>
        </w:rPr>
        <w:t>+</w:t>
      </w:r>
      <w:r w:rsidRPr="000F0314">
        <w:rPr>
          <w:rFonts w:ascii="Book Antiqua" w:eastAsia="MS Mincho" w:hAnsi="Book Antiqua" w:cs="Arial"/>
        </w:rPr>
        <w:t xml:space="preserve"> revenues </w:t>
      </w:r>
      <w:r w:rsidR="00CB053D" w:rsidRPr="000F0314">
        <w:rPr>
          <w:rFonts w:ascii="Book Antiqua" w:eastAsia="MS Mincho" w:hAnsi="Book Antiqua" w:cs="Arial"/>
        </w:rPr>
        <w:t>generated by SUFs</w:t>
      </w:r>
      <w:r w:rsidRPr="000F0314">
        <w:rPr>
          <w:rFonts w:ascii="Book Antiqua" w:eastAsia="MS Mincho" w:hAnsi="Book Antiqua" w:cs="Arial"/>
        </w:rPr>
        <w:t xml:space="preserve">.  </w:t>
      </w:r>
    </w:p>
    <w:p w:rsidR="00C15459" w:rsidRDefault="00C15459" w:rsidP="00375121">
      <w:pPr>
        <w:spacing w:after="0" w:line="300" w:lineRule="exact"/>
        <w:jc w:val="both"/>
        <w:rPr>
          <w:rFonts w:ascii="Book Antiqua" w:eastAsia="MS Mincho" w:hAnsi="Book Antiqua" w:cs="Arial"/>
        </w:rPr>
      </w:pPr>
    </w:p>
    <w:p w:rsidR="00351F2C" w:rsidRPr="000F0314" w:rsidRDefault="00C15459" w:rsidP="00375121">
      <w:pPr>
        <w:spacing w:after="0" w:line="300" w:lineRule="exact"/>
        <w:jc w:val="both"/>
        <w:rPr>
          <w:rFonts w:ascii="Book Antiqua" w:eastAsia="MS Mincho" w:hAnsi="Book Antiqua" w:cs="Arial"/>
        </w:rPr>
      </w:pPr>
      <w:r>
        <w:rPr>
          <w:rFonts w:ascii="Book Antiqua" w:eastAsia="MS Mincho" w:hAnsi="Book Antiqua" w:cs="Arial"/>
        </w:rPr>
        <w:t>On the other hand, p</w:t>
      </w:r>
      <w:r w:rsidR="00351F2C" w:rsidRPr="000F0314">
        <w:rPr>
          <w:rFonts w:ascii="Book Antiqua" w:eastAsia="MS Mincho" w:hAnsi="Book Antiqua" w:cs="Arial"/>
        </w:rPr>
        <w:t xml:space="preserve">rotection and production </w:t>
      </w:r>
      <w:r w:rsidR="0092792E" w:rsidRPr="000F0314">
        <w:rPr>
          <w:rFonts w:ascii="Book Antiqua" w:eastAsia="MS Mincho" w:hAnsi="Book Antiqua" w:cs="Arial"/>
        </w:rPr>
        <w:t>forest</w:t>
      </w:r>
      <w:r w:rsidR="00351F2C" w:rsidRPr="000F0314">
        <w:rPr>
          <w:rFonts w:ascii="Book Antiqua" w:eastAsia="MS Mincho" w:hAnsi="Book Antiqua" w:cs="Arial"/>
        </w:rPr>
        <w:t xml:space="preserve"> can be allocated to households, communities, or </w:t>
      </w:r>
      <w:r w:rsidR="003A6A8D">
        <w:rPr>
          <w:rFonts w:ascii="Book Antiqua" w:eastAsia="MS Mincho" w:hAnsi="Book Antiqua" w:cs="Arial"/>
        </w:rPr>
        <w:t>SOC</w:t>
      </w:r>
      <w:r w:rsidR="00351F2C" w:rsidRPr="000F0314">
        <w:rPr>
          <w:rFonts w:ascii="Book Antiqua" w:eastAsia="MS Mincho" w:hAnsi="Book Antiqua" w:cs="Arial"/>
        </w:rPr>
        <w:t xml:space="preserve">s.  </w:t>
      </w:r>
      <w:r>
        <w:rPr>
          <w:rFonts w:ascii="Book Antiqua" w:eastAsia="MS Mincho" w:hAnsi="Book Antiqua" w:cs="Arial"/>
        </w:rPr>
        <w:t xml:space="preserve">Household and communities holding entitlements (“Red Books”) to such forests would therefore be eligible to receive REDD+ revenues.  However, </w:t>
      </w:r>
      <w:r w:rsidR="00351F2C" w:rsidRPr="000F0314">
        <w:rPr>
          <w:rFonts w:ascii="Book Antiqua" w:eastAsia="MS Mincho" w:hAnsi="Book Antiqua" w:cs="Arial"/>
        </w:rPr>
        <w:t>SFEs are government owned and</w:t>
      </w:r>
      <w:r>
        <w:rPr>
          <w:rFonts w:ascii="Book Antiqua" w:eastAsia="MS Mincho" w:hAnsi="Book Antiqua" w:cs="Arial"/>
        </w:rPr>
        <w:t>,</w:t>
      </w:r>
      <w:r w:rsidR="00351F2C" w:rsidRPr="000F0314">
        <w:rPr>
          <w:rFonts w:ascii="Book Antiqua" w:eastAsia="MS Mincho" w:hAnsi="Book Antiqua" w:cs="Arial"/>
        </w:rPr>
        <w:t xml:space="preserve"> </w:t>
      </w:r>
      <w:r>
        <w:rPr>
          <w:rFonts w:ascii="Book Antiqua" w:eastAsia="MS Mincho" w:hAnsi="Book Antiqua" w:cs="Arial"/>
        </w:rPr>
        <w:t xml:space="preserve">by law, </w:t>
      </w:r>
      <w:r w:rsidR="00351F2C" w:rsidRPr="000F0314">
        <w:rPr>
          <w:rFonts w:ascii="Book Antiqua" w:eastAsia="MS Mincho" w:hAnsi="Book Antiqua" w:cs="Arial"/>
        </w:rPr>
        <w:t xml:space="preserve">all forest management operations are paid for by government, so if they </w:t>
      </w:r>
      <w:r>
        <w:rPr>
          <w:rFonts w:ascii="Book Antiqua" w:eastAsia="MS Mincho" w:hAnsi="Book Antiqua" w:cs="Arial"/>
        </w:rPr>
        <w:t xml:space="preserve">were eligible to </w:t>
      </w:r>
      <w:r w:rsidR="00351F2C" w:rsidRPr="000F0314">
        <w:rPr>
          <w:rFonts w:ascii="Book Antiqua" w:eastAsia="MS Mincho" w:hAnsi="Book Antiqua" w:cs="Arial"/>
        </w:rPr>
        <w:t xml:space="preserve">receive </w:t>
      </w:r>
      <w:r w:rsidR="001B6D90">
        <w:rPr>
          <w:rFonts w:ascii="Book Antiqua" w:eastAsia="MS Mincho" w:hAnsi="Book Antiqua" w:cs="Arial"/>
        </w:rPr>
        <w:t>REDD+</w:t>
      </w:r>
      <w:r w:rsidR="00351F2C" w:rsidRPr="000F0314">
        <w:rPr>
          <w:rFonts w:ascii="Book Antiqua" w:eastAsia="MS Mincho" w:hAnsi="Book Antiqua" w:cs="Arial"/>
        </w:rPr>
        <w:t xml:space="preserve"> income, their subsidy would be reduced by the same amount.  </w:t>
      </w:r>
    </w:p>
    <w:p w:rsidR="00104230" w:rsidRPr="000F0314" w:rsidRDefault="00104230" w:rsidP="00A256CB">
      <w:pPr>
        <w:spacing w:after="0" w:line="300" w:lineRule="exact"/>
        <w:jc w:val="both"/>
        <w:rPr>
          <w:rFonts w:ascii="Book Antiqua" w:eastAsia="MS Mincho" w:hAnsi="Book Antiqua" w:cs="Arial"/>
        </w:rPr>
      </w:pPr>
    </w:p>
    <w:p w:rsidR="00351F2C" w:rsidRPr="000F0314" w:rsidRDefault="00351F2C" w:rsidP="00A256CB">
      <w:pPr>
        <w:spacing w:after="0" w:line="300" w:lineRule="exact"/>
        <w:jc w:val="both"/>
        <w:rPr>
          <w:rFonts w:ascii="Book Antiqua" w:eastAsia="MS Mincho" w:hAnsi="Book Antiqua" w:cs="Arial"/>
        </w:rPr>
      </w:pPr>
      <w:r w:rsidRPr="000F0314">
        <w:rPr>
          <w:rFonts w:ascii="Book Antiqua" w:eastAsia="MS Mincho" w:hAnsi="Book Antiqua" w:cs="Arial"/>
        </w:rPr>
        <w:t xml:space="preserve">The government has issued several legal documents regulating benefit sharing from forests.  These include Decision 178; Inter-ministerial Circular 80/2003/TTLT/BNN-BTC (September 3, 2003) by MARD and </w:t>
      </w:r>
      <w:r w:rsidR="003A1EA6">
        <w:rPr>
          <w:rFonts w:ascii="Book Antiqua" w:eastAsia="MS Mincho" w:hAnsi="Book Antiqua" w:cs="Arial"/>
        </w:rPr>
        <w:t>MoF</w:t>
      </w:r>
      <w:r w:rsidRPr="000F0314">
        <w:rPr>
          <w:rFonts w:ascii="Book Antiqua" w:eastAsia="MS Mincho" w:hAnsi="Book Antiqua" w:cs="Arial"/>
        </w:rPr>
        <w:t xml:space="preserve"> on the implementation of Decision 178; Decision 661/1998/QD-TTg (July 29, 1998) on the 5 Million Hectare Reforestation </w:t>
      </w:r>
      <w:r w:rsidR="00480D3D">
        <w:rPr>
          <w:rFonts w:ascii="Book Antiqua" w:eastAsia="MS Mincho" w:hAnsi="Book Antiqua" w:cs="Arial"/>
        </w:rPr>
        <w:t>Programme</w:t>
      </w:r>
      <w:r w:rsidRPr="000F0314">
        <w:rPr>
          <w:rFonts w:ascii="Book Antiqua" w:eastAsia="MS Mincho" w:hAnsi="Book Antiqua" w:cs="Arial"/>
        </w:rPr>
        <w:t xml:space="preserve">; Decision 100/2007/QD-TTg (July 6, 2007) amending some articles of Decision 661; and Decision 147/2007/QD-TTg (September 10, 2007) on the development of production forest. </w:t>
      </w:r>
    </w:p>
    <w:p w:rsidR="00351F2C" w:rsidRPr="000F0314" w:rsidRDefault="00351F2C" w:rsidP="00A256CB">
      <w:pPr>
        <w:spacing w:after="0" w:line="300" w:lineRule="exact"/>
        <w:jc w:val="both"/>
        <w:rPr>
          <w:rFonts w:ascii="Book Antiqua" w:eastAsia="MS Mincho" w:hAnsi="Book Antiqua" w:cs="Arial"/>
        </w:rPr>
      </w:pPr>
    </w:p>
    <w:p w:rsidR="00351F2C" w:rsidRPr="000F0314" w:rsidRDefault="00351F2C" w:rsidP="00A256CB">
      <w:pPr>
        <w:spacing w:after="0" w:line="300" w:lineRule="exact"/>
        <w:jc w:val="both"/>
        <w:rPr>
          <w:rFonts w:ascii="Book Antiqua" w:eastAsia="MS Mincho" w:hAnsi="Book Antiqua" w:cs="Arial"/>
        </w:rPr>
      </w:pPr>
      <w:r w:rsidRPr="000F0314">
        <w:rPr>
          <w:rFonts w:ascii="Book Antiqua" w:eastAsia="MS Mincho" w:hAnsi="Book Antiqua" w:cs="Arial"/>
        </w:rPr>
        <w:t xml:space="preserve">These decisions mainly deal with state budget-funded projects and with forest products including timber, firewood, NTFPs, agricultural products, and tourism services.  Carbon is not referred to.  Decisions governing benefit sharing have also been issued for specific projects funded by the World Food </w:t>
      </w:r>
      <w:r w:rsidR="00480D3D">
        <w:rPr>
          <w:rFonts w:ascii="Book Antiqua" w:eastAsia="MS Mincho" w:hAnsi="Book Antiqua" w:cs="Arial"/>
        </w:rPr>
        <w:t>Programme</w:t>
      </w:r>
      <w:r w:rsidRPr="000F0314">
        <w:rPr>
          <w:rFonts w:ascii="Book Antiqua" w:eastAsia="MS Mincho" w:hAnsi="Book Antiqua" w:cs="Arial"/>
        </w:rPr>
        <w:t xml:space="preserve">, </w:t>
      </w:r>
      <w:r w:rsidR="00D7117B">
        <w:rPr>
          <w:rFonts w:ascii="Book Antiqua" w:eastAsia="MS Mincho" w:hAnsi="Book Antiqua" w:cs="Arial"/>
        </w:rPr>
        <w:t>WB</w:t>
      </w:r>
      <w:r w:rsidRPr="000F0314">
        <w:rPr>
          <w:rFonts w:ascii="Book Antiqua" w:eastAsia="MS Mincho" w:hAnsi="Book Antiqua" w:cs="Arial"/>
        </w:rPr>
        <w:t xml:space="preserve">, JBIC, and the ADB-funded FLITCH </w:t>
      </w:r>
      <w:r w:rsidRPr="000F0314">
        <w:rPr>
          <w:rFonts w:ascii="Book Antiqua" w:eastAsia="MS Mincho" w:hAnsi="Book Antiqua" w:cs="Arial"/>
        </w:rPr>
        <w:lastRenderedPageBreak/>
        <w:t xml:space="preserve">project.  Decision 166/2007/QD-TTg (October 30, 2007) on FLITCH benefit sharing states, for example, that households should receive US$7/ha/year for forest protection, US$15/ha/year for forest regeneration, and US$500/ha/year for plantations.  Again none of these decisions address carbon.  </w:t>
      </w:r>
    </w:p>
    <w:p w:rsidR="00351F2C" w:rsidRPr="000F0314" w:rsidRDefault="00351F2C" w:rsidP="00A256CB">
      <w:pPr>
        <w:spacing w:after="0" w:line="300" w:lineRule="exact"/>
        <w:jc w:val="both"/>
        <w:rPr>
          <w:rFonts w:ascii="Book Antiqua" w:eastAsia="MS Mincho" w:hAnsi="Book Antiqua" w:cs="Arial"/>
        </w:rPr>
      </w:pPr>
    </w:p>
    <w:p w:rsidR="00351F2C" w:rsidRPr="000F0314" w:rsidRDefault="00351F2C" w:rsidP="00A256CB">
      <w:pPr>
        <w:spacing w:after="0" w:line="300" w:lineRule="exact"/>
        <w:jc w:val="both"/>
        <w:rPr>
          <w:rFonts w:ascii="Book Antiqua" w:eastAsia="MS Mincho" w:hAnsi="Book Antiqua" w:cs="Arial"/>
        </w:rPr>
      </w:pPr>
      <w:r w:rsidRPr="000F0314">
        <w:rPr>
          <w:rFonts w:ascii="Book Antiqua" w:eastAsia="MS Mincho" w:hAnsi="Book Antiqua" w:cs="Arial"/>
        </w:rPr>
        <w:t xml:space="preserve">The most recent statement on benefit sharing is provided by Decision 380 (April </w:t>
      </w:r>
      <w:r w:rsidR="00CB053D" w:rsidRPr="000F0314">
        <w:rPr>
          <w:rFonts w:ascii="Book Antiqua" w:eastAsia="MS Mincho" w:hAnsi="Book Antiqua" w:cs="Arial"/>
        </w:rPr>
        <w:t>10th</w:t>
      </w:r>
      <w:r w:rsidRPr="000F0314">
        <w:rPr>
          <w:rFonts w:ascii="Book Antiqua" w:eastAsia="MS Mincho" w:hAnsi="Book Antiqua" w:cs="Arial"/>
        </w:rPr>
        <w:t xml:space="preserve">, 2008), which establishes </w:t>
      </w:r>
      <w:r w:rsidR="00CB053D" w:rsidRPr="000F0314">
        <w:rPr>
          <w:rFonts w:ascii="Book Antiqua" w:eastAsia="MS Mincho" w:hAnsi="Book Antiqua" w:cs="Arial"/>
        </w:rPr>
        <w:t>payments</w:t>
      </w:r>
      <w:r w:rsidRPr="000F0314">
        <w:rPr>
          <w:rFonts w:ascii="Book Antiqua" w:eastAsia="MS Mincho" w:hAnsi="Book Antiqua" w:cs="Arial"/>
        </w:rPr>
        <w:t xml:space="preserve"> for forest environmental services that include water supply; landscape beauty and soil conservation but not carbon.  The decision defines income from these services as non-state budget.  Only those revenues that cover transaction costs are retained by government.  </w:t>
      </w:r>
    </w:p>
    <w:bookmarkEnd w:id="109"/>
    <w:bookmarkEnd w:id="110"/>
    <w:p w:rsidR="00351F2C" w:rsidRPr="00445F77" w:rsidRDefault="00351F2C" w:rsidP="00A256CB">
      <w:pPr>
        <w:spacing w:after="0" w:line="300" w:lineRule="atLeast"/>
        <w:jc w:val="both"/>
        <w:rPr>
          <w:rFonts w:ascii="Arial" w:hAnsi="Arial" w:cs="Arial"/>
          <w:sz w:val="24"/>
          <w:szCs w:val="24"/>
        </w:rPr>
      </w:pPr>
    </w:p>
    <w:p w:rsidR="00351F2C" w:rsidRPr="00445F77" w:rsidRDefault="001A3900" w:rsidP="008F6D17">
      <w:pPr>
        <w:pStyle w:val="Heading2"/>
        <w:tabs>
          <w:tab w:val="left" w:pos="450"/>
        </w:tabs>
        <w:rPr>
          <w:rFonts w:ascii="Arial" w:hAnsi="Arial" w:cs="Arial"/>
          <w:sz w:val="24"/>
          <w:szCs w:val="24"/>
        </w:rPr>
      </w:pPr>
      <w:bookmarkStart w:id="120" w:name="_Toc245810432"/>
      <w:bookmarkStart w:id="121" w:name="_Toc252354731"/>
      <w:r w:rsidRPr="00445F77">
        <w:rPr>
          <w:rFonts w:ascii="Arial" w:hAnsi="Arial" w:cs="Arial"/>
          <w:sz w:val="24"/>
          <w:szCs w:val="24"/>
        </w:rPr>
        <w:t>3</w:t>
      </w:r>
      <w:r w:rsidR="00351F2C" w:rsidRPr="00445F77">
        <w:rPr>
          <w:rFonts w:ascii="Arial" w:hAnsi="Arial" w:cs="Arial"/>
          <w:sz w:val="24"/>
          <w:szCs w:val="24"/>
        </w:rPr>
        <w:t>.3</w:t>
      </w:r>
      <w:r w:rsidR="00351F2C" w:rsidRPr="00445F77">
        <w:rPr>
          <w:rFonts w:ascii="Arial" w:hAnsi="Arial" w:cs="Arial"/>
          <w:sz w:val="24"/>
          <w:szCs w:val="24"/>
        </w:rPr>
        <w:tab/>
        <w:t xml:space="preserve">Options and Recommendations for a Legal Framework covering </w:t>
      </w:r>
      <w:r w:rsidR="001B6D90">
        <w:rPr>
          <w:rFonts w:ascii="Arial" w:hAnsi="Arial" w:cs="Arial"/>
          <w:sz w:val="24"/>
          <w:szCs w:val="24"/>
        </w:rPr>
        <w:t>REDD+</w:t>
      </w:r>
      <w:r w:rsidR="00351F2C" w:rsidRPr="00445F77">
        <w:rPr>
          <w:rFonts w:ascii="Arial" w:hAnsi="Arial" w:cs="Arial"/>
          <w:sz w:val="24"/>
          <w:szCs w:val="24"/>
        </w:rPr>
        <w:t xml:space="preserve"> in </w:t>
      </w:r>
      <w:smartTag w:uri="urn:schemas-microsoft-com:office:smarttags" w:element="country-region">
        <w:smartTag w:uri="urn:schemas-microsoft-com:office:smarttags" w:element="place">
          <w:r w:rsidR="00351F2C" w:rsidRPr="00445F77">
            <w:rPr>
              <w:rFonts w:ascii="Arial" w:hAnsi="Arial" w:cs="Arial"/>
              <w:sz w:val="24"/>
              <w:szCs w:val="24"/>
            </w:rPr>
            <w:t>Viet Nam</w:t>
          </w:r>
        </w:smartTag>
      </w:smartTag>
      <w:bookmarkEnd w:id="120"/>
      <w:bookmarkEnd w:id="121"/>
    </w:p>
    <w:p w:rsidR="00351F2C" w:rsidRPr="000F0314" w:rsidRDefault="00351F2C" w:rsidP="008F6D17">
      <w:pPr>
        <w:spacing w:after="0" w:line="300" w:lineRule="atLeast"/>
        <w:jc w:val="both"/>
        <w:rPr>
          <w:rFonts w:ascii="Book Antiqua" w:hAnsi="Book Antiqua" w:cs="Arial"/>
        </w:rPr>
      </w:pPr>
      <w:r w:rsidRPr="000F0314">
        <w:rPr>
          <w:rFonts w:ascii="Book Antiqua" w:hAnsi="Book Antiqua" w:cs="Arial"/>
        </w:rPr>
        <w:t>This section summarizes options</w:t>
      </w:r>
      <w:r w:rsidR="00C03D5F">
        <w:rPr>
          <w:rFonts w:ascii="Book Antiqua" w:hAnsi="Book Antiqua" w:cs="Arial"/>
        </w:rPr>
        <w:t xml:space="preserve"> discussed in previous sections</w:t>
      </w:r>
      <w:r w:rsidRPr="000F0314">
        <w:rPr>
          <w:rFonts w:ascii="Book Antiqua" w:hAnsi="Book Antiqua" w:cs="Arial"/>
        </w:rPr>
        <w:t>, and makes recommendations for the key questions posed at the beginning of this Chapter</w:t>
      </w:r>
      <w:r w:rsidR="007C38DB">
        <w:rPr>
          <w:rFonts w:ascii="Book Antiqua" w:hAnsi="Book Antiqua" w:cs="Arial"/>
        </w:rPr>
        <w:t>: (1) w</w:t>
      </w:r>
      <w:r w:rsidRPr="000F0314">
        <w:rPr>
          <w:rFonts w:ascii="Book Antiqua" w:hAnsi="Book Antiqua" w:cs="Arial"/>
        </w:rPr>
        <w:t xml:space="preserve">hat are the elements of a comprehensive </w:t>
      </w:r>
      <w:r w:rsidR="00480D3D">
        <w:rPr>
          <w:rFonts w:ascii="Book Antiqua" w:hAnsi="Book Antiqua" w:cs="Arial"/>
        </w:rPr>
        <w:t>REDD+</w:t>
      </w:r>
      <w:r w:rsidRPr="000F0314">
        <w:rPr>
          <w:rFonts w:ascii="Book Antiqua" w:hAnsi="Book Antiqua" w:cs="Arial"/>
        </w:rPr>
        <w:t xml:space="preserve"> legal framework</w:t>
      </w:r>
      <w:r w:rsidR="007C38DB">
        <w:rPr>
          <w:rFonts w:ascii="Book Antiqua" w:hAnsi="Book Antiqua" w:cs="Arial"/>
        </w:rPr>
        <w:t xml:space="preserve"> and (2) w</w:t>
      </w:r>
      <w:r w:rsidRPr="000F0314">
        <w:rPr>
          <w:rFonts w:ascii="Book Antiqua" w:hAnsi="Book Antiqua" w:cs="Arial"/>
        </w:rPr>
        <w:t xml:space="preserve">hat are the key legal issues in establishing the legal framework for </w:t>
      </w:r>
      <w:r w:rsidR="001B6D90">
        <w:rPr>
          <w:rFonts w:ascii="Book Antiqua" w:hAnsi="Book Antiqua" w:cs="Arial"/>
        </w:rPr>
        <w:t>REDD+</w:t>
      </w:r>
      <w:r w:rsidRPr="000F0314">
        <w:rPr>
          <w:rFonts w:ascii="Book Antiqua" w:hAnsi="Book Antiqua" w:cs="Arial"/>
        </w:rPr>
        <w:t xml:space="preserve"> BDS </w:t>
      </w:r>
      <w:r w:rsidR="00CB053D" w:rsidRPr="000F0314">
        <w:rPr>
          <w:rFonts w:ascii="Book Antiqua" w:hAnsi="Book Antiqua" w:cs="Arial"/>
        </w:rPr>
        <w:t>(</w:t>
      </w:r>
      <w:r w:rsidRPr="000F0314">
        <w:rPr>
          <w:rFonts w:ascii="Book Antiqua" w:hAnsi="Book Antiqua" w:cs="Arial"/>
        </w:rPr>
        <w:t>including existing laws and regulations addressing them in Viet Nam</w:t>
      </w:r>
      <w:r w:rsidR="00CB053D" w:rsidRPr="000F0314">
        <w:rPr>
          <w:rFonts w:ascii="Book Antiqua" w:hAnsi="Book Antiqua" w:cs="Arial"/>
        </w:rPr>
        <w:t>)?</w:t>
      </w:r>
    </w:p>
    <w:p w:rsidR="00351F2C" w:rsidRPr="000F0314" w:rsidRDefault="00351F2C" w:rsidP="008F6D17">
      <w:pPr>
        <w:spacing w:after="0" w:line="300" w:lineRule="atLeast"/>
        <w:jc w:val="both"/>
        <w:rPr>
          <w:rFonts w:ascii="Book Antiqua" w:hAnsi="Book Antiqua" w:cs="Arial"/>
        </w:rPr>
      </w:pPr>
    </w:p>
    <w:p w:rsidR="00351F2C" w:rsidRPr="000F0314" w:rsidRDefault="00351F2C" w:rsidP="008F6D17">
      <w:pPr>
        <w:spacing w:after="0" w:line="300" w:lineRule="exact"/>
        <w:jc w:val="both"/>
        <w:rPr>
          <w:rFonts w:ascii="Book Antiqua" w:hAnsi="Book Antiqua" w:cs="Arial"/>
        </w:rPr>
      </w:pPr>
      <w:r w:rsidRPr="000F0314">
        <w:rPr>
          <w:rFonts w:ascii="Book Antiqua" w:hAnsi="Book Antiqua" w:cs="Arial"/>
        </w:rPr>
        <w:t xml:space="preserve">The </w:t>
      </w:r>
      <w:r w:rsidR="001B6D90">
        <w:rPr>
          <w:rFonts w:ascii="Book Antiqua" w:hAnsi="Book Antiqua" w:cs="Arial"/>
        </w:rPr>
        <w:t>REDD+</w:t>
      </w:r>
      <w:r w:rsidRPr="000F0314">
        <w:rPr>
          <w:rFonts w:ascii="Book Antiqua" w:hAnsi="Book Antiqua" w:cs="Arial"/>
        </w:rPr>
        <w:t xml:space="preserve"> concept is new and hence no country has experience working with it. Under </w:t>
      </w:r>
      <w:r w:rsidR="001B6D90">
        <w:rPr>
          <w:rFonts w:ascii="Book Antiqua" w:hAnsi="Book Antiqua" w:cs="Arial"/>
        </w:rPr>
        <w:t>REDD+</w:t>
      </w:r>
      <w:r w:rsidRPr="000F0314">
        <w:rPr>
          <w:rFonts w:ascii="Book Antiqua" w:hAnsi="Book Antiqua" w:cs="Arial"/>
        </w:rPr>
        <w:t xml:space="preserve">, international stakeholders </w:t>
      </w:r>
      <w:r w:rsidR="00CB053D" w:rsidRPr="000F0314">
        <w:rPr>
          <w:rFonts w:ascii="Book Antiqua" w:hAnsi="Book Antiqua" w:cs="Arial"/>
        </w:rPr>
        <w:t xml:space="preserve">will </w:t>
      </w:r>
      <w:r w:rsidRPr="000F0314">
        <w:rPr>
          <w:rFonts w:ascii="Book Antiqua" w:hAnsi="Book Antiqua" w:cs="Arial"/>
        </w:rPr>
        <w:t xml:space="preserve">have specific expectations concerning processes that ensure linkage to performance, transparency and equity.  Such expectations imply the need for a participatory management model with the involvement of social and civil society groups.  </w:t>
      </w:r>
    </w:p>
    <w:p w:rsidR="00104230" w:rsidRPr="00445F77" w:rsidRDefault="00104230" w:rsidP="008F6D17">
      <w:pPr>
        <w:spacing w:after="0" w:line="300" w:lineRule="atLeast"/>
        <w:jc w:val="both"/>
        <w:rPr>
          <w:rFonts w:ascii="Arial" w:hAnsi="Arial" w:cs="Arial"/>
          <w:sz w:val="24"/>
          <w:szCs w:val="24"/>
        </w:rPr>
      </w:pPr>
    </w:p>
    <w:p w:rsidR="007A3B98" w:rsidRPr="00445F77" w:rsidRDefault="007A3B98" w:rsidP="008F6D17">
      <w:pPr>
        <w:pStyle w:val="Heading3"/>
        <w:spacing w:before="0" w:after="0"/>
        <w:rPr>
          <w:rFonts w:ascii="Arial" w:hAnsi="Arial" w:cs="Arial"/>
        </w:rPr>
      </w:pPr>
      <w:bookmarkStart w:id="122" w:name="_Toc244735049"/>
      <w:bookmarkStart w:id="123" w:name="_Toc245810435"/>
      <w:bookmarkStart w:id="124" w:name="_Toc249078684"/>
      <w:bookmarkStart w:id="125" w:name="_Toc249079520"/>
      <w:r w:rsidRPr="00445F77">
        <w:rPr>
          <w:rFonts w:ascii="Arial" w:hAnsi="Arial" w:cs="Arial"/>
        </w:rPr>
        <w:t xml:space="preserve">Classification of </w:t>
      </w:r>
      <w:r w:rsidR="00480D3D">
        <w:rPr>
          <w:rFonts w:ascii="Arial" w:hAnsi="Arial" w:cs="Arial"/>
        </w:rPr>
        <w:t>REDD+</w:t>
      </w:r>
      <w:r w:rsidRPr="00445F77">
        <w:rPr>
          <w:rFonts w:ascii="Arial" w:hAnsi="Arial" w:cs="Arial"/>
        </w:rPr>
        <w:t xml:space="preserve"> revenues</w:t>
      </w:r>
      <w:bookmarkEnd w:id="122"/>
      <w:bookmarkEnd w:id="123"/>
      <w:bookmarkEnd w:id="124"/>
      <w:bookmarkEnd w:id="125"/>
    </w:p>
    <w:p w:rsidR="007A3B98" w:rsidRPr="000F0314" w:rsidRDefault="007A3B98" w:rsidP="008F6D17">
      <w:pPr>
        <w:spacing w:after="0" w:line="300" w:lineRule="exact"/>
        <w:jc w:val="both"/>
        <w:rPr>
          <w:rFonts w:ascii="Book Antiqua" w:eastAsia="MS Mincho" w:hAnsi="Book Antiqua" w:cs="Arial"/>
        </w:rPr>
      </w:pPr>
      <w:r w:rsidRPr="000F0314">
        <w:rPr>
          <w:rFonts w:ascii="Book Antiqua" w:eastAsia="MS Mincho" w:hAnsi="Book Antiqua" w:cs="Arial"/>
        </w:rPr>
        <w:t xml:space="preserve">To enable </w:t>
      </w:r>
      <w:r w:rsidR="001B6D90">
        <w:rPr>
          <w:rFonts w:ascii="Book Antiqua" w:eastAsia="MS Mincho" w:hAnsi="Book Antiqua" w:cs="Arial"/>
        </w:rPr>
        <w:t>REDD+</w:t>
      </w:r>
      <w:r w:rsidRPr="000F0314">
        <w:rPr>
          <w:rFonts w:ascii="Book Antiqua" w:eastAsia="MS Mincho" w:hAnsi="Book Antiqua" w:cs="Arial"/>
        </w:rPr>
        <w:t xml:space="preserve"> revenues to be clearly handled and separated from other forms of government and national income they will have to be </w:t>
      </w:r>
      <w:r w:rsidR="00C03D5F">
        <w:rPr>
          <w:rFonts w:ascii="Book Antiqua" w:eastAsia="MS Mincho" w:hAnsi="Book Antiqua" w:cs="Arial"/>
        </w:rPr>
        <w:t>legally characterized</w:t>
      </w:r>
      <w:r w:rsidRPr="000F0314">
        <w:rPr>
          <w:rFonts w:ascii="Book Antiqua" w:eastAsia="MS Mincho" w:hAnsi="Book Antiqua" w:cs="Arial"/>
        </w:rPr>
        <w:t xml:space="preserve"> appropriately. </w:t>
      </w:r>
      <w:r w:rsidR="001B6D90">
        <w:rPr>
          <w:rFonts w:ascii="Book Antiqua" w:eastAsia="MS Mincho" w:hAnsi="Book Antiqua" w:cs="Arial"/>
        </w:rPr>
        <w:t>REDD+</w:t>
      </w:r>
      <w:r w:rsidRPr="000F0314">
        <w:rPr>
          <w:rFonts w:ascii="Book Antiqua" w:eastAsia="MS Mincho" w:hAnsi="Book Antiqua" w:cs="Arial"/>
        </w:rPr>
        <w:t xml:space="preserve"> revenues are not development cooperation activities between Government of the Socialist Republic of </w:t>
      </w:r>
      <w:r w:rsidR="00480D3D">
        <w:rPr>
          <w:rFonts w:ascii="Book Antiqua" w:eastAsia="MS Mincho" w:hAnsi="Book Antiqua" w:cs="Arial"/>
        </w:rPr>
        <w:t>Viet Nam</w:t>
      </w:r>
      <w:r w:rsidRPr="000F0314">
        <w:rPr>
          <w:rFonts w:ascii="Book Antiqua" w:eastAsia="MS Mincho" w:hAnsi="Book Antiqua" w:cs="Arial"/>
        </w:rPr>
        <w:t xml:space="preserve"> and the donors, which are foreign governments; bilateral donors and multilateral or inter-state organisations as set out in Decree 131/2006/ND-CP of November 9, 2006 on ODA Management and Utilization.  </w:t>
      </w:r>
      <w:r w:rsidR="00C03D5F">
        <w:rPr>
          <w:rFonts w:ascii="Book Antiqua" w:eastAsia="MS Mincho" w:hAnsi="Book Antiqua" w:cs="Arial"/>
        </w:rPr>
        <w:t xml:space="preserve">Therefore, </w:t>
      </w:r>
      <w:r w:rsidR="001B6D90">
        <w:rPr>
          <w:rFonts w:ascii="Book Antiqua" w:eastAsia="MS Mincho" w:hAnsi="Book Antiqua" w:cs="Arial"/>
        </w:rPr>
        <w:t>REDD+</w:t>
      </w:r>
      <w:r w:rsidRPr="000F0314">
        <w:rPr>
          <w:rFonts w:ascii="Book Antiqua" w:eastAsia="MS Mincho" w:hAnsi="Book Antiqua" w:cs="Arial"/>
        </w:rPr>
        <w:t xml:space="preserve"> revenues would clearly not be ODA. </w:t>
      </w:r>
    </w:p>
    <w:p w:rsidR="007A3B98" w:rsidRPr="000F0314" w:rsidRDefault="007A3B98" w:rsidP="007A3B98">
      <w:pPr>
        <w:spacing w:after="0" w:line="300" w:lineRule="exact"/>
        <w:jc w:val="both"/>
        <w:rPr>
          <w:rFonts w:ascii="Book Antiqua" w:eastAsia="MS Mincho" w:hAnsi="Book Antiqua" w:cs="Arial"/>
        </w:rPr>
      </w:pPr>
    </w:p>
    <w:p w:rsidR="007A3B98" w:rsidRPr="000F0314" w:rsidRDefault="007A3B98" w:rsidP="007A3B98">
      <w:pPr>
        <w:spacing w:after="0" w:line="300" w:lineRule="exact"/>
        <w:jc w:val="both"/>
        <w:rPr>
          <w:rFonts w:ascii="Book Antiqua" w:eastAsia="MS Mincho" w:hAnsi="Book Antiqua" w:cs="Arial"/>
        </w:rPr>
      </w:pPr>
      <w:r w:rsidRPr="000F0314">
        <w:rPr>
          <w:rFonts w:ascii="Book Antiqua" w:eastAsia="MS Mincho" w:hAnsi="Book Antiqua" w:cs="Arial"/>
        </w:rPr>
        <w:t xml:space="preserve">Similarly, since </w:t>
      </w:r>
      <w:r w:rsidR="00480D3D">
        <w:rPr>
          <w:rFonts w:ascii="Book Antiqua" w:eastAsia="MS Mincho" w:hAnsi="Book Antiqua" w:cs="Arial"/>
        </w:rPr>
        <w:t>REDD+</w:t>
      </w:r>
      <w:r w:rsidRPr="000F0314">
        <w:rPr>
          <w:rFonts w:ascii="Book Antiqua" w:eastAsia="MS Mincho" w:hAnsi="Book Antiqua" w:cs="Arial"/>
        </w:rPr>
        <w:t xml:space="preserve"> revenues would come primarily from </w:t>
      </w:r>
      <w:r w:rsidR="00C03D5F">
        <w:rPr>
          <w:rFonts w:ascii="Book Antiqua" w:eastAsia="MS Mincho" w:hAnsi="Book Antiqua" w:cs="Arial"/>
        </w:rPr>
        <w:t xml:space="preserve">developed country governments or from </w:t>
      </w:r>
      <w:r w:rsidRPr="000F0314">
        <w:rPr>
          <w:rFonts w:ascii="Book Antiqua" w:eastAsia="MS Mincho" w:hAnsi="Book Antiqua" w:cs="Arial"/>
        </w:rPr>
        <w:t>business</w:t>
      </w:r>
      <w:r w:rsidR="00C03D5F">
        <w:rPr>
          <w:rFonts w:ascii="Book Antiqua" w:eastAsia="MS Mincho" w:hAnsi="Book Antiqua" w:cs="Arial"/>
        </w:rPr>
        <w:t xml:space="preserve"> entities in developed countries assigned emission reduction targets by their governments,</w:t>
      </w:r>
      <w:r w:rsidRPr="000F0314">
        <w:rPr>
          <w:rFonts w:ascii="Book Antiqua" w:eastAsia="MS Mincho" w:hAnsi="Book Antiqua" w:cs="Arial"/>
        </w:rPr>
        <w:t xml:space="preserve"> they would not be subject to Decision 64/2001/QD-TTg on Issuance of the Regulation on the Management and Utilization of Aid from International Non-governmental Organizations (NGOs).</w:t>
      </w:r>
      <w:r w:rsidR="007C38DB">
        <w:rPr>
          <w:rFonts w:ascii="Book Antiqua" w:eastAsia="MS Mincho" w:hAnsi="Book Antiqua" w:cs="Arial"/>
        </w:rPr>
        <w:t xml:space="preserve">  </w:t>
      </w:r>
      <w:r w:rsidR="00480D3D">
        <w:rPr>
          <w:rFonts w:ascii="Book Antiqua" w:eastAsia="MS Mincho" w:hAnsi="Book Antiqua" w:cs="Arial"/>
        </w:rPr>
        <w:t>REDD+</w:t>
      </w:r>
      <w:r w:rsidRPr="000F0314">
        <w:rPr>
          <w:rFonts w:ascii="Book Antiqua" w:eastAsia="MS Mincho" w:hAnsi="Book Antiqua" w:cs="Arial"/>
        </w:rPr>
        <w:t xml:space="preserve"> revenue would more closely resemble Foreign Direct Investment (FDI), which is usually defined as investment of foreign assets into domestic structures, equipment, and organizations.  </w:t>
      </w:r>
    </w:p>
    <w:p w:rsidR="007A3B98" w:rsidRPr="000F0314" w:rsidRDefault="007A3B98" w:rsidP="007A3B98">
      <w:pPr>
        <w:spacing w:after="0" w:line="300" w:lineRule="exact"/>
        <w:jc w:val="both"/>
        <w:rPr>
          <w:rFonts w:ascii="Book Antiqua" w:hAnsi="Book Antiqua" w:cs="Arial"/>
        </w:rPr>
      </w:pPr>
    </w:p>
    <w:p w:rsidR="007A3B98" w:rsidRPr="000F0314" w:rsidRDefault="007A3B98" w:rsidP="007A3B98">
      <w:pPr>
        <w:spacing w:after="0" w:line="300" w:lineRule="exact"/>
        <w:jc w:val="both"/>
        <w:rPr>
          <w:rFonts w:ascii="Book Antiqua" w:eastAsia="MS Mincho" w:hAnsi="Book Antiqua" w:cs="Arial"/>
        </w:rPr>
      </w:pPr>
      <w:r w:rsidRPr="000F0314">
        <w:rPr>
          <w:rFonts w:ascii="Book Antiqua" w:hAnsi="Book Antiqua" w:cs="Arial"/>
        </w:rPr>
        <w:t>It is clear that</w:t>
      </w:r>
      <w:r w:rsidR="00351F2C" w:rsidRPr="000F0314">
        <w:rPr>
          <w:rFonts w:ascii="Book Antiqua" w:hAnsi="Book Antiqua" w:cs="Arial"/>
        </w:rPr>
        <w:t xml:space="preserve"> it would be best for </w:t>
      </w:r>
      <w:r w:rsidR="001B6D90">
        <w:rPr>
          <w:rFonts w:ascii="Book Antiqua" w:hAnsi="Book Antiqua" w:cs="Arial"/>
        </w:rPr>
        <w:t>REDD+</w:t>
      </w:r>
      <w:r w:rsidR="00351F2C" w:rsidRPr="000F0314">
        <w:rPr>
          <w:rFonts w:ascii="Book Antiqua" w:hAnsi="Book Antiqua" w:cs="Arial"/>
        </w:rPr>
        <w:t xml:space="preserve"> revenues </w:t>
      </w:r>
      <w:r w:rsidR="00CB053D" w:rsidRPr="000F0314">
        <w:rPr>
          <w:rFonts w:ascii="Book Antiqua" w:hAnsi="Book Antiqua" w:cs="Arial"/>
        </w:rPr>
        <w:t xml:space="preserve">not </w:t>
      </w:r>
      <w:r w:rsidR="00351F2C" w:rsidRPr="000F0314">
        <w:rPr>
          <w:rFonts w:ascii="Book Antiqua" w:hAnsi="Book Antiqua" w:cs="Arial"/>
        </w:rPr>
        <w:t xml:space="preserve">to be </w:t>
      </w:r>
      <w:r w:rsidR="00CB053D" w:rsidRPr="000F0314">
        <w:rPr>
          <w:rFonts w:ascii="Book Antiqua" w:hAnsi="Book Antiqua" w:cs="Arial"/>
        </w:rPr>
        <w:t>considered a</w:t>
      </w:r>
      <w:r w:rsidR="00351F2C" w:rsidRPr="000F0314">
        <w:rPr>
          <w:rFonts w:ascii="Book Antiqua" w:hAnsi="Book Antiqua" w:cs="Arial"/>
        </w:rPr>
        <w:t xml:space="preserve">s </w:t>
      </w:r>
      <w:r w:rsidR="00CB053D" w:rsidRPr="000F0314">
        <w:rPr>
          <w:rFonts w:ascii="Book Antiqua" w:hAnsi="Book Antiqua" w:cs="Arial"/>
        </w:rPr>
        <w:t>state budget, but rather</w:t>
      </w:r>
      <w:r w:rsidR="00351F2C" w:rsidRPr="000F0314">
        <w:rPr>
          <w:rFonts w:ascii="Book Antiqua" w:hAnsi="Book Antiqua" w:cs="Arial"/>
        </w:rPr>
        <w:t xml:space="preserve"> transferred to </w:t>
      </w:r>
      <w:r w:rsidR="00CB053D" w:rsidRPr="000F0314">
        <w:rPr>
          <w:rFonts w:ascii="Book Antiqua" w:hAnsi="Book Antiqua" w:cs="Arial"/>
        </w:rPr>
        <w:t xml:space="preserve">a specific fund.  </w:t>
      </w:r>
      <w:r w:rsidRPr="000F0314">
        <w:rPr>
          <w:rFonts w:ascii="Book Antiqua" w:hAnsi="Book Antiqua" w:cs="Arial"/>
        </w:rPr>
        <w:t xml:space="preserve">One such fund, the FDPF, is already established at national and provincial levels, has strong MARD support and already receives funds </w:t>
      </w:r>
      <w:r w:rsidRPr="000F0314">
        <w:rPr>
          <w:rFonts w:ascii="Book Antiqua" w:hAnsi="Book Antiqua" w:cs="Arial"/>
        </w:rPr>
        <w:lastRenderedPageBreak/>
        <w:t xml:space="preserve">from non-government and external sources.  The establishment of a </w:t>
      </w:r>
      <w:r w:rsidR="001B6D90">
        <w:rPr>
          <w:rFonts w:ascii="Book Antiqua" w:hAnsi="Book Antiqua" w:cs="Arial"/>
        </w:rPr>
        <w:t>REDD+</w:t>
      </w:r>
      <w:r w:rsidRPr="000F0314">
        <w:rPr>
          <w:rFonts w:ascii="Book Antiqua" w:hAnsi="Book Antiqua" w:cs="Arial"/>
        </w:rPr>
        <w:t xml:space="preserve"> sub-fund under the FCPF would satisfy many of the conditions that international stakeholders would want in order to inspire confidence in </w:t>
      </w:r>
      <w:r w:rsidR="001B6D90">
        <w:rPr>
          <w:rFonts w:ascii="Book Antiqua" w:hAnsi="Book Antiqua" w:cs="Arial"/>
        </w:rPr>
        <w:t>REDD+</w:t>
      </w:r>
      <w:r w:rsidRPr="000F0314">
        <w:rPr>
          <w:rFonts w:ascii="Book Antiqua" w:hAnsi="Book Antiqua" w:cs="Arial"/>
        </w:rPr>
        <w:t xml:space="preserve"> investments.  However, the FPDF is government-managed with no independent oversight or scrutiny, which may raise concerns over transparency and equity.  </w:t>
      </w:r>
    </w:p>
    <w:p w:rsidR="007A3B98" w:rsidRPr="000F0314" w:rsidRDefault="007A3B98" w:rsidP="007A3B98">
      <w:pPr>
        <w:spacing w:after="0" w:line="300" w:lineRule="exact"/>
        <w:jc w:val="both"/>
        <w:rPr>
          <w:rFonts w:ascii="Book Antiqua" w:eastAsia="MS Mincho" w:hAnsi="Book Antiqua" w:cs="Arial"/>
        </w:rPr>
      </w:pPr>
    </w:p>
    <w:p w:rsidR="007A3B98" w:rsidRPr="000F0314" w:rsidRDefault="007A3B98" w:rsidP="007A3B98">
      <w:pPr>
        <w:spacing w:after="0" w:line="300" w:lineRule="atLeast"/>
        <w:jc w:val="both"/>
        <w:rPr>
          <w:rFonts w:ascii="Book Antiqua" w:eastAsia="MS Mincho" w:hAnsi="Book Antiqua" w:cs="Arial"/>
        </w:rPr>
      </w:pPr>
      <w:r w:rsidRPr="000F0314">
        <w:rPr>
          <w:rFonts w:ascii="Book Antiqua" w:hAnsi="Book Antiqua" w:cs="Arial"/>
        </w:rPr>
        <w:t xml:space="preserve">Other funds exist which do allow non-government participation in their governance, for example, the TFF, established through an Official letter, 850/CP-NN, dated 23rd June 2004, under which a representative of the donors sits on the Board of Directors.  Thus, another option would be to </w:t>
      </w:r>
      <w:r w:rsidRPr="000F0314">
        <w:rPr>
          <w:rFonts w:ascii="Book Antiqua" w:eastAsia="MS Mincho" w:hAnsi="Book Antiqua" w:cs="Arial"/>
        </w:rPr>
        <w:t>establish a new entity such as a “</w:t>
      </w:r>
      <w:r w:rsidR="00480D3D">
        <w:rPr>
          <w:rFonts w:ascii="Book Antiqua" w:eastAsia="MS Mincho" w:hAnsi="Book Antiqua" w:cs="Arial"/>
        </w:rPr>
        <w:t>Viet Nam</w:t>
      </w:r>
      <w:r w:rsidRPr="000F0314">
        <w:rPr>
          <w:rFonts w:ascii="Book Antiqua" w:eastAsia="MS Mincho" w:hAnsi="Book Antiqua" w:cs="Arial"/>
        </w:rPr>
        <w:t xml:space="preserve"> Carbon Fund” to handle </w:t>
      </w:r>
      <w:r w:rsidR="00480D3D">
        <w:rPr>
          <w:rFonts w:ascii="Book Antiqua" w:eastAsia="MS Mincho" w:hAnsi="Book Antiqua" w:cs="Arial"/>
        </w:rPr>
        <w:t>REDD+</w:t>
      </w:r>
      <w:r w:rsidRPr="000F0314">
        <w:rPr>
          <w:rFonts w:ascii="Book Antiqua" w:eastAsia="MS Mincho" w:hAnsi="Book Antiqua" w:cs="Arial"/>
        </w:rPr>
        <w:t xml:space="preserve"> payments.  That would have the advantage of being able to tailor the design to the international </w:t>
      </w:r>
      <w:r w:rsidR="00480D3D">
        <w:rPr>
          <w:rFonts w:ascii="Book Antiqua" w:eastAsia="MS Mincho" w:hAnsi="Book Antiqua" w:cs="Arial"/>
        </w:rPr>
        <w:t>REDD+</w:t>
      </w:r>
      <w:r w:rsidRPr="000F0314">
        <w:rPr>
          <w:rFonts w:ascii="Book Antiqua" w:eastAsia="MS Mincho" w:hAnsi="Book Antiqua" w:cs="Arial"/>
        </w:rPr>
        <w:t xml:space="preserve"> rules and regulations when these are clarified.  One disadvantage could be that a new fund would need to </w:t>
      </w:r>
      <w:r w:rsidR="009B54BA">
        <w:rPr>
          <w:rFonts w:ascii="Book Antiqua" w:eastAsia="MS Mincho" w:hAnsi="Book Antiqua" w:cs="Arial"/>
        </w:rPr>
        <w:t xml:space="preserve">be </w:t>
      </w:r>
      <w:r w:rsidRPr="000F0314">
        <w:rPr>
          <w:rFonts w:ascii="Book Antiqua" w:eastAsia="MS Mincho" w:hAnsi="Book Antiqua" w:cs="Arial"/>
        </w:rPr>
        <w:t>created and could be seen as competing with the FPD</w:t>
      </w:r>
      <w:r w:rsidR="009B54BA">
        <w:rPr>
          <w:rFonts w:ascii="Book Antiqua" w:eastAsia="MS Mincho" w:hAnsi="Book Antiqua" w:cs="Arial"/>
        </w:rPr>
        <w:t>F</w:t>
      </w:r>
      <w:r w:rsidRPr="000F0314">
        <w:rPr>
          <w:rFonts w:ascii="Book Antiqua" w:eastAsia="MS Mincho" w:hAnsi="Book Antiqua" w:cs="Arial"/>
        </w:rPr>
        <w:t xml:space="preserve">.  </w:t>
      </w:r>
    </w:p>
    <w:p w:rsidR="007A3B98" w:rsidRPr="000F0314" w:rsidRDefault="007A3B98" w:rsidP="007A3B98">
      <w:pPr>
        <w:spacing w:after="0" w:line="300" w:lineRule="atLeast"/>
        <w:jc w:val="both"/>
        <w:rPr>
          <w:rFonts w:ascii="Book Antiqua" w:hAnsi="Book Antiqua" w:cs="Arial"/>
        </w:rPr>
      </w:pPr>
    </w:p>
    <w:p w:rsidR="00351F2C" w:rsidRPr="000F0314" w:rsidRDefault="007A3B98" w:rsidP="00A256CB">
      <w:pPr>
        <w:spacing w:after="0" w:line="300" w:lineRule="atLeast"/>
        <w:jc w:val="both"/>
        <w:rPr>
          <w:rFonts w:ascii="Book Antiqua" w:hAnsi="Book Antiqua" w:cs="Arial"/>
        </w:rPr>
      </w:pPr>
      <w:r w:rsidRPr="000F0314">
        <w:rPr>
          <w:rFonts w:ascii="Book Antiqua" w:hAnsi="Book Antiqua" w:cs="Arial"/>
        </w:rPr>
        <w:t>In comparing these</w:t>
      </w:r>
      <w:r w:rsidR="00273EA4" w:rsidRPr="000F0314">
        <w:rPr>
          <w:rFonts w:ascii="Book Antiqua" w:hAnsi="Book Antiqua" w:cs="Arial"/>
        </w:rPr>
        <w:t xml:space="preserve"> two options</w:t>
      </w:r>
      <w:r w:rsidRPr="000F0314">
        <w:rPr>
          <w:rFonts w:ascii="Book Antiqua" w:hAnsi="Book Antiqua" w:cs="Arial"/>
        </w:rPr>
        <w:t xml:space="preserve">, the first would require an amendment to </w:t>
      </w:r>
      <w:r w:rsidR="00273EA4" w:rsidRPr="000F0314">
        <w:rPr>
          <w:rFonts w:ascii="Book Antiqua" w:hAnsi="Book Antiqua" w:cs="Arial"/>
        </w:rPr>
        <w:t xml:space="preserve">the FPDF to permit civil society participation in the governance structures of national and provincial funds, at least for </w:t>
      </w:r>
      <w:r w:rsidR="001B6D90">
        <w:rPr>
          <w:rFonts w:ascii="Book Antiqua" w:hAnsi="Book Antiqua" w:cs="Arial"/>
        </w:rPr>
        <w:t>REDD+</w:t>
      </w:r>
      <w:r w:rsidR="00273EA4" w:rsidRPr="000F0314">
        <w:rPr>
          <w:rFonts w:ascii="Book Antiqua" w:hAnsi="Book Antiqua" w:cs="Arial"/>
        </w:rPr>
        <w:t xml:space="preserve"> sub-funds.  Such changes would certainly</w:t>
      </w:r>
      <w:r w:rsidR="00351F2C" w:rsidRPr="000F0314">
        <w:rPr>
          <w:rFonts w:ascii="Book Antiqua" w:hAnsi="Book Antiqua" w:cs="Arial"/>
        </w:rPr>
        <w:t xml:space="preserve"> take time</w:t>
      </w:r>
      <w:r w:rsidR="00273EA4" w:rsidRPr="000F0314">
        <w:rPr>
          <w:rFonts w:ascii="Book Antiqua" w:hAnsi="Book Antiqua" w:cs="Arial"/>
        </w:rPr>
        <w:t xml:space="preserve"> to effect, so </w:t>
      </w:r>
      <w:r w:rsidR="0046208F" w:rsidRPr="000F0314">
        <w:rPr>
          <w:rFonts w:ascii="Book Antiqua" w:hAnsi="Book Antiqua" w:cs="Arial"/>
        </w:rPr>
        <w:t xml:space="preserve">the </w:t>
      </w:r>
      <w:r w:rsidR="00273EA4" w:rsidRPr="000F0314">
        <w:rPr>
          <w:rFonts w:ascii="Book Antiqua" w:hAnsi="Book Antiqua" w:cs="Arial"/>
        </w:rPr>
        <w:t xml:space="preserve">alternative, a new legal instrument establishing new, stand-alone </w:t>
      </w:r>
      <w:r w:rsidR="001B6D90">
        <w:rPr>
          <w:rFonts w:ascii="Book Antiqua" w:hAnsi="Book Antiqua" w:cs="Arial"/>
        </w:rPr>
        <w:t>REDD+</w:t>
      </w:r>
      <w:r w:rsidR="00273EA4" w:rsidRPr="000F0314">
        <w:rPr>
          <w:rFonts w:ascii="Book Antiqua" w:hAnsi="Book Antiqua" w:cs="Arial"/>
        </w:rPr>
        <w:t xml:space="preserve"> funds at national and sub-national levels</w:t>
      </w:r>
      <w:r w:rsidR="0046208F" w:rsidRPr="000F0314">
        <w:rPr>
          <w:rFonts w:ascii="Book Antiqua" w:hAnsi="Book Antiqua" w:cs="Arial"/>
        </w:rPr>
        <w:t xml:space="preserve">, </w:t>
      </w:r>
      <w:r w:rsidR="00273EA4" w:rsidRPr="000F0314">
        <w:rPr>
          <w:rFonts w:ascii="Book Antiqua" w:hAnsi="Book Antiqua" w:cs="Arial"/>
        </w:rPr>
        <w:t>might be simpler</w:t>
      </w:r>
      <w:r w:rsidR="0046208F" w:rsidRPr="000F0314">
        <w:rPr>
          <w:rFonts w:ascii="Book Antiqua" w:hAnsi="Book Antiqua" w:cs="Arial"/>
        </w:rPr>
        <w:t xml:space="preserve"> (see </w:t>
      </w:r>
      <w:r w:rsidR="00F5648E">
        <w:rPr>
          <w:rFonts w:ascii="Book Antiqua" w:hAnsi="Book Antiqua" w:cs="Arial"/>
        </w:rPr>
        <w:t>Policy Decision</w:t>
      </w:r>
      <w:r w:rsidR="0046208F" w:rsidRPr="000F0314">
        <w:rPr>
          <w:rFonts w:ascii="Book Antiqua" w:hAnsi="Book Antiqua" w:cs="Arial"/>
        </w:rPr>
        <w:t xml:space="preserve"> 3.1)</w:t>
      </w:r>
      <w:r w:rsidR="00351F2C" w:rsidRPr="000F0314">
        <w:rPr>
          <w:rFonts w:ascii="Book Antiqua" w:hAnsi="Book Antiqua" w:cs="Arial"/>
        </w:rPr>
        <w:t xml:space="preserve">. Further research on fund monitoring systems that comply </w:t>
      </w:r>
      <w:r w:rsidR="00351F2C" w:rsidRPr="0055505A">
        <w:rPr>
          <w:rFonts w:ascii="Book Antiqua" w:hAnsi="Book Antiqua" w:cs="Arial"/>
        </w:rPr>
        <w:t xml:space="preserve">with existing legal frameworks and meet the international demand will be required.  </w:t>
      </w:r>
      <w:r w:rsidR="00622B26" w:rsidRPr="0055505A">
        <w:rPr>
          <w:rFonts w:ascii="Book Antiqua" w:hAnsi="Book Antiqua" w:cs="Arial"/>
        </w:rPr>
        <w:t xml:space="preserve">Further analysis of options for management of </w:t>
      </w:r>
      <w:r w:rsidR="001B6D90" w:rsidRPr="0055505A">
        <w:rPr>
          <w:rFonts w:ascii="Book Antiqua" w:hAnsi="Book Antiqua" w:cs="Arial"/>
        </w:rPr>
        <w:t>REDD+</w:t>
      </w:r>
      <w:r w:rsidR="00622B26" w:rsidRPr="0055505A">
        <w:rPr>
          <w:rFonts w:ascii="Book Antiqua" w:hAnsi="Book Antiqua" w:cs="Arial"/>
        </w:rPr>
        <w:t xml:space="preserve"> revenues is </w:t>
      </w:r>
      <w:r w:rsidR="0046208F" w:rsidRPr="0055505A">
        <w:rPr>
          <w:rFonts w:ascii="Book Antiqua" w:hAnsi="Book Antiqua" w:cs="Arial"/>
        </w:rPr>
        <w:t xml:space="preserve">also </w:t>
      </w:r>
      <w:r w:rsidR="00622B26" w:rsidRPr="0055505A">
        <w:rPr>
          <w:rFonts w:ascii="Book Antiqua" w:hAnsi="Book Antiqua" w:cs="Arial"/>
        </w:rPr>
        <w:t xml:space="preserve">provided in section </w:t>
      </w:r>
      <w:r w:rsidR="0055505A" w:rsidRPr="0055505A">
        <w:rPr>
          <w:rFonts w:ascii="Book Antiqua" w:hAnsi="Book Antiqua" w:cs="Arial"/>
        </w:rPr>
        <w:t>4.4</w:t>
      </w:r>
      <w:r w:rsidR="00622B26" w:rsidRPr="0055505A">
        <w:rPr>
          <w:rFonts w:ascii="Book Antiqua" w:hAnsi="Book Antiqua" w:cs="Arial"/>
        </w:rPr>
        <w:t>.</w:t>
      </w:r>
    </w:p>
    <w:p w:rsidR="00351F2C" w:rsidRPr="00445F77" w:rsidRDefault="00351F2C" w:rsidP="00A256CB">
      <w:pPr>
        <w:spacing w:after="0" w:line="300" w:lineRule="atLeast"/>
        <w:jc w:val="both"/>
        <w:rPr>
          <w:rFonts w:ascii="Arial" w:hAnsi="Arial" w:cs="Arial"/>
          <w:sz w:val="24"/>
          <w:szCs w:val="24"/>
        </w:rPr>
      </w:pPr>
    </w:p>
    <w:tbl>
      <w:tblPr>
        <w:tblW w:w="5000" w:type="pct"/>
        <w:jc w:val="right"/>
        <w:tblBorders>
          <w:insideH w:val="single" w:sz="24" w:space="0" w:color="FFFFFF"/>
          <w:insideV w:val="single" w:sz="24" w:space="0" w:color="FFFFFF"/>
        </w:tblBorders>
        <w:tblLook w:val="00A0"/>
      </w:tblPr>
      <w:tblGrid>
        <w:gridCol w:w="1729"/>
        <w:gridCol w:w="7275"/>
      </w:tblGrid>
      <w:tr w:rsidR="0046208F" w:rsidRPr="00445F77">
        <w:trPr>
          <w:tblHeader/>
          <w:jc w:val="right"/>
        </w:trPr>
        <w:tc>
          <w:tcPr>
            <w:tcW w:w="5000" w:type="pct"/>
            <w:gridSpan w:val="2"/>
            <w:tcBorders>
              <w:top w:val="single" w:sz="24" w:space="0" w:color="FFFFFF"/>
              <w:bottom w:val="single" w:sz="24" w:space="0" w:color="FFFFFF"/>
            </w:tcBorders>
            <w:shd w:val="clear" w:color="auto" w:fill="76923C"/>
            <w:vAlign w:val="center"/>
          </w:tcPr>
          <w:p w:rsidR="0046208F" w:rsidRPr="000F0314" w:rsidRDefault="0046208F" w:rsidP="00513A9F">
            <w:pPr>
              <w:spacing w:after="0" w:line="240" w:lineRule="auto"/>
              <w:jc w:val="center"/>
              <w:rPr>
                <w:rFonts w:ascii="Book Antiqua" w:hAnsi="Book Antiqua" w:cs="Arial"/>
                <w:b/>
                <w:color w:val="FFFFFF"/>
                <w:sz w:val="24"/>
                <w:szCs w:val="24"/>
              </w:rPr>
            </w:pPr>
            <w:r w:rsidRPr="000F0314">
              <w:rPr>
                <w:rFonts w:ascii="Book Antiqua" w:hAnsi="Book Antiqua" w:cs="Arial"/>
                <w:b/>
                <w:color w:val="FFFFFF"/>
                <w:sz w:val="24"/>
                <w:szCs w:val="24"/>
              </w:rPr>
              <w:t>POLICY DECISION 3.1</w:t>
            </w:r>
          </w:p>
          <w:p w:rsidR="0046208F" w:rsidRPr="00445F77" w:rsidRDefault="0046208F" w:rsidP="00513A9F">
            <w:pPr>
              <w:spacing w:after="0" w:line="240" w:lineRule="auto"/>
              <w:jc w:val="center"/>
              <w:rPr>
                <w:rFonts w:ascii="Arial" w:hAnsi="Arial" w:cs="Arial"/>
                <w:b/>
                <w:color w:val="FFFFFF"/>
                <w:sz w:val="24"/>
                <w:szCs w:val="24"/>
              </w:rPr>
            </w:pPr>
            <w:r w:rsidRPr="000F0314">
              <w:rPr>
                <w:rFonts w:ascii="Book Antiqua" w:hAnsi="Book Antiqua" w:cs="Arial"/>
                <w:b/>
                <w:color w:val="FFFFFF"/>
                <w:sz w:val="24"/>
                <w:szCs w:val="24"/>
              </w:rPr>
              <w:t xml:space="preserve">Classification of </w:t>
            </w:r>
            <w:r w:rsidR="001B6D90">
              <w:rPr>
                <w:rFonts w:ascii="Book Antiqua" w:hAnsi="Book Antiqua" w:cs="Arial"/>
                <w:b/>
                <w:color w:val="FFFFFF"/>
                <w:sz w:val="24"/>
                <w:szCs w:val="24"/>
              </w:rPr>
              <w:t>REDD+</w:t>
            </w:r>
            <w:r w:rsidRPr="000F0314">
              <w:rPr>
                <w:rFonts w:ascii="Book Antiqua" w:hAnsi="Book Antiqua" w:cs="Arial"/>
                <w:b/>
                <w:color w:val="FFFFFF"/>
                <w:sz w:val="24"/>
                <w:szCs w:val="24"/>
              </w:rPr>
              <w:t xml:space="preserve"> revenues and c</w:t>
            </w:r>
            <w:r w:rsidRPr="000F0314">
              <w:rPr>
                <w:rFonts w:ascii="Book Antiqua" w:hAnsi="Book Antiqua" w:cs="Arial"/>
                <w:b/>
                <w:bCs/>
                <w:color w:val="FFFFFF"/>
                <w:sz w:val="24"/>
                <w:szCs w:val="24"/>
              </w:rPr>
              <w:t xml:space="preserve">reation of a dedicated </w:t>
            </w:r>
            <w:r w:rsidR="001B6D90">
              <w:rPr>
                <w:rFonts w:ascii="Book Antiqua" w:hAnsi="Book Antiqua" w:cs="Arial"/>
                <w:b/>
                <w:bCs/>
                <w:color w:val="FFFFFF"/>
                <w:sz w:val="24"/>
                <w:szCs w:val="24"/>
              </w:rPr>
              <w:t>REDD+</w:t>
            </w:r>
            <w:r w:rsidRPr="000F0314">
              <w:rPr>
                <w:rFonts w:ascii="Book Antiqua" w:hAnsi="Book Antiqua" w:cs="Arial"/>
                <w:b/>
                <w:bCs/>
                <w:color w:val="FFFFFF"/>
                <w:sz w:val="24"/>
                <w:szCs w:val="24"/>
              </w:rPr>
              <w:t xml:space="preserve"> fund</w:t>
            </w:r>
          </w:p>
        </w:tc>
      </w:tr>
      <w:tr w:rsidR="00960D53" w:rsidRPr="00445F77">
        <w:trPr>
          <w:jc w:val="right"/>
        </w:trPr>
        <w:tc>
          <w:tcPr>
            <w:tcW w:w="960" w:type="pct"/>
            <w:tcBorders>
              <w:top w:val="single" w:sz="24" w:space="0" w:color="FFFFFF"/>
              <w:bottom w:val="single" w:sz="8" w:space="0" w:color="FFFFFF"/>
              <w:right w:val="single" w:sz="24" w:space="0" w:color="FFFFFF"/>
            </w:tcBorders>
            <w:shd w:val="clear" w:color="auto" w:fill="C2D69B"/>
            <w:vAlign w:val="center"/>
          </w:tcPr>
          <w:p w:rsidR="00960D53" w:rsidRPr="000F0314" w:rsidRDefault="00960D53" w:rsidP="00375121">
            <w:pPr>
              <w:spacing w:after="0" w:line="240" w:lineRule="auto"/>
              <w:rPr>
                <w:rFonts w:ascii="Book Antiqua" w:hAnsi="Book Antiqua" w:cs="Arial"/>
              </w:rPr>
            </w:pPr>
            <w:r w:rsidRPr="000F0314">
              <w:rPr>
                <w:rFonts w:ascii="Book Antiqua" w:hAnsi="Book Antiqua" w:cs="Arial"/>
              </w:rPr>
              <w:t>Issue to be addressed</w:t>
            </w:r>
          </w:p>
        </w:tc>
        <w:tc>
          <w:tcPr>
            <w:tcW w:w="4040" w:type="pct"/>
            <w:tcBorders>
              <w:top w:val="single" w:sz="24" w:space="0" w:color="FFFFFF"/>
              <w:left w:val="single" w:sz="24" w:space="0" w:color="FFFFFF"/>
              <w:bottom w:val="single" w:sz="8" w:space="0" w:color="FFFFFF"/>
            </w:tcBorders>
            <w:shd w:val="clear" w:color="auto" w:fill="D6E3BC"/>
            <w:vAlign w:val="center"/>
          </w:tcPr>
          <w:p w:rsidR="00960D53" w:rsidRPr="003C0FC0" w:rsidRDefault="00960D53" w:rsidP="003561C4">
            <w:pPr>
              <w:spacing w:after="0" w:line="240" w:lineRule="auto"/>
              <w:jc w:val="both"/>
              <w:rPr>
                <w:rFonts w:ascii="Book Antiqua" w:hAnsi="Book Antiqua" w:cs="Arial"/>
              </w:rPr>
            </w:pPr>
            <w:r w:rsidRPr="003C0FC0">
              <w:rPr>
                <w:rFonts w:ascii="Book Antiqua" w:hAnsi="Book Antiqua" w:cs="Arial"/>
              </w:rPr>
              <w:t>An appropriate off-budget mechanism needs to be identified which meets international expectations regarding transparency, equity and performance linkage.  This implies the need to “fire-wall” REDD+ revenues to prevent co-mingling with other sources of funding.  The mechanism also needs to be able to accommodate the disbursement of REDD+ revenues to sub-national and local levels, as well as to follow strict monitoring and performance requirements.</w:t>
            </w:r>
          </w:p>
          <w:p w:rsidR="00960D53" w:rsidRDefault="00960D53" w:rsidP="003561C4">
            <w:pPr>
              <w:spacing w:after="0" w:line="240" w:lineRule="auto"/>
              <w:jc w:val="both"/>
              <w:rPr>
                <w:rFonts w:ascii="Book Antiqua" w:hAnsi="Book Antiqua" w:cs="Arial"/>
              </w:rPr>
            </w:pPr>
          </w:p>
          <w:p w:rsidR="00960D53" w:rsidRPr="003C0FC0" w:rsidRDefault="00960D53" w:rsidP="003561C4">
            <w:pPr>
              <w:spacing w:after="0" w:line="240" w:lineRule="auto"/>
              <w:jc w:val="both"/>
              <w:rPr>
                <w:rFonts w:ascii="Book Antiqua" w:hAnsi="Book Antiqua" w:cs="Arial"/>
              </w:rPr>
            </w:pPr>
            <w:r w:rsidRPr="003C0FC0">
              <w:rPr>
                <w:rFonts w:ascii="Book Antiqua" w:hAnsi="Book Antiqua" w:cs="Arial"/>
              </w:rPr>
              <w:t>Several possible mechanisms exist. One example is the FPDF, created in part to manage PFES revenues, and incorporating a national FPDF mirrored by provincial funds and, potentially, District funds.  The TFF is another example of an off-budget financial mechanism already existing in the forest sector.  The principle of transparent governance of REDD+ revenues implies the need for broad participation in the governance of the revenues which may be difficult to meet under current arrangements.</w:t>
            </w:r>
          </w:p>
        </w:tc>
      </w:tr>
      <w:tr w:rsidR="00960D53" w:rsidRPr="00445F77">
        <w:trPr>
          <w:jc w:val="right"/>
        </w:trPr>
        <w:tc>
          <w:tcPr>
            <w:tcW w:w="960" w:type="pct"/>
            <w:tcBorders>
              <w:top w:val="single" w:sz="8" w:space="0" w:color="FFFFFF"/>
              <w:bottom w:val="single" w:sz="8" w:space="0" w:color="FFFFFF"/>
              <w:right w:val="single" w:sz="24" w:space="0" w:color="FFFFFF"/>
            </w:tcBorders>
            <w:shd w:val="clear" w:color="auto" w:fill="C2D69B"/>
            <w:vAlign w:val="center"/>
          </w:tcPr>
          <w:p w:rsidR="00960D53" w:rsidRPr="000F0314" w:rsidRDefault="00960D53" w:rsidP="00513A9F">
            <w:pPr>
              <w:spacing w:after="0" w:line="240" w:lineRule="auto"/>
              <w:jc w:val="both"/>
              <w:rPr>
                <w:rFonts w:ascii="Book Antiqua" w:hAnsi="Book Antiqua" w:cs="Arial"/>
              </w:rPr>
            </w:pPr>
            <w:r w:rsidRPr="000F0314">
              <w:rPr>
                <w:rFonts w:ascii="Book Antiqua" w:hAnsi="Book Antiqua" w:cs="Arial"/>
              </w:rPr>
              <w:t>Options</w:t>
            </w:r>
          </w:p>
        </w:tc>
        <w:tc>
          <w:tcPr>
            <w:tcW w:w="4040" w:type="pct"/>
            <w:tcBorders>
              <w:top w:val="single" w:sz="8" w:space="0" w:color="FFFFFF"/>
              <w:left w:val="single" w:sz="24" w:space="0" w:color="FFFFFF"/>
              <w:bottom w:val="single" w:sz="8" w:space="0" w:color="FFFFFF"/>
            </w:tcBorders>
            <w:shd w:val="clear" w:color="auto" w:fill="D6E3BC"/>
            <w:vAlign w:val="center"/>
          </w:tcPr>
          <w:p w:rsidR="00960D53" w:rsidRPr="00960D53" w:rsidRDefault="00960D53" w:rsidP="008227FD">
            <w:pPr>
              <w:pStyle w:val="ListParagraph"/>
              <w:numPr>
                <w:ilvl w:val="0"/>
                <w:numId w:val="140"/>
              </w:numPr>
              <w:spacing w:after="0" w:line="240" w:lineRule="auto"/>
              <w:ind w:left="251" w:hanging="270"/>
              <w:jc w:val="both"/>
              <w:rPr>
                <w:rFonts w:ascii="Book Antiqua" w:hAnsi="Book Antiqua" w:cs="Arial"/>
              </w:rPr>
            </w:pPr>
            <w:r w:rsidRPr="00960D53">
              <w:rPr>
                <w:rFonts w:ascii="Book Antiqua" w:hAnsi="Book Antiqua" w:cs="Arial"/>
              </w:rPr>
              <w:t>REDD+ revenues are managed through a sub-fund of the FPDF</w:t>
            </w:r>
          </w:p>
          <w:p w:rsidR="00960D53" w:rsidRPr="00960D53" w:rsidRDefault="00960D53" w:rsidP="008227FD">
            <w:pPr>
              <w:pStyle w:val="ListParagraph"/>
              <w:numPr>
                <w:ilvl w:val="0"/>
                <w:numId w:val="140"/>
              </w:numPr>
              <w:spacing w:after="0" w:line="240" w:lineRule="auto"/>
              <w:ind w:left="251" w:hanging="270"/>
              <w:jc w:val="both"/>
              <w:rPr>
                <w:rFonts w:ascii="Book Antiqua" w:hAnsi="Book Antiqua" w:cs="Arial"/>
              </w:rPr>
            </w:pPr>
            <w:r w:rsidRPr="00960D53">
              <w:rPr>
                <w:rFonts w:ascii="Book Antiqua" w:hAnsi="Book Antiqua" w:cs="Arial"/>
              </w:rPr>
              <w:t>REDD+ revenues are managed through a newly-created REDD+ Fund</w:t>
            </w:r>
          </w:p>
        </w:tc>
      </w:tr>
      <w:tr w:rsidR="00960D53" w:rsidRPr="00445F77">
        <w:trPr>
          <w:jc w:val="right"/>
        </w:trPr>
        <w:tc>
          <w:tcPr>
            <w:tcW w:w="960" w:type="pct"/>
            <w:tcBorders>
              <w:top w:val="single" w:sz="8" w:space="0" w:color="FFFFFF"/>
              <w:bottom w:val="single" w:sz="8" w:space="0" w:color="FFFFFF"/>
              <w:right w:val="single" w:sz="24" w:space="0" w:color="FFFFFF"/>
            </w:tcBorders>
            <w:shd w:val="clear" w:color="auto" w:fill="C2D69B"/>
            <w:vAlign w:val="center"/>
          </w:tcPr>
          <w:p w:rsidR="00960D53" w:rsidRPr="000F0314" w:rsidRDefault="00960D53" w:rsidP="00513A9F">
            <w:pPr>
              <w:spacing w:after="0" w:line="240" w:lineRule="auto"/>
              <w:rPr>
                <w:rFonts w:ascii="Book Antiqua" w:hAnsi="Book Antiqua" w:cs="Arial"/>
              </w:rPr>
            </w:pPr>
            <w:r w:rsidRPr="000F0314">
              <w:rPr>
                <w:rFonts w:ascii="Book Antiqua" w:hAnsi="Book Antiqua" w:cs="Arial"/>
              </w:rPr>
              <w:t xml:space="preserve">Recommended principle or </w:t>
            </w:r>
            <w:r w:rsidRPr="000F0314">
              <w:rPr>
                <w:rFonts w:ascii="Book Antiqua" w:hAnsi="Book Antiqua" w:cs="Arial"/>
              </w:rPr>
              <w:lastRenderedPageBreak/>
              <w:t>policy to be adopted</w:t>
            </w:r>
          </w:p>
        </w:tc>
        <w:tc>
          <w:tcPr>
            <w:tcW w:w="4040" w:type="pct"/>
            <w:tcBorders>
              <w:top w:val="single" w:sz="8" w:space="0" w:color="FFFFFF"/>
              <w:left w:val="single" w:sz="24" w:space="0" w:color="FFFFFF"/>
              <w:bottom w:val="single" w:sz="8" w:space="0" w:color="FFFFFF"/>
            </w:tcBorders>
            <w:shd w:val="clear" w:color="auto" w:fill="D6E3BC"/>
            <w:vAlign w:val="center"/>
          </w:tcPr>
          <w:p w:rsidR="00960D53" w:rsidRPr="003C0FC0" w:rsidRDefault="00960D53" w:rsidP="003561C4">
            <w:pPr>
              <w:spacing w:after="0" w:line="240" w:lineRule="auto"/>
              <w:jc w:val="both"/>
              <w:rPr>
                <w:rFonts w:ascii="Book Antiqua" w:hAnsi="Book Antiqua" w:cs="Arial"/>
              </w:rPr>
            </w:pPr>
            <w:r w:rsidRPr="003C0FC0">
              <w:rPr>
                <w:rFonts w:ascii="Book Antiqua" w:hAnsi="Book Antiqua" w:cs="Arial"/>
              </w:rPr>
              <w:lastRenderedPageBreak/>
              <w:t xml:space="preserve">Given limitations in participatory governance of the FPDF, the GoV should commit to the establishment of a new, REDD+ Fund.  This could </w:t>
            </w:r>
            <w:r w:rsidRPr="003C0FC0">
              <w:rPr>
                <w:rFonts w:ascii="Book Antiqua" w:hAnsi="Book Antiqua" w:cs="Arial"/>
              </w:rPr>
              <w:lastRenderedPageBreak/>
              <w:t>be modeled on the TFF, so as to allow participatory governance, and with equivalent provincial and district funds.</w:t>
            </w:r>
          </w:p>
          <w:p w:rsidR="00960D53" w:rsidRPr="003C0FC0" w:rsidRDefault="00960D53" w:rsidP="003561C4">
            <w:pPr>
              <w:spacing w:after="0" w:line="240" w:lineRule="auto"/>
              <w:jc w:val="both"/>
              <w:rPr>
                <w:rFonts w:ascii="Book Antiqua" w:hAnsi="Book Antiqua" w:cs="Arial"/>
              </w:rPr>
            </w:pPr>
            <w:r w:rsidRPr="003C0FC0">
              <w:rPr>
                <w:rFonts w:ascii="Book Antiqua" w:hAnsi="Book Antiqua" w:cs="Arial"/>
              </w:rPr>
              <w:t xml:space="preserve">The GoV should also commit to ensuring that the REDD+ Fund is to be governed by a broad-based multi-stakeholder board, and subject to independent external audit.  </w:t>
            </w:r>
          </w:p>
        </w:tc>
      </w:tr>
      <w:tr w:rsidR="00960D53" w:rsidRPr="00445F77">
        <w:trPr>
          <w:jc w:val="right"/>
        </w:trPr>
        <w:tc>
          <w:tcPr>
            <w:tcW w:w="960" w:type="pct"/>
            <w:tcBorders>
              <w:top w:val="single" w:sz="8" w:space="0" w:color="FFFFFF"/>
              <w:bottom w:val="single" w:sz="8" w:space="0" w:color="FFFFFF"/>
              <w:right w:val="single" w:sz="24" w:space="0" w:color="FFFFFF"/>
            </w:tcBorders>
            <w:shd w:val="clear" w:color="auto" w:fill="C2D69B"/>
            <w:vAlign w:val="center"/>
          </w:tcPr>
          <w:p w:rsidR="00960D53" w:rsidRPr="000F0314" w:rsidRDefault="00960D53" w:rsidP="00513A9F">
            <w:pPr>
              <w:spacing w:after="0" w:line="240" w:lineRule="auto"/>
              <w:rPr>
                <w:rFonts w:ascii="Book Antiqua" w:hAnsi="Book Antiqua" w:cs="Arial"/>
              </w:rPr>
            </w:pPr>
            <w:r>
              <w:rPr>
                <w:rFonts w:ascii="Book Antiqua" w:hAnsi="Book Antiqua" w:cs="Arial"/>
              </w:rPr>
              <w:lastRenderedPageBreak/>
              <w:t>Actions required to confirm policy option</w:t>
            </w:r>
          </w:p>
        </w:tc>
        <w:tc>
          <w:tcPr>
            <w:tcW w:w="4040" w:type="pct"/>
            <w:tcBorders>
              <w:top w:val="single" w:sz="8" w:space="0" w:color="FFFFFF"/>
              <w:left w:val="single" w:sz="24" w:space="0" w:color="FFFFFF"/>
              <w:bottom w:val="single" w:sz="8" w:space="0" w:color="FFFFFF"/>
            </w:tcBorders>
            <w:shd w:val="clear" w:color="auto" w:fill="D6E3BC"/>
            <w:vAlign w:val="center"/>
          </w:tcPr>
          <w:p w:rsidR="00960D53" w:rsidRPr="003C0FC0" w:rsidRDefault="00960D53" w:rsidP="003561C4">
            <w:pPr>
              <w:spacing w:after="0" w:line="240" w:lineRule="auto"/>
              <w:jc w:val="both"/>
              <w:rPr>
                <w:rFonts w:ascii="Book Antiqua" w:hAnsi="Book Antiqua" w:cs="Arial"/>
              </w:rPr>
            </w:pPr>
            <w:r w:rsidRPr="003C0FC0">
              <w:rPr>
                <w:rFonts w:ascii="Book Antiqua" w:hAnsi="Book Antiqua" w:cs="Arial"/>
              </w:rPr>
              <w:t>International examples of REDD+, or Climate Change Funds (e.g. in Indonesia) should be studied, together with existing financial instruments in Viet Nam, such as the TFF, so as to identify the characteristics and necessary actions required for the creation of a Viet Nam REDD+ Fund.</w:t>
            </w:r>
          </w:p>
        </w:tc>
      </w:tr>
    </w:tbl>
    <w:p w:rsidR="0046208F" w:rsidRPr="00445F77" w:rsidRDefault="0046208F" w:rsidP="008F6D17">
      <w:pPr>
        <w:pStyle w:val="Heading3"/>
        <w:spacing w:before="0" w:after="0"/>
        <w:rPr>
          <w:rFonts w:ascii="Arial" w:hAnsi="Arial" w:cs="Arial"/>
        </w:rPr>
      </w:pPr>
    </w:p>
    <w:p w:rsidR="00351F2C" w:rsidRPr="00445F77" w:rsidRDefault="00351F2C" w:rsidP="008F6D17">
      <w:pPr>
        <w:pStyle w:val="Heading3"/>
        <w:spacing w:before="0" w:after="0"/>
        <w:rPr>
          <w:rFonts w:ascii="Arial" w:hAnsi="Arial" w:cs="Arial"/>
        </w:rPr>
      </w:pPr>
      <w:bookmarkStart w:id="126" w:name="_Toc245810434"/>
      <w:bookmarkStart w:id="127" w:name="_Toc249078683"/>
      <w:bookmarkStart w:id="128" w:name="_Toc249079519"/>
      <w:r w:rsidRPr="00445F77">
        <w:rPr>
          <w:rFonts w:ascii="Arial" w:hAnsi="Arial" w:cs="Arial"/>
        </w:rPr>
        <w:t xml:space="preserve">Eligibility to Receive </w:t>
      </w:r>
      <w:r w:rsidR="001B6D90">
        <w:rPr>
          <w:rFonts w:ascii="Arial" w:hAnsi="Arial" w:cs="Arial"/>
        </w:rPr>
        <w:t>REDD+</w:t>
      </w:r>
      <w:r w:rsidRPr="00445F77">
        <w:rPr>
          <w:rFonts w:ascii="Arial" w:hAnsi="Arial" w:cs="Arial"/>
        </w:rPr>
        <w:t xml:space="preserve"> Benefits</w:t>
      </w:r>
      <w:bookmarkEnd w:id="126"/>
      <w:bookmarkEnd w:id="127"/>
      <w:bookmarkEnd w:id="128"/>
    </w:p>
    <w:p w:rsidR="00327378" w:rsidRPr="000F0314" w:rsidRDefault="00327378" w:rsidP="008F6D17">
      <w:pPr>
        <w:spacing w:after="0" w:line="300" w:lineRule="exact"/>
        <w:jc w:val="both"/>
        <w:rPr>
          <w:rFonts w:ascii="Book Antiqua" w:hAnsi="Book Antiqua" w:cs="Arial"/>
        </w:rPr>
      </w:pPr>
      <w:bookmarkStart w:id="129" w:name="_Toc244735050"/>
      <w:bookmarkStart w:id="130" w:name="_Toc245810436"/>
      <w:bookmarkStart w:id="131" w:name="_Toc249078685"/>
      <w:bookmarkStart w:id="132" w:name="_Toc249079521"/>
      <w:r>
        <w:rPr>
          <w:rFonts w:ascii="Book Antiqua" w:hAnsi="Book Antiqua" w:cs="Arial"/>
        </w:rPr>
        <w:t xml:space="preserve">Eligibility </w:t>
      </w:r>
      <w:r w:rsidRPr="000F0314">
        <w:rPr>
          <w:rFonts w:ascii="Book Antiqua" w:hAnsi="Book Antiqua" w:cs="Arial"/>
        </w:rPr>
        <w:t xml:space="preserve">to </w:t>
      </w:r>
      <w:r>
        <w:rPr>
          <w:rFonts w:ascii="Book Antiqua" w:hAnsi="Book Antiqua" w:cs="Arial"/>
        </w:rPr>
        <w:t xml:space="preserve">receive </w:t>
      </w:r>
      <w:r w:rsidR="001B6D90">
        <w:rPr>
          <w:rFonts w:ascii="Book Antiqua" w:hAnsi="Book Antiqua" w:cs="Arial"/>
        </w:rPr>
        <w:t>REDD+</w:t>
      </w:r>
      <w:r w:rsidRPr="000F0314">
        <w:rPr>
          <w:rFonts w:ascii="Book Antiqua" w:hAnsi="Book Antiqua" w:cs="Arial"/>
        </w:rPr>
        <w:t xml:space="preserve"> revenues need</w:t>
      </w:r>
      <w:r>
        <w:rPr>
          <w:rFonts w:ascii="Book Antiqua" w:hAnsi="Book Antiqua" w:cs="Arial"/>
        </w:rPr>
        <w:t>s</w:t>
      </w:r>
      <w:r w:rsidRPr="000F0314">
        <w:rPr>
          <w:rFonts w:ascii="Book Antiqua" w:hAnsi="Book Antiqua" w:cs="Arial"/>
        </w:rPr>
        <w:t xml:space="preserve"> to be </w:t>
      </w:r>
      <w:r>
        <w:rPr>
          <w:rFonts w:ascii="Book Antiqua" w:hAnsi="Book Antiqua" w:cs="Arial"/>
        </w:rPr>
        <w:t>defined</w:t>
      </w:r>
      <w:r w:rsidRPr="000F0314">
        <w:rPr>
          <w:rFonts w:ascii="Book Antiqua" w:hAnsi="Book Antiqua" w:cs="Arial"/>
        </w:rPr>
        <w:t xml:space="preserve">. This will require formalisation of the rights and responsibilities attached to these </w:t>
      </w:r>
      <w:r>
        <w:rPr>
          <w:rFonts w:ascii="Book Antiqua" w:hAnsi="Book Antiqua" w:cs="Arial"/>
        </w:rPr>
        <w:t>revenues</w:t>
      </w:r>
      <w:r w:rsidRPr="000F0314">
        <w:rPr>
          <w:rFonts w:ascii="Book Antiqua" w:hAnsi="Book Antiqua" w:cs="Arial"/>
        </w:rPr>
        <w:t xml:space="preserve"> as legal agreements or contracts. A lack of legal status of these entities risks impeding the entitlement to benefits.  </w:t>
      </w:r>
      <w:r>
        <w:rPr>
          <w:rFonts w:ascii="Book Antiqua" w:hAnsi="Book Antiqua" w:cs="Arial"/>
        </w:rPr>
        <w:t>T</w:t>
      </w:r>
      <w:r w:rsidRPr="000F0314">
        <w:rPr>
          <w:rFonts w:ascii="Book Antiqua" w:hAnsi="Book Antiqua" w:cs="Arial"/>
        </w:rPr>
        <w:t>here are several eligibility issues that need to be resolved:</w:t>
      </w:r>
    </w:p>
    <w:p w:rsidR="00327378" w:rsidRPr="000F0314" w:rsidRDefault="00327378" w:rsidP="008F6D17">
      <w:pPr>
        <w:spacing w:after="0" w:line="300" w:lineRule="exact"/>
        <w:jc w:val="both"/>
        <w:rPr>
          <w:rFonts w:ascii="Book Antiqua" w:hAnsi="Book Antiqua" w:cs="Arial"/>
        </w:rPr>
      </w:pPr>
    </w:p>
    <w:p w:rsidR="00327378" w:rsidRPr="0055505A" w:rsidRDefault="00327378" w:rsidP="008F6D17">
      <w:pPr>
        <w:pStyle w:val="ListParagraph"/>
        <w:numPr>
          <w:ilvl w:val="0"/>
          <w:numId w:val="109"/>
        </w:numPr>
        <w:spacing w:after="0" w:line="300" w:lineRule="exact"/>
        <w:ind w:left="360" w:hanging="360"/>
        <w:jc w:val="both"/>
        <w:rPr>
          <w:rFonts w:ascii="Book Antiqua" w:hAnsi="Book Antiqua" w:cs="Arial"/>
        </w:rPr>
      </w:pPr>
      <w:r w:rsidRPr="000F0314">
        <w:rPr>
          <w:rFonts w:ascii="Book Antiqua" w:hAnsi="Book Antiqua" w:cs="Arial"/>
        </w:rPr>
        <w:t xml:space="preserve">Eligibility of communities.  As mentioned previously, there is no legal recognition of communities as legal entities under the Civil Code, </w:t>
      </w:r>
      <w:r w:rsidRPr="0055505A">
        <w:rPr>
          <w:rFonts w:ascii="Book Antiqua" w:hAnsi="Book Antiqua" w:cs="Arial"/>
        </w:rPr>
        <w:t xml:space="preserve">yet there are good reasons for communities to be considered as an appropriate entity to receive </w:t>
      </w:r>
      <w:r w:rsidR="001B6D90" w:rsidRPr="0055505A">
        <w:rPr>
          <w:rFonts w:ascii="Book Antiqua" w:hAnsi="Book Antiqua" w:cs="Arial"/>
        </w:rPr>
        <w:t>REDD+</w:t>
      </w:r>
      <w:r w:rsidRPr="0055505A">
        <w:rPr>
          <w:rFonts w:ascii="Book Antiqua" w:hAnsi="Book Antiqua" w:cs="Arial"/>
        </w:rPr>
        <w:t xml:space="preserve"> benefits (see discussion in section </w:t>
      </w:r>
      <w:r w:rsidR="0055505A" w:rsidRPr="0055505A">
        <w:rPr>
          <w:rFonts w:ascii="Book Antiqua" w:hAnsi="Book Antiqua" w:cs="Arial"/>
        </w:rPr>
        <w:t>6.1</w:t>
      </w:r>
      <w:r w:rsidRPr="0055505A">
        <w:rPr>
          <w:rFonts w:ascii="Book Antiqua" w:hAnsi="Book Antiqua" w:cs="Arial"/>
        </w:rPr>
        <w:t>)</w:t>
      </w:r>
    </w:p>
    <w:p w:rsidR="00327378" w:rsidRPr="000F0314" w:rsidRDefault="00327378" w:rsidP="008227FD">
      <w:pPr>
        <w:pStyle w:val="ListParagraph"/>
        <w:numPr>
          <w:ilvl w:val="0"/>
          <w:numId w:val="109"/>
        </w:numPr>
        <w:spacing w:after="0" w:line="300" w:lineRule="exact"/>
        <w:ind w:left="360" w:hanging="360"/>
        <w:jc w:val="both"/>
        <w:rPr>
          <w:rFonts w:ascii="Book Antiqua" w:hAnsi="Book Antiqua" w:cs="Arial"/>
        </w:rPr>
      </w:pPr>
      <w:r w:rsidRPr="0055505A">
        <w:rPr>
          <w:rFonts w:ascii="Book Antiqua" w:hAnsi="Book Antiqua" w:cs="Arial"/>
        </w:rPr>
        <w:t>Eligibility of SOCs.  SOCs, formerly known as state forest enterprises or SFEs, fall into two categories under the Law on State Enterprises (1995</w:t>
      </w:r>
      <w:r>
        <w:rPr>
          <w:rFonts w:ascii="Book Antiqua" w:hAnsi="Book Antiqua" w:cs="Arial"/>
        </w:rPr>
        <w:t xml:space="preserve">).  Business, or self-financing, enterprises are not eligible for government support, and must generate all their income.  Public service state enterprises, characterized by PFMBs in the forest sector, are eligible for government budget support.  They must account for all sources of income, including potential </w:t>
      </w:r>
      <w:r w:rsidR="00480D3D">
        <w:rPr>
          <w:rFonts w:ascii="Book Antiqua" w:hAnsi="Book Antiqua" w:cs="Arial"/>
        </w:rPr>
        <w:t>REDD+</w:t>
      </w:r>
      <w:r>
        <w:rPr>
          <w:rFonts w:ascii="Book Antiqua" w:hAnsi="Book Antiqua" w:cs="Arial"/>
        </w:rPr>
        <w:t xml:space="preserve"> revenues, and this is taken into account in establishing government budget support.  Consequently, there are two risks associated with the eligibility of SOCs to receive </w:t>
      </w:r>
      <w:r w:rsidR="00480D3D">
        <w:rPr>
          <w:rFonts w:ascii="Book Antiqua" w:hAnsi="Book Antiqua" w:cs="Arial"/>
        </w:rPr>
        <w:t>REDD+</w:t>
      </w:r>
      <w:r>
        <w:rPr>
          <w:rFonts w:ascii="Book Antiqua" w:hAnsi="Book Antiqua" w:cs="Arial"/>
        </w:rPr>
        <w:t xml:space="preserve"> revenues.  The first is that if </w:t>
      </w:r>
      <w:r w:rsidR="00480D3D">
        <w:rPr>
          <w:rFonts w:ascii="Book Antiqua" w:hAnsi="Book Antiqua" w:cs="Arial"/>
        </w:rPr>
        <w:t>REDD+</w:t>
      </w:r>
      <w:r>
        <w:rPr>
          <w:rFonts w:ascii="Book Antiqua" w:hAnsi="Book Antiqua" w:cs="Arial"/>
        </w:rPr>
        <w:t xml:space="preserve"> revenues are substantial they may serve as a disincentive to continue the forest allocation process.  The second is that if </w:t>
      </w:r>
      <w:r w:rsidR="00480D3D">
        <w:rPr>
          <w:rFonts w:ascii="Book Antiqua" w:hAnsi="Book Antiqua" w:cs="Arial"/>
        </w:rPr>
        <w:t>REDD+</w:t>
      </w:r>
      <w:r>
        <w:rPr>
          <w:rFonts w:ascii="Book Antiqua" w:hAnsi="Book Antiqua" w:cs="Arial"/>
        </w:rPr>
        <w:t xml:space="preserve"> revenues merely have the effect of reducing government budget support to public service enterprises, such that their total budget remains unchanged, there is no incentive to perform in reducing emissions.</w:t>
      </w:r>
    </w:p>
    <w:p w:rsidR="00327378" w:rsidRPr="000F0314" w:rsidRDefault="00327378" w:rsidP="008227FD">
      <w:pPr>
        <w:pStyle w:val="ListParagraph"/>
        <w:numPr>
          <w:ilvl w:val="0"/>
          <w:numId w:val="109"/>
        </w:numPr>
        <w:spacing w:after="0" w:line="300" w:lineRule="exact"/>
        <w:ind w:left="360" w:hanging="360"/>
        <w:jc w:val="both"/>
        <w:rPr>
          <w:rFonts w:ascii="Book Antiqua" w:hAnsi="Book Antiqua" w:cs="Arial"/>
        </w:rPr>
      </w:pPr>
      <w:r w:rsidRPr="000F0314">
        <w:rPr>
          <w:rFonts w:ascii="Book Antiqua" w:hAnsi="Book Antiqua" w:cs="Arial"/>
        </w:rPr>
        <w:t>Eligibility of PAMBs.  Well-managed SUFs (protected areas) should</w:t>
      </w:r>
      <w:r>
        <w:rPr>
          <w:rFonts w:ascii="Book Antiqua" w:hAnsi="Book Antiqua" w:cs="Arial"/>
        </w:rPr>
        <w:t>,</w:t>
      </w:r>
      <w:r w:rsidRPr="000F0314">
        <w:rPr>
          <w:rFonts w:ascii="Book Antiqua" w:hAnsi="Book Antiqua" w:cs="Arial"/>
        </w:rPr>
        <w:t xml:space="preserve"> </w:t>
      </w:r>
      <w:r>
        <w:rPr>
          <w:rFonts w:ascii="Book Antiqua" w:hAnsi="Book Antiqua" w:cs="Arial"/>
        </w:rPr>
        <w:t xml:space="preserve">by definition, </w:t>
      </w:r>
      <w:r w:rsidRPr="000F0314">
        <w:rPr>
          <w:rFonts w:ascii="Book Antiqua" w:hAnsi="Book Antiqua" w:cs="Arial"/>
        </w:rPr>
        <w:t xml:space="preserve">not suffer from deforestation and forest degradation.  Consequently, it is not clear whether, under the principle of additionality, they should be eligible for </w:t>
      </w:r>
      <w:r w:rsidR="001B6D90">
        <w:rPr>
          <w:rFonts w:ascii="Book Antiqua" w:hAnsi="Book Antiqua" w:cs="Arial"/>
        </w:rPr>
        <w:t>REDD+</w:t>
      </w:r>
      <w:r w:rsidRPr="000F0314">
        <w:rPr>
          <w:rFonts w:ascii="Book Antiqua" w:hAnsi="Book Antiqua" w:cs="Arial"/>
        </w:rPr>
        <w:t xml:space="preserve"> revenues.  Nevertheless, </w:t>
      </w:r>
      <w:r>
        <w:rPr>
          <w:rFonts w:ascii="Book Antiqua" w:hAnsi="Book Antiqua" w:cs="Arial"/>
        </w:rPr>
        <w:t xml:space="preserve">given the pressure on </w:t>
      </w:r>
      <w:smartTag w:uri="urn:schemas-microsoft-com:office:smarttags" w:element="country-region">
        <w:smartTag w:uri="urn:schemas-microsoft-com:office:smarttags" w:element="place">
          <w:r>
            <w:rPr>
              <w:rFonts w:ascii="Book Antiqua" w:hAnsi="Book Antiqua" w:cs="Arial"/>
            </w:rPr>
            <w:t>Viet Nam</w:t>
          </w:r>
        </w:smartTag>
      </w:smartTag>
      <w:r>
        <w:rPr>
          <w:rFonts w:ascii="Book Antiqua" w:hAnsi="Book Antiqua" w:cs="Arial"/>
        </w:rPr>
        <w:t xml:space="preserve">’s protected areas, a case can be made that they should be rewarded for </w:t>
      </w:r>
      <w:r w:rsidRPr="000F0314">
        <w:rPr>
          <w:rFonts w:ascii="Book Antiqua" w:hAnsi="Book Antiqua" w:cs="Arial"/>
        </w:rPr>
        <w:t xml:space="preserve">good management </w:t>
      </w:r>
      <w:r>
        <w:rPr>
          <w:rFonts w:ascii="Book Antiqua" w:hAnsi="Book Antiqua" w:cs="Arial"/>
        </w:rPr>
        <w:t>where this can be demonstrated.</w:t>
      </w:r>
      <w:r w:rsidRPr="000F0314">
        <w:rPr>
          <w:rFonts w:ascii="Book Antiqua" w:hAnsi="Book Antiqua" w:cs="Arial"/>
        </w:rPr>
        <w:t xml:space="preserve"> </w:t>
      </w:r>
      <w:r>
        <w:rPr>
          <w:rFonts w:ascii="Book Antiqua" w:hAnsi="Book Antiqua" w:cs="Arial"/>
        </w:rPr>
        <w:t xml:space="preserve"> T</w:t>
      </w:r>
      <w:r w:rsidRPr="000F0314">
        <w:rPr>
          <w:rFonts w:ascii="Book Antiqua" w:hAnsi="Book Antiqua" w:cs="Arial"/>
        </w:rPr>
        <w:t xml:space="preserve">his mirrors </w:t>
      </w:r>
      <w:r>
        <w:rPr>
          <w:rFonts w:ascii="Book Antiqua" w:hAnsi="Book Antiqua" w:cs="Arial"/>
        </w:rPr>
        <w:t xml:space="preserve">the international </w:t>
      </w:r>
      <w:r w:rsidRPr="000F0314">
        <w:rPr>
          <w:rFonts w:ascii="Book Antiqua" w:hAnsi="Book Antiqua" w:cs="Arial"/>
        </w:rPr>
        <w:t>debate</w:t>
      </w:r>
      <w:r>
        <w:rPr>
          <w:rFonts w:ascii="Book Antiqua" w:hAnsi="Book Antiqua" w:cs="Arial"/>
        </w:rPr>
        <w:t xml:space="preserve"> over the </w:t>
      </w:r>
      <w:r w:rsidRPr="000F0314">
        <w:rPr>
          <w:rFonts w:ascii="Book Antiqua" w:hAnsi="Book Antiqua" w:cs="Arial"/>
        </w:rPr>
        <w:t xml:space="preserve">eligibility of countries that have historically high forest areas and low deforestation rates.  While this is mainly an administrative, rather than a legal issue, the need to avoid a reduction in </w:t>
      </w:r>
      <w:r>
        <w:rPr>
          <w:rFonts w:ascii="Book Antiqua" w:hAnsi="Book Antiqua" w:cs="Arial"/>
        </w:rPr>
        <w:t>government budget support</w:t>
      </w:r>
      <w:r w:rsidRPr="000F0314">
        <w:rPr>
          <w:rFonts w:ascii="Book Antiqua" w:hAnsi="Book Antiqua" w:cs="Arial"/>
        </w:rPr>
        <w:t xml:space="preserve"> resulting from earning of </w:t>
      </w:r>
      <w:r w:rsidR="001B6D90">
        <w:rPr>
          <w:rFonts w:ascii="Book Antiqua" w:hAnsi="Book Antiqua" w:cs="Arial"/>
        </w:rPr>
        <w:t>REDD+</w:t>
      </w:r>
      <w:r w:rsidRPr="000F0314">
        <w:rPr>
          <w:rFonts w:ascii="Book Antiqua" w:hAnsi="Book Antiqua" w:cs="Arial"/>
        </w:rPr>
        <w:t xml:space="preserve"> revenues needs to be clearly established in </w:t>
      </w:r>
      <w:r w:rsidR="001B6D90">
        <w:rPr>
          <w:rFonts w:ascii="Book Antiqua" w:hAnsi="Book Antiqua" w:cs="Arial"/>
        </w:rPr>
        <w:t>REDD+</w:t>
      </w:r>
      <w:r w:rsidRPr="000F0314">
        <w:rPr>
          <w:rFonts w:ascii="Book Antiqua" w:hAnsi="Book Antiqua" w:cs="Arial"/>
        </w:rPr>
        <w:t xml:space="preserve"> regulations</w:t>
      </w:r>
    </w:p>
    <w:p w:rsidR="00327378" w:rsidRPr="000F0314" w:rsidRDefault="00327378" w:rsidP="00327378">
      <w:pPr>
        <w:spacing w:after="0" w:line="300" w:lineRule="exact"/>
        <w:jc w:val="both"/>
        <w:rPr>
          <w:rFonts w:ascii="Book Antiqua" w:hAnsi="Book Antiqua" w:cs="Arial"/>
        </w:rPr>
      </w:pPr>
    </w:p>
    <w:p w:rsidR="00046554" w:rsidRPr="007223AA" w:rsidRDefault="00046554" w:rsidP="00046554">
      <w:pPr>
        <w:spacing w:after="0" w:line="300" w:lineRule="atLeast"/>
        <w:jc w:val="both"/>
        <w:rPr>
          <w:rFonts w:ascii="Book Antiqua" w:hAnsi="Book Antiqua" w:cs="Arial"/>
          <w:lang w:val="en-US"/>
        </w:rPr>
      </w:pPr>
      <w:r w:rsidRPr="007223AA">
        <w:rPr>
          <w:rFonts w:ascii="Book Antiqua" w:hAnsi="Book Antiqua" w:cs="Arial"/>
          <w:lang w:val="en-US"/>
        </w:rPr>
        <w:t xml:space="preserve">Experience from Viet Nam </w:t>
      </w:r>
      <w:r>
        <w:rPr>
          <w:rFonts w:ascii="Book Antiqua" w:hAnsi="Book Antiqua" w:cs="Arial"/>
          <w:lang w:val="en-US"/>
        </w:rPr>
        <w:t xml:space="preserve">(see Chapter 2) </w:t>
      </w:r>
      <w:r w:rsidRPr="007223AA">
        <w:rPr>
          <w:rFonts w:ascii="Book Antiqua" w:hAnsi="Book Antiqua" w:cs="Arial"/>
          <w:lang w:val="en-US"/>
        </w:rPr>
        <w:t xml:space="preserve">and other countries </w:t>
      </w:r>
      <w:r>
        <w:rPr>
          <w:rFonts w:ascii="Book Antiqua" w:hAnsi="Book Antiqua" w:cs="Arial"/>
          <w:lang w:val="en-US"/>
        </w:rPr>
        <w:t xml:space="preserve">(see Chapter 6) </w:t>
      </w:r>
      <w:r w:rsidRPr="007223AA">
        <w:rPr>
          <w:rFonts w:ascii="Book Antiqua" w:hAnsi="Book Antiqua" w:cs="Arial"/>
          <w:lang w:val="en-US"/>
        </w:rPr>
        <w:t xml:space="preserve">suggests that the development of Viet Nam’s future sub-national </w:t>
      </w:r>
      <w:r>
        <w:rPr>
          <w:rFonts w:ascii="Book Antiqua" w:hAnsi="Book Antiqua" w:cs="Arial"/>
          <w:lang w:val="en-US"/>
        </w:rPr>
        <w:t>REDD+</w:t>
      </w:r>
      <w:r w:rsidRPr="007223AA">
        <w:rPr>
          <w:rFonts w:ascii="Book Antiqua" w:hAnsi="Book Antiqua" w:cs="Arial"/>
          <w:lang w:val="en-US"/>
        </w:rPr>
        <w:t xml:space="preserve"> finance mechanism should explore the possibility of distributing benefits to</w:t>
      </w:r>
      <w:r w:rsidRPr="007223AA">
        <w:rPr>
          <w:rFonts w:ascii="Book Antiqua" w:hAnsi="Book Antiqua" w:cs="Arial"/>
          <w:u w:val="single"/>
          <w:lang w:val="en-US"/>
        </w:rPr>
        <w:t xml:space="preserve"> individual households, village communities/groups, and Forestry Companies/PAMBs</w:t>
      </w:r>
      <w:r w:rsidRPr="007223AA">
        <w:rPr>
          <w:rFonts w:ascii="Book Antiqua" w:hAnsi="Book Antiqua" w:cs="Arial"/>
          <w:lang w:val="en-US"/>
        </w:rPr>
        <w:t xml:space="preserve">.  The 661 </w:t>
      </w:r>
      <w:r>
        <w:rPr>
          <w:rFonts w:ascii="Book Antiqua" w:hAnsi="Book Antiqua" w:cs="Arial"/>
          <w:lang w:val="en-US"/>
        </w:rPr>
        <w:t>Programme</w:t>
      </w:r>
      <w:r w:rsidRPr="007223AA">
        <w:rPr>
          <w:rFonts w:ascii="Book Antiqua" w:hAnsi="Book Antiqua" w:cs="Arial"/>
          <w:lang w:val="en-US"/>
        </w:rPr>
        <w:t xml:space="preserve"> and the design of several large donor-funded projects demonstrate the GoV’s strong commitment and capacity to disburse national funds to individual households.  Experience from various community forestry pilots and the</w:t>
      </w:r>
      <w:r>
        <w:rPr>
          <w:rFonts w:ascii="Book Antiqua" w:hAnsi="Book Antiqua" w:cs="Arial"/>
          <w:lang w:val="en-US"/>
        </w:rPr>
        <w:t xml:space="preserve"> PFES</w:t>
      </w:r>
      <w:r w:rsidRPr="007223AA">
        <w:rPr>
          <w:rFonts w:ascii="Book Antiqua" w:hAnsi="Book Antiqua" w:cs="Arial"/>
          <w:lang w:val="en-US"/>
        </w:rPr>
        <w:t xml:space="preserve"> schemes in Son La and Lam Dong demonstrates the viability of disbursing payments to village communities and household groups.  The 661 </w:t>
      </w:r>
      <w:r>
        <w:rPr>
          <w:rFonts w:ascii="Book Antiqua" w:hAnsi="Book Antiqua" w:cs="Arial"/>
          <w:lang w:val="en-US"/>
        </w:rPr>
        <w:t>Programme</w:t>
      </w:r>
      <w:r w:rsidRPr="007223AA">
        <w:rPr>
          <w:rFonts w:ascii="Book Antiqua" w:hAnsi="Book Antiqua" w:cs="Arial"/>
          <w:lang w:val="en-US"/>
        </w:rPr>
        <w:t xml:space="preserve"> also attests to the government’s desire to channel significant payments to Forestry Companies and PAMBs.  </w:t>
      </w:r>
    </w:p>
    <w:p w:rsidR="00046554" w:rsidRDefault="00046554" w:rsidP="00327378">
      <w:pPr>
        <w:spacing w:after="0" w:line="300" w:lineRule="exact"/>
        <w:jc w:val="both"/>
        <w:rPr>
          <w:rFonts w:ascii="Book Antiqua" w:hAnsi="Book Antiqua" w:cs="Arial"/>
        </w:rPr>
      </w:pPr>
    </w:p>
    <w:p w:rsidR="00046554" w:rsidRPr="007223AA" w:rsidRDefault="00046554" w:rsidP="00046554">
      <w:pPr>
        <w:spacing w:after="0" w:line="300" w:lineRule="exact"/>
        <w:jc w:val="both"/>
        <w:rPr>
          <w:rFonts w:ascii="Book Antiqua" w:hAnsi="Book Antiqua" w:cs="Arial"/>
          <w:lang w:val="en-US"/>
        </w:rPr>
      </w:pPr>
      <w:r w:rsidRPr="007223AA">
        <w:rPr>
          <w:rFonts w:ascii="Book Antiqua" w:hAnsi="Book Antiqua" w:cs="Arial"/>
          <w:lang w:val="en-US"/>
        </w:rPr>
        <w:t xml:space="preserve">At the same time, the GoV may prioritize actions aimed at strengthening the legal framework and implementation capacity </w:t>
      </w:r>
      <w:r>
        <w:rPr>
          <w:rFonts w:ascii="Book Antiqua" w:hAnsi="Book Antiqua" w:cs="Arial"/>
          <w:lang w:val="en-US"/>
        </w:rPr>
        <w:t>for</w:t>
      </w:r>
      <w:r w:rsidRPr="007223AA">
        <w:rPr>
          <w:rFonts w:ascii="Book Antiqua" w:hAnsi="Book Antiqua" w:cs="Arial"/>
          <w:lang w:val="en-US"/>
        </w:rPr>
        <w:t xml:space="preserve"> community forestry.  The priority would be justified considering the focus on individual households, Forestry Companies and PAMBs in the past, as it would help create a level playing field for all three basic types of forest managers.  Required actions would include the creation of an enabling legal framework and measures strengthen the capacity of MARD to provide effective support to communities.  These national-level activities would be complemented by the development of </w:t>
      </w:r>
      <w:r>
        <w:rPr>
          <w:rFonts w:ascii="Book Antiqua" w:hAnsi="Book Antiqua" w:cs="Arial"/>
          <w:u w:val="single"/>
          <w:lang w:val="en-US"/>
        </w:rPr>
        <w:t>REDD+</w:t>
      </w:r>
      <w:r w:rsidRPr="007223AA">
        <w:rPr>
          <w:rFonts w:ascii="Book Antiqua" w:hAnsi="Book Antiqua" w:cs="Arial"/>
          <w:u w:val="single"/>
          <w:lang w:val="en-US"/>
        </w:rPr>
        <w:t xml:space="preserve"> pilots with village communities</w:t>
      </w:r>
      <w:r w:rsidRPr="007223AA">
        <w:rPr>
          <w:rFonts w:ascii="Book Antiqua" w:hAnsi="Book Antiqua" w:cs="Arial"/>
          <w:lang w:val="en-US"/>
        </w:rPr>
        <w:t xml:space="preserve">.  These pilots could build on a series of well-developed and sufficiently documented pilots assisted by international donor projects and the Community Forestry Pilot </w:t>
      </w:r>
      <w:r>
        <w:rPr>
          <w:rFonts w:ascii="Book Antiqua" w:hAnsi="Book Antiqua" w:cs="Arial"/>
          <w:lang w:val="en-US"/>
        </w:rPr>
        <w:t>Programme</w:t>
      </w:r>
      <w:r w:rsidRPr="007223AA">
        <w:rPr>
          <w:rFonts w:ascii="Book Antiqua" w:hAnsi="Book Antiqua" w:cs="Arial"/>
          <w:lang w:val="en-US"/>
        </w:rPr>
        <w:t xml:space="preserve"> across the country.  A focus on community forestry also holds the potential for rapid increases in carbon stocks, as communities mostly hold degraded forestland with currently low carbon stocks.</w:t>
      </w:r>
    </w:p>
    <w:p w:rsidR="00046554" w:rsidRPr="007223AA" w:rsidRDefault="00046554" w:rsidP="00046554">
      <w:pPr>
        <w:spacing w:after="0" w:line="300" w:lineRule="exact"/>
        <w:rPr>
          <w:rFonts w:ascii="Book Antiqua" w:hAnsi="Book Antiqua" w:cs="Arial"/>
          <w:lang w:val="en-US"/>
        </w:rPr>
      </w:pPr>
    </w:p>
    <w:p w:rsidR="00046554" w:rsidRPr="007223AA" w:rsidRDefault="00046554" w:rsidP="00046554">
      <w:pPr>
        <w:spacing w:after="0" w:line="300" w:lineRule="exact"/>
        <w:jc w:val="both"/>
        <w:rPr>
          <w:rFonts w:ascii="Book Antiqua" w:hAnsi="Book Antiqua" w:cs="Arial"/>
          <w:lang w:val="en-US"/>
        </w:rPr>
      </w:pPr>
      <w:r w:rsidRPr="007223AA">
        <w:rPr>
          <w:rFonts w:ascii="Book Antiqua" w:hAnsi="Book Antiqua" w:cs="Arial"/>
          <w:lang w:val="en-US"/>
        </w:rPr>
        <w:t xml:space="preserve">In the medium term, households, village communities/groups, and Forestry Companies/PAMBs will only be able to receive payments in many localities if </w:t>
      </w:r>
      <w:smartTag w:uri="urn:schemas-microsoft-com:office:smarttags" w:element="country-region">
        <w:smartTag w:uri="urn:schemas-microsoft-com:office:smarttags" w:element="place">
          <w:r w:rsidRPr="007223AA">
            <w:rPr>
              <w:rFonts w:ascii="Book Antiqua" w:hAnsi="Book Antiqua" w:cs="Arial"/>
              <w:lang w:val="en-US"/>
            </w:rPr>
            <w:t>Viet Nam</w:t>
          </w:r>
        </w:smartTag>
      </w:smartTag>
      <w:r w:rsidRPr="007223AA">
        <w:rPr>
          <w:rFonts w:ascii="Book Antiqua" w:hAnsi="Book Antiqua" w:cs="Arial"/>
          <w:lang w:val="en-US"/>
        </w:rPr>
        <w:t xml:space="preserve">’s government </w:t>
      </w:r>
      <w:r w:rsidRPr="007223AA">
        <w:rPr>
          <w:rFonts w:ascii="Book Antiqua" w:hAnsi="Book Antiqua" w:cs="Arial"/>
          <w:u w:val="single"/>
          <w:lang w:val="en-US"/>
        </w:rPr>
        <w:t>accelerates forestland allocation and facilitates the resolution of disputes over forestland</w:t>
      </w:r>
      <w:r w:rsidRPr="007223AA">
        <w:rPr>
          <w:rFonts w:ascii="Book Antiqua" w:hAnsi="Book Antiqua" w:cs="Arial"/>
          <w:lang w:val="en-US"/>
        </w:rPr>
        <w:t xml:space="preserve">.  The current allocation of forestland rarely provides the necessary foundations for the implementation of </w:t>
      </w:r>
      <w:r>
        <w:rPr>
          <w:rFonts w:ascii="Book Antiqua" w:hAnsi="Book Antiqua" w:cs="Arial"/>
          <w:lang w:val="en-US"/>
        </w:rPr>
        <w:t>REDD+</w:t>
      </w:r>
      <w:r w:rsidRPr="007223AA">
        <w:rPr>
          <w:rFonts w:ascii="Book Antiqua" w:hAnsi="Book Antiqua" w:cs="Arial"/>
          <w:lang w:val="en-US"/>
        </w:rPr>
        <w:t xml:space="preserve"> and distribution of </w:t>
      </w:r>
      <w:r>
        <w:rPr>
          <w:rFonts w:ascii="Book Antiqua" w:hAnsi="Book Antiqua" w:cs="Arial"/>
          <w:lang w:val="en-US"/>
        </w:rPr>
        <w:t>REDD+</w:t>
      </w:r>
      <w:r w:rsidRPr="007223AA">
        <w:rPr>
          <w:rFonts w:ascii="Book Antiqua" w:hAnsi="Book Antiqua" w:cs="Arial"/>
          <w:lang w:val="en-US"/>
        </w:rPr>
        <w:t xml:space="preserve"> finance.  Around 2.5 million ha of forestland remain under temporary allocation to Commune People’s Committees, including many areas of degraded forestland with high potentials for improvements in carbon stocks.  Forestry Companies and PAMBs often hold legal title to land that is claimed and used by local villagers on a customary basis.  Land registers and certificates do not match actual land tenure and land use practices in many places.  These problems stand in the way of developing performance-based payments for forest conservation.  Moreover, a look at the CDM regulations suggests that the international community may not endorse the disbursement of </w:t>
      </w:r>
      <w:r>
        <w:rPr>
          <w:rFonts w:ascii="Book Antiqua" w:hAnsi="Book Antiqua" w:cs="Arial"/>
          <w:lang w:val="en-US"/>
        </w:rPr>
        <w:t>REDD+</w:t>
      </w:r>
      <w:r w:rsidRPr="007223AA">
        <w:rPr>
          <w:rFonts w:ascii="Book Antiqua" w:hAnsi="Book Antiqua" w:cs="Arial"/>
          <w:lang w:val="en-US"/>
        </w:rPr>
        <w:t xml:space="preserve"> payments when land is disputed, or when recipients do not hold legal titles to the contracted land (which is a common practice under </w:t>
      </w:r>
      <w:smartTag w:uri="urn:schemas-microsoft-com:office:smarttags" w:element="country-region">
        <w:smartTag w:uri="urn:schemas-microsoft-com:office:smarttags" w:element="place">
          <w:r>
            <w:rPr>
              <w:rFonts w:ascii="Book Antiqua" w:hAnsi="Book Antiqua" w:cs="Arial"/>
              <w:lang w:val="en-US"/>
            </w:rPr>
            <w:t>Viet Nam</w:t>
          </w:r>
        </w:smartTag>
      </w:smartTag>
      <w:r w:rsidRPr="007223AA">
        <w:rPr>
          <w:rFonts w:ascii="Book Antiqua" w:hAnsi="Book Antiqua" w:cs="Arial"/>
          <w:lang w:val="en-US"/>
        </w:rPr>
        <w:t xml:space="preserve">’s 661 </w:t>
      </w:r>
      <w:r>
        <w:rPr>
          <w:rFonts w:ascii="Book Antiqua" w:hAnsi="Book Antiqua" w:cs="Arial"/>
          <w:lang w:val="en-US"/>
        </w:rPr>
        <w:t>Programme</w:t>
      </w:r>
      <w:r w:rsidRPr="007223AA">
        <w:rPr>
          <w:rFonts w:ascii="Book Antiqua" w:hAnsi="Book Antiqua" w:cs="Arial"/>
          <w:lang w:val="en-US"/>
        </w:rPr>
        <w:t xml:space="preserve">).  It is therefore of utmost importance that </w:t>
      </w:r>
      <w:smartTag w:uri="urn:schemas-microsoft-com:office:smarttags" w:element="country-region">
        <w:smartTag w:uri="urn:schemas-microsoft-com:office:smarttags" w:element="place">
          <w:r w:rsidRPr="007223AA">
            <w:rPr>
              <w:rFonts w:ascii="Book Antiqua" w:hAnsi="Book Antiqua" w:cs="Arial"/>
              <w:lang w:val="en-US"/>
            </w:rPr>
            <w:t>Viet Nam</w:t>
          </w:r>
        </w:smartTag>
      </w:smartTag>
      <w:r w:rsidRPr="007223AA">
        <w:rPr>
          <w:rFonts w:ascii="Book Antiqua" w:hAnsi="Book Antiqua" w:cs="Arial"/>
          <w:lang w:val="en-US"/>
        </w:rPr>
        <w:t xml:space="preserve"> undertakes renewed efforts to allocate forestland to households, household groups and communities, and to resolve land disputes.  The use of </w:t>
      </w:r>
      <w:r>
        <w:rPr>
          <w:rFonts w:ascii="Book Antiqua" w:hAnsi="Book Antiqua" w:cs="Arial"/>
          <w:lang w:val="en-US"/>
        </w:rPr>
        <w:t>REDD+</w:t>
      </w:r>
      <w:r w:rsidRPr="007223AA">
        <w:rPr>
          <w:rFonts w:ascii="Book Antiqua" w:hAnsi="Book Antiqua" w:cs="Arial"/>
          <w:lang w:val="en-US"/>
        </w:rPr>
        <w:t xml:space="preserve"> finance for these purposes </w:t>
      </w:r>
      <w:r w:rsidRPr="007223AA">
        <w:rPr>
          <w:rFonts w:ascii="Book Antiqua" w:hAnsi="Book Antiqua" w:cs="Arial"/>
          <w:lang w:val="en-US"/>
        </w:rPr>
        <w:lastRenderedPageBreak/>
        <w:t>would match existing practice in donor-funded projects and appears well justified given the crucial importance of clear land rights.</w:t>
      </w:r>
      <w:r w:rsidRPr="007223AA">
        <w:rPr>
          <w:rStyle w:val="FootnoteReference"/>
          <w:rFonts w:ascii="Book Antiqua" w:hAnsi="Book Antiqua" w:cs="Arial"/>
          <w:lang w:val="en-US"/>
        </w:rPr>
        <w:footnoteReference w:id="35"/>
      </w:r>
    </w:p>
    <w:p w:rsidR="00046554" w:rsidRPr="007223AA" w:rsidRDefault="00046554" w:rsidP="00046554">
      <w:pPr>
        <w:spacing w:after="0" w:line="300" w:lineRule="exact"/>
        <w:rPr>
          <w:rFonts w:ascii="Book Antiqua" w:hAnsi="Book Antiqua" w:cs="Arial"/>
          <w:lang w:val="en-US"/>
        </w:rPr>
      </w:pPr>
    </w:p>
    <w:p w:rsidR="00046554" w:rsidRPr="007223AA" w:rsidRDefault="00046554" w:rsidP="00046554">
      <w:pPr>
        <w:spacing w:after="0" w:line="300" w:lineRule="exact"/>
        <w:jc w:val="both"/>
        <w:rPr>
          <w:rFonts w:ascii="Book Antiqua" w:hAnsi="Book Antiqua" w:cs="Arial"/>
          <w:lang w:val="en-US"/>
        </w:rPr>
      </w:pPr>
      <w:r w:rsidRPr="007223AA">
        <w:rPr>
          <w:rFonts w:ascii="Book Antiqua" w:hAnsi="Book Antiqua" w:cs="Arial"/>
          <w:u w:val="single"/>
          <w:lang w:val="en-US"/>
        </w:rPr>
        <w:t xml:space="preserve">Operational procedures for the disbursement of </w:t>
      </w:r>
      <w:r>
        <w:rPr>
          <w:rFonts w:ascii="Book Antiqua" w:hAnsi="Book Antiqua" w:cs="Arial"/>
          <w:u w:val="single"/>
          <w:lang w:val="en-US"/>
        </w:rPr>
        <w:t>REDD+</w:t>
      </w:r>
      <w:r w:rsidRPr="007223AA">
        <w:rPr>
          <w:rFonts w:ascii="Book Antiqua" w:hAnsi="Book Antiqua" w:cs="Arial"/>
          <w:u w:val="single"/>
          <w:lang w:val="en-US"/>
        </w:rPr>
        <w:t xml:space="preserve"> payments</w:t>
      </w:r>
      <w:r w:rsidRPr="007223AA">
        <w:rPr>
          <w:rFonts w:ascii="Book Antiqua" w:hAnsi="Book Antiqua" w:cs="Arial"/>
          <w:lang w:val="en-US"/>
        </w:rPr>
        <w:t xml:space="preserve"> to the three kinds of recipients exist in </w:t>
      </w:r>
      <w:smartTag w:uri="urn:schemas-microsoft-com:office:smarttags" w:element="country-region">
        <w:smartTag w:uri="urn:schemas-microsoft-com:office:smarttags" w:element="place">
          <w:r w:rsidRPr="007223AA">
            <w:rPr>
              <w:rFonts w:ascii="Book Antiqua" w:hAnsi="Book Antiqua" w:cs="Arial"/>
              <w:lang w:val="en-US"/>
            </w:rPr>
            <w:t>Viet Nam</w:t>
          </w:r>
        </w:smartTag>
      </w:smartTag>
      <w:r w:rsidRPr="007223AA">
        <w:rPr>
          <w:rFonts w:ascii="Book Antiqua" w:hAnsi="Book Antiqua" w:cs="Arial"/>
          <w:lang w:val="en-US"/>
        </w:rPr>
        <w:t xml:space="preserve">.  They indicate that </w:t>
      </w:r>
      <w:smartTag w:uri="urn:schemas-microsoft-com:office:smarttags" w:element="country-region">
        <w:smartTag w:uri="urn:schemas-microsoft-com:office:smarttags" w:element="place">
          <w:r w:rsidRPr="007223AA">
            <w:rPr>
              <w:rFonts w:ascii="Book Antiqua" w:hAnsi="Book Antiqua" w:cs="Arial"/>
              <w:lang w:val="en-US"/>
            </w:rPr>
            <w:t>Viet Nam</w:t>
          </w:r>
        </w:smartTag>
      </w:smartTag>
      <w:r w:rsidRPr="007223AA">
        <w:rPr>
          <w:rFonts w:ascii="Book Antiqua" w:hAnsi="Book Antiqua" w:cs="Arial"/>
          <w:lang w:val="en-US"/>
        </w:rPr>
        <w:t xml:space="preserve">’s Bank for Social Policies may be in an advantageous situation to handle the disbursement of funds.  The Bank possesses offices in all districts and operates 9,800 mobile transaction points at the commune level throughout the country.  It already manages the reforestation loans for individual households funded by the </w:t>
      </w:r>
      <w:r w:rsidR="00D7117B">
        <w:rPr>
          <w:rFonts w:ascii="Book Antiqua" w:hAnsi="Book Antiqua" w:cs="Arial"/>
          <w:lang w:val="en-US"/>
        </w:rPr>
        <w:t>WB</w:t>
      </w:r>
      <w:r w:rsidRPr="007223AA">
        <w:rPr>
          <w:rFonts w:ascii="Book Antiqua" w:hAnsi="Book Antiqua" w:cs="Arial"/>
          <w:lang w:val="en-US"/>
        </w:rPr>
        <w:t xml:space="preserve"> and KfW and the payments made to all three types of recipients under the</w:t>
      </w:r>
      <w:r>
        <w:rPr>
          <w:rFonts w:ascii="Book Antiqua" w:hAnsi="Book Antiqua" w:cs="Arial"/>
          <w:lang w:val="en-US"/>
        </w:rPr>
        <w:t xml:space="preserve"> PFES</w:t>
      </w:r>
      <w:r w:rsidRPr="007223AA">
        <w:rPr>
          <w:rFonts w:ascii="Book Antiqua" w:hAnsi="Book Antiqua" w:cs="Arial"/>
          <w:lang w:val="en-US"/>
        </w:rPr>
        <w:t xml:space="preserve"> scheme in </w:t>
      </w:r>
      <w:smartTag w:uri="urn:schemas-microsoft-com:office:smarttags" w:element="Street">
        <w:smartTag w:uri="urn:schemas-microsoft-com:office:smarttags" w:element="address">
          <w:r w:rsidRPr="007223AA">
            <w:rPr>
              <w:rFonts w:ascii="Book Antiqua" w:hAnsi="Book Antiqua" w:cs="Arial"/>
              <w:lang w:val="en-US"/>
            </w:rPr>
            <w:t>Son La.</w:t>
          </w:r>
        </w:smartTag>
      </w:smartTag>
      <w:r w:rsidRPr="007223AA">
        <w:rPr>
          <w:rFonts w:ascii="Book Antiqua" w:hAnsi="Book Antiqua" w:cs="Arial"/>
          <w:lang w:val="en-US"/>
        </w:rPr>
        <w:t xml:space="preserve">  The Bank for Social Policies could also establish accounts for community funds as recipients of payments to village communities, building on the experience in the Community Forestry Pilot </w:t>
      </w:r>
      <w:r>
        <w:rPr>
          <w:rFonts w:ascii="Book Antiqua" w:hAnsi="Book Antiqua" w:cs="Arial"/>
          <w:lang w:val="en-US"/>
        </w:rPr>
        <w:t>Programme</w:t>
      </w:r>
      <w:r w:rsidRPr="007223AA">
        <w:rPr>
          <w:rFonts w:ascii="Book Antiqua" w:hAnsi="Book Antiqua" w:cs="Arial"/>
          <w:lang w:val="en-US"/>
        </w:rPr>
        <w:t>.  The community funds would, in turn, allow village communities to decide collectively if they want to use the funds for cash payments to individual members, the distribution of in-kind support, collective investments in social and physical infrastructure, or other projects enhancing forest conservation.</w:t>
      </w:r>
    </w:p>
    <w:p w:rsidR="00046554" w:rsidRPr="00445F77" w:rsidRDefault="00046554" w:rsidP="00046554">
      <w:pPr>
        <w:spacing w:after="0" w:line="300" w:lineRule="exact"/>
        <w:rPr>
          <w:rFonts w:ascii="Arial" w:hAnsi="Arial" w:cs="Arial"/>
          <w:sz w:val="24"/>
          <w:szCs w:val="24"/>
          <w:lang w:val="en-US"/>
        </w:rPr>
      </w:pPr>
    </w:p>
    <w:p w:rsidR="00327378" w:rsidRPr="000F0314" w:rsidRDefault="00327378" w:rsidP="00327378">
      <w:pPr>
        <w:spacing w:after="0" w:line="300" w:lineRule="exact"/>
        <w:jc w:val="both"/>
        <w:rPr>
          <w:rFonts w:ascii="Book Antiqua" w:hAnsi="Book Antiqua" w:cs="Arial"/>
        </w:rPr>
      </w:pPr>
      <w:r w:rsidRPr="000F0314">
        <w:rPr>
          <w:rFonts w:ascii="Book Antiqua" w:hAnsi="Book Antiqua" w:cs="Arial"/>
        </w:rPr>
        <w:t xml:space="preserve">These issues could be addressed </w:t>
      </w:r>
      <w:r>
        <w:rPr>
          <w:rFonts w:ascii="Book Antiqua" w:hAnsi="Book Antiqua" w:cs="Arial"/>
        </w:rPr>
        <w:t xml:space="preserve">by </w:t>
      </w:r>
      <w:r w:rsidRPr="000F0314">
        <w:rPr>
          <w:rFonts w:ascii="Book Antiqua" w:hAnsi="Book Antiqua" w:cs="Arial"/>
        </w:rPr>
        <w:t>modif</w:t>
      </w:r>
      <w:r>
        <w:rPr>
          <w:rFonts w:ascii="Book Antiqua" w:hAnsi="Book Antiqua" w:cs="Arial"/>
        </w:rPr>
        <w:t xml:space="preserve">ying </w:t>
      </w:r>
      <w:r w:rsidRPr="000F0314">
        <w:rPr>
          <w:rFonts w:ascii="Book Antiqua" w:hAnsi="Book Antiqua" w:cs="Arial"/>
        </w:rPr>
        <w:t xml:space="preserve">existing legal instruments such as the Civil Code.  However, modifications to such basic legal instruments will require an enormous investment and take a substantial amount of time.  The potential to resolve eligibility issues through a new </w:t>
      </w:r>
      <w:r w:rsidR="00480D3D">
        <w:rPr>
          <w:rFonts w:ascii="Book Antiqua" w:hAnsi="Book Antiqua" w:cs="Arial"/>
        </w:rPr>
        <w:t>REDD+</w:t>
      </w:r>
      <w:r w:rsidRPr="000F0314">
        <w:rPr>
          <w:rFonts w:ascii="Book Antiqua" w:hAnsi="Book Antiqua" w:cs="Arial"/>
        </w:rPr>
        <w:t xml:space="preserve"> legal instrument may be a better option.  Lessons from community forestry projects, including the KfW-6 project and the TFF-funded Community Forestry Pilot Programme can inform the content of such a legal instrument – see Policy </w:t>
      </w:r>
      <w:r w:rsidR="00F5648E">
        <w:rPr>
          <w:rFonts w:ascii="Book Antiqua" w:hAnsi="Book Antiqua" w:cs="Arial"/>
        </w:rPr>
        <w:t>Decision</w:t>
      </w:r>
      <w:r w:rsidRPr="000F0314">
        <w:rPr>
          <w:rFonts w:ascii="Book Antiqua" w:hAnsi="Book Antiqua" w:cs="Arial"/>
        </w:rPr>
        <w:t>s 3.2 and 3.3.</w:t>
      </w:r>
    </w:p>
    <w:p w:rsidR="00327378" w:rsidRPr="00E215C8" w:rsidRDefault="00327378" w:rsidP="00327378">
      <w:pPr>
        <w:spacing w:after="0" w:line="300" w:lineRule="exact"/>
        <w:jc w:val="both"/>
        <w:rPr>
          <w:rFonts w:ascii="Arial" w:hAnsi="Arial" w:cs="Arial"/>
          <w:sz w:val="24"/>
          <w:szCs w:val="24"/>
        </w:rPr>
      </w:pPr>
    </w:p>
    <w:tbl>
      <w:tblPr>
        <w:tblW w:w="5000" w:type="pct"/>
        <w:jc w:val="right"/>
        <w:tblBorders>
          <w:insideH w:val="single" w:sz="24" w:space="0" w:color="FFFFFF"/>
          <w:insideV w:val="single" w:sz="24" w:space="0" w:color="FFFFFF"/>
        </w:tblBorders>
        <w:tblLook w:val="00A0"/>
      </w:tblPr>
      <w:tblGrid>
        <w:gridCol w:w="1909"/>
        <w:gridCol w:w="7095"/>
      </w:tblGrid>
      <w:tr w:rsidR="00327378" w:rsidRPr="00445F77">
        <w:trPr>
          <w:tblHeader/>
          <w:jc w:val="right"/>
        </w:trPr>
        <w:tc>
          <w:tcPr>
            <w:tcW w:w="5000" w:type="pct"/>
            <w:gridSpan w:val="2"/>
            <w:tcBorders>
              <w:top w:val="single" w:sz="24" w:space="0" w:color="FFFFFF"/>
              <w:bottom w:val="single" w:sz="24" w:space="0" w:color="FFFFFF"/>
            </w:tcBorders>
            <w:shd w:val="clear" w:color="auto" w:fill="76923C"/>
            <w:vAlign w:val="center"/>
          </w:tcPr>
          <w:p w:rsidR="00327378" w:rsidRPr="000F0314" w:rsidRDefault="00327378" w:rsidP="007C38DB">
            <w:pPr>
              <w:spacing w:after="0" w:line="240" w:lineRule="auto"/>
              <w:jc w:val="center"/>
              <w:rPr>
                <w:rFonts w:ascii="Book Antiqua" w:hAnsi="Book Antiqua" w:cs="Arial"/>
                <w:b/>
                <w:color w:val="FFFFFF"/>
                <w:sz w:val="24"/>
                <w:szCs w:val="24"/>
              </w:rPr>
            </w:pPr>
            <w:r w:rsidRPr="000F0314">
              <w:rPr>
                <w:rFonts w:ascii="Book Antiqua" w:hAnsi="Book Antiqua" w:cs="Arial"/>
                <w:b/>
                <w:color w:val="FFFFFF"/>
                <w:sz w:val="24"/>
                <w:szCs w:val="24"/>
              </w:rPr>
              <w:t>POLICY DECISION 3.2</w:t>
            </w:r>
          </w:p>
          <w:p w:rsidR="00327378" w:rsidRPr="00445F77" w:rsidRDefault="00327378" w:rsidP="007C38DB">
            <w:pPr>
              <w:spacing w:after="0" w:line="240" w:lineRule="auto"/>
              <w:jc w:val="center"/>
              <w:rPr>
                <w:rFonts w:ascii="Arial" w:hAnsi="Arial" w:cs="Arial"/>
                <w:b/>
                <w:color w:val="FFFFFF"/>
                <w:sz w:val="24"/>
                <w:szCs w:val="24"/>
              </w:rPr>
            </w:pPr>
            <w:r w:rsidRPr="000F0314">
              <w:rPr>
                <w:rFonts w:ascii="Book Antiqua" w:hAnsi="Book Antiqua" w:cs="Arial"/>
                <w:b/>
                <w:color w:val="FFFFFF"/>
                <w:sz w:val="24"/>
                <w:szCs w:val="24"/>
              </w:rPr>
              <w:t xml:space="preserve">The types of forestland owners eligible to receive </w:t>
            </w:r>
            <w:r w:rsidR="001B6D90">
              <w:rPr>
                <w:rFonts w:ascii="Book Antiqua" w:hAnsi="Book Antiqua" w:cs="Arial"/>
                <w:b/>
                <w:color w:val="FFFFFF"/>
                <w:sz w:val="24"/>
                <w:szCs w:val="24"/>
              </w:rPr>
              <w:t>REDD+</w:t>
            </w:r>
            <w:r w:rsidRPr="000F0314">
              <w:rPr>
                <w:rFonts w:ascii="Book Antiqua" w:hAnsi="Book Antiqua" w:cs="Arial"/>
                <w:b/>
                <w:color w:val="FFFFFF"/>
                <w:sz w:val="24"/>
                <w:szCs w:val="24"/>
              </w:rPr>
              <w:t xml:space="preserve"> benefits</w:t>
            </w:r>
          </w:p>
        </w:tc>
      </w:tr>
      <w:tr w:rsidR="00327378" w:rsidRPr="00445F77">
        <w:trPr>
          <w:jc w:val="right"/>
        </w:trPr>
        <w:tc>
          <w:tcPr>
            <w:tcW w:w="1060" w:type="pct"/>
            <w:tcBorders>
              <w:top w:val="single" w:sz="24" w:space="0" w:color="FFFFFF"/>
              <w:bottom w:val="single" w:sz="8" w:space="0" w:color="FFFFFF"/>
              <w:right w:val="single" w:sz="24" w:space="0" w:color="FFFFFF"/>
            </w:tcBorders>
            <w:shd w:val="clear" w:color="auto" w:fill="C2D69B"/>
            <w:vAlign w:val="center"/>
          </w:tcPr>
          <w:p w:rsidR="00327378" w:rsidRPr="000F0314" w:rsidRDefault="00327378" w:rsidP="007C38DB">
            <w:pPr>
              <w:spacing w:after="0" w:line="240" w:lineRule="auto"/>
              <w:rPr>
                <w:rFonts w:ascii="Book Antiqua" w:hAnsi="Book Antiqua" w:cs="Arial"/>
              </w:rPr>
            </w:pPr>
            <w:r w:rsidRPr="000F0314">
              <w:rPr>
                <w:rFonts w:ascii="Book Antiqua" w:hAnsi="Book Antiqua" w:cs="Arial"/>
              </w:rPr>
              <w:t>Issue to be addressed</w:t>
            </w:r>
          </w:p>
        </w:tc>
        <w:tc>
          <w:tcPr>
            <w:tcW w:w="3940" w:type="pct"/>
            <w:tcBorders>
              <w:top w:val="single" w:sz="24" w:space="0" w:color="FFFFFF"/>
              <w:left w:val="single" w:sz="24" w:space="0" w:color="FFFFFF"/>
              <w:bottom w:val="single" w:sz="8" w:space="0" w:color="FFFFFF"/>
            </w:tcBorders>
            <w:shd w:val="clear" w:color="auto" w:fill="D6E3BC"/>
            <w:vAlign w:val="center"/>
          </w:tcPr>
          <w:p w:rsidR="00327378" w:rsidRPr="000F0314" w:rsidRDefault="00327378" w:rsidP="007C38DB">
            <w:pPr>
              <w:spacing w:after="0" w:line="240" w:lineRule="auto"/>
              <w:jc w:val="both"/>
              <w:rPr>
                <w:rFonts w:ascii="Book Antiqua" w:hAnsi="Book Antiqua" w:cs="Arial"/>
              </w:rPr>
            </w:pPr>
            <w:r w:rsidRPr="000F0314">
              <w:rPr>
                <w:rFonts w:ascii="Book Antiqua" w:hAnsi="Book Antiqua" w:cs="Arial"/>
              </w:rPr>
              <w:t xml:space="preserve">Most benefit distribution programmes in </w:t>
            </w:r>
            <w:smartTag w:uri="urn:schemas-microsoft-com:office:smarttags" w:element="country-region">
              <w:smartTag w:uri="urn:schemas-microsoft-com:office:smarttags" w:element="place">
                <w:r w:rsidRPr="000F0314">
                  <w:rPr>
                    <w:rFonts w:ascii="Book Antiqua" w:hAnsi="Book Antiqua" w:cs="Arial"/>
                  </w:rPr>
                  <w:t>Viet Nam</w:t>
                </w:r>
              </w:smartTag>
            </w:smartTag>
            <w:r w:rsidRPr="000F0314">
              <w:rPr>
                <w:rFonts w:ascii="Book Antiqua" w:hAnsi="Book Antiqua" w:cs="Arial"/>
              </w:rPr>
              <w:t xml:space="preserve"> target payments to individual households, </w:t>
            </w:r>
            <w:r>
              <w:rPr>
                <w:rFonts w:ascii="Book Antiqua" w:hAnsi="Book Antiqua" w:cs="Arial"/>
              </w:rPr>
              <w:t>SOCs</w:t>
            </w:r>
            <w:r w:rsidRPr="000F0314">
              <w:rPr>
                <w:rFonts w:ascii="Book Antiqua" w:hAnsi="Book Antiqua" w:cs="Arial"/>
              </w:rPr>
              <w:t>, and PAMBs.  However, there are problems with such an approach, including unclear, contested or overlapping rights to forest carbon and the possibility of conflict resulting from some households receiving benefits and other</w:t>
            </w:r>
            <w:r w:rsidR="000C7F22">
              <w:rPr>
                <w:rFonts w:ascii="Book Antiqua" w:hAnsi="Book Antiqua" w:cs="Arial"/>
              </w:rPr>
              <w:t>s</w:t>
            </w:r>
            <w:r w:rsidRPr="000F0314">
              <w:rPr>
                <w:rFonts w:ascii="Book Antiqua" w:hAnsi="Book Antiqua" w:cs="Arial"/>
              </w:rPr>
              <w:t xml:space="preserve"> not.  Many of these problems of rights can be avoided by targeting benefits to village communities, which may </w:t>
            </w:r>
            <w:r w:rsidR="00CF152A">
              <w:rPr>
                <w:rFonts w:ascii="Book Antiqua" w:hAnsi="Book Antiqua" w:cs="Arial"/>
              </w:rPr>
              <w:t xml:space="preserve">be </w:t>
            </w:r>
            <w:r w:rsidRPr="000F0314">
              <w:rPr>
                <w:rFonts w:ascii="Book Antiqua" w:hAnsi="Book Antiqua" w:cs="Arial"/>
              </w:rPr>
              <w:t>better positioned to produce rapid gains in carbon stocks than other types of forest manager</w:t>
            </w:r>
            <w:r w:rsidR="00CF152A">
              <w:rPr>
                <w:rFonts w:ascii="Book Antiqua" w:hAnsi="Book Antiqua" w:cs="Arial"/>
              </w:rPr>
              <w:t>s</w:t>
            </w:r>
            <w:r w:rsidRPr="000F0314">
              <w:rPr>
                <w:rFonts w:ascii="Book Antiqua" w:hAnsi="Book Antiqua" w:cs="Arial"/>
              </w:rPr>
              <w:t xml:space="preserve">.  However, </w:t>
            </w:r>
            <w:r w:rsidR="00CF152A">
              <w:rPr>
                <w:rFonts w:ascii="Book Antiqua" w:hAnsi="Book Antiqua" w:cs="Arial"/>
              </w:rPr>
              <w:t xml:space="preserve">under the </w:t>
            </w:r>
            <w:r w:rsidRPr="000F0314">
              <w:rPr>
                <w:rFonts w:ascii="Book Antiqua" w:hAnsi="Book Antiqua" w:cs="Arial"/>
              </w:rPr>
              <w:t>current</w:t>
            </w:r>
            <w:r w:rsidR="00CF152A">
              <w:rPr>
                <w:rFonts w:ascii="Book Antiqua" w:hAnsi="Book Antiqua" w:cs="Arial"/>
              </w:rPr>
              <w:t xml:space="preserve"> legal framework,</w:t>
            </w:r>
            <w:r w:rsidRPr="000F0314">
              <w:rPr>
                <w:rFonts w:ascii="Book Antiqua" w:hAnsi="Book Antiqua" w:cs="Arial"/>
              </w:rPr>
              <w:t xml:space="preserve"> targeting communities faces a legal constraint as the community is not a legally recognized entity under the Civil Code.</w:t>
            </w:r>
          </w:p>
        </w:tc>
      </w:tr>
      <w:tr w:rsidR="00327378" w:rsidRPr="00445F77">
        <w:trPr>
          <w:jc w:val="right"/>
        </w:trPr>
        <w:tc>
          <w:tcPr>
            <w:tcW w:w="1060" w:type="pct"/>
            <w:tcBorders>
              <w:top w:val="single" w:sz="8" w:space="0" w:color="FFFFFF"/>
              <w:bottom w:val="single" w:sz="8" w:space="0" w:color="FFFFFF"/>
              <w:right w:val="single" w:sz="24" w:space="0" w:color="FFFFFF"/>
            </w:tcBorders>
            <w:shd w:val="clear" w:color="auto" w:fill="C2D69B"/>
            <w:vAlign w:val="center"/>
          </w:tcPr>
          <w:p w:rsidR="00327378" w:rsidRPr="000F0314" w:rsidRDefault="00327378" w:rsidP="007C38DB">
            <w:pPr>
              <w:spacing w:after="0" w:line="240" w:lineRule="auto"/>
              <w:rPr>
                <w:rFonts w:ascii="Book Antiqua" w:hAnsi="Book Antiqua" w:cs="Arial"/>
              </w:rPr>
            </w:pPr>
            <w:r w:rsidRPr="000F0314">
              <w:rPr>
                <w:rFonts w:ascii="Book Antiqua" w:hAnsi="Book Antiqua" w:cs="Arial"/>
              </w:rPr>
              <w:t>Options</w:t>
            </w:r>
          </w:p>
        </w:tc>
        <w:tc>
          <w:tcPr>
            <w:tcW w:w="3940" w:type="pct"/>
            <w:tcBorders>
              <w:top w:val="single" w:sz="8" w:space="0" w:color="FFFFFF"/>
              <w:left w:val="single" w:sz="24" w:space="0" w:color="FFFFFF"/>
              <w:bottom w:val="single" w:sz="8" w:space="0" w:color="FFFFFF"/>
            </w:tcBorders>
            <w:shd w:val="clear" w:color="auto" w:fill="D6E3BC"/>
            <w:vAlign w:val="center"/>
          </w:tcPr>
          <w:p w:rsidR="00327378" w:rsidRPr="00960D53" w:rsidRDefault="00327378" w:rsidP="008227FD">
            <w:pPr>
              <w:pStyle w:val="ListParagraph"/>
              <w:numPr>
                <w:ilvl w:val="0"/>
                <w:numId w:val="141"/>
              </w:numPr>
              <w:spacing w:after="0" w:line="240" w:lineRule="auto"/>
              <w:ind w:left="251" w:hanging="270"/>
              <w:jc w:val="both"/>
              <w:rPr>
                <w:rFonts w:ascii="Book Antiqua" w:hAnsi="Book Antiqua" w:cs="Arial"/>
              </w:rPr>
            </w:pPr>
            <w:r w:rsidRPr="00960D53">
              <w:rPr>
                <w:rFonts w:ascii="Book Antiqua" w:hAnsi="Book Antiqua" w:cs="Arial"/>
              </w:rPr>
              <w:t>GoV continues to favor payments to SOCs, PAMBs and individual households at the risk of missing out on potential carbon gains and benefits to rural poor.</w:t>
            </w:r>
          </w:p>
          <w:p w:rsidR="00327378" w:rsidRPr="00960D53" w:rsidRDefault="00327378" w:rsidP="008227FD">
            <w:pPr>
              <w:pStyle w:val="ListParagraph"/>
              <w:numPr>
                <w:ilvl w:val="0"/>
                <w:numId w:val="141"/>
              </w:numPr>
              <w:spacing w:after="0" w:line="240" w:lineRule="auto"/>
              <w:ind w:left="251" w:hanging="270"/>
              <w:jc w:val="both"/>
              <w:rPr>
                <w:rFonts w:ascii="Book Antiqua" w:hAnsi="Book Antiqua" w:cs="Arial"/>
              </w:rPr>
            </w:pPr>
            <w:r w:rsidRPr="00960D53">
              <w:rPr>
                <w:rFonts w:ascii="Book Antiqua" w:hAnsi="Book Antiqua" w:cs="Arial"/>
              </w:rPr>
              <w:t>GoV creates a level playing field for communities by refining the legal framework and creating supportive implementation structures.</w:t>
            </w:r>
          </w:p>
          <w:p w:rsidR="00327378" w:rsidRPr="00960D53" w:rsidRDefault="00327378" w:rsidP="008227FD">
            <w:pPr>
              <w:pStyle w:val="ListParagraph"/>
              <w:numPr>
                <w:ilvl w:val="0"/>
                <w:numId w:val="141"/>
              </w:numPr>
              <w:spacing w:after="0" w:line="240" w:lineRule="auto"/>
              <w:ind w:left="251" w:hanging="270"/>
              <w:jc w:val="both"/>
              <w:rPr>
                <w:rFonts w:ascii="Book Antiqua" w:hAnsi="Book Antiqua" w:cs="Arial"/>
              </w:rPr>
            </w:pPr>
            <w:r w:rsidRPr="00960D53">
              <w:rPr>
                <w:rFonts w:ascii="Book Antiqua" w:hAnsi="Book Antiqua" w:cs="Arial"/>
              </w:rPr>
              <w:lastRenderedPageBreak/>
              <w:t xml:space="preserve">GoV gives priority to village communities in the distribution of </w:t>
            </w:r>
            <w:r w:rsidR="001B6D90" w:rsidRPr="00960D53">
              <w:rPr>
                <w:rFonts w:ascii="Book Antiqua" w:hAnsi="Book Antiqua" w:cs="Arial"/>
              </w:rPr>
              <w:t>REDD+</w:t>
            </w:r>
            <w:r w:rsidRPr="00960D53">
              <w:rPr>
                <w:rFonts w:ascii="Book Antiqua" w:hAnsi="Book Antiqua" w:cs="Arial"/>
              </w:rPr>
              <w:t xml:space="preserve"> payments in order to access additional carbon finance at the international level and to contribute to poverty alleviation</w:t>
            </w:r>
          </w:p>
        </w:tc>
      </w:tr>
      <w:tr w:rsidR="00327378" w:rsidRPr="00445F77">
        <w:trPr>
          <w:jc w:val="right"/>
        </w:trPr>
        <w:tc>
          <w:tcPr>
            <w:tcW w:w="1060" w:type="pct"/>
            <w:tcBorders>
              <w:top w:val="single" w:sz="8" w:space="0" w:color="FFFFFF"/>
              <w:bottom w:val="single" w:sz="8" w:space="0" w:color="FFFFFF"/>
              <w:right w:val="single" w:sz="24" w:space="0" w:color="FFFFFF"/>
            </w:tcBorders>
            <w:shd w:val="clear" w:color="auto" w:fill="C2D69B"/>
            <w:vAlign w:val="center"/>
          </w:tcPr>
          <w:p w:rsidR="00327378" w:rsidRPr="000F0314" w:rsidRDefault="00327378" w:rsidP="007C38DB">
            <w:pPr>
              <w:spacing w:after="0" w:line="240" w:lineRule="auto"/>
              <w:rPr>
                <w:rFonts w:ascii="Book Antiqua" w:hAnsi="Book Antiqua" w:cs="Arial"/>
              </w:rPr>
            </w:pPr>
            <w:r w:rsidRPr="000F0314">
              <w:rPr>
                <w:rFonts w:ascii="Book Antiqua" w:hAnsi="Book Antiqua" w:cs="Arial"/>
              </w:rPr>
              <w:lastRenderedPageBreak/>
              <w:t>Recommended principle or policy to be adopted</w:t>
            </w:r>
          </w:p>
        </w:tc>
        <w:tc>
          <w:tcPr>
            <w:tcW w:w="3940" w:type="pct"/>
            <w:tcBorders>
              <w:top w:val="single" w:sz="8" w:space="0" w:color="FFFFFF"/>
              <w:left w:val="single" w:sz="24" w:space="0" w:color="FFFFFF"/>
              <w:bottom w:val="single" w:sz="8" w:space="0" w:color="FFFFFF"/>
            </w:tcBorders>
            <w:shd w:val="clear" w:color="auto" w:fill="D6E3BC"/>
            <w:vAlign w:val="center"/>
          </w:tcPr>
          <w:p w:rsidR="00327378" w:rsidRPr="00180C42" w:rsidRDefault="00327378" w:rsidP="007C38DB">
            <w:pPr>
              <w:spacing w:after="0" w:line="240" w:lineRule="auto"/>
              <w:jc w:val="both"/>
              <w:rPr>
                <w:rFonts w:ascii="Book Antiqua" w:hAnsi="Book Antiqua" w:cs="Arial"/>
                <w:color w:val="000000"/>
              </w:rPr>
            </w:pPr>
            <w:r w:rsidRPr="00180C42">
              <w:rPr>
                <w:rFonts w:ascii="Book Antiqua" w:hAnsi="Book Antiqua" w:cs="Arial"/>
                <w:color w:val="000000"/>
              </w:rPr>
              <w:t xml:space="preserve">GoV should address the legal constraints that prevent village communities being eligible to receive </w:t>
            </w:r>
            <w:r w:rsidR="001B6D90">
              <w:rPr>
                <w:rFonts w:ascii="Book Antiqua" w:hAnsi="Book Antiqua" w:cs="Arial"/>
                <w:color w:val="000000"/>
              </w:rPr>
              <w:t>REDD+</w:t>
            </w:r>
            <w:r w:rsidRPr="00180C42">
              <w:rPr>
                <w:rFonts w:ascii="Book Antiqua" w:hAnsi="Book Antiqua" w:cs="Arial"/>
                <w:color w:val="000000"/>
              </w:rPr>
              <w:t xml:space="preserve"> payments under the same conditions as SOCs, PAMBs and individual households.  This will allow GoV to maximize the carbon revenues received from the international community and simultaneously add to the overarching goal of poverty alleviation.  The GoV should also establish a policy for </w:t>
            </w:r>
            <w:r>
              <w:rPr>
                <w:rFonts w:ascii="Book Antiqua" w:hAnsi="Book Antiqua" w:cs="Arial"/>
                <w:color w:val="000000"/>
              </w:rPr>
              <w:t>PFMBs and PAMBs</w:t>
            </w:r>
            <w:r w:rsidRPr="00180C42">
              <w:rPr>
                <w:rFonts w:ascii="Book Antiqua" w:hAnsi="Book Antiqua" w:cs="Arial"/>
                <w:color w:val="000000"/>
              </w:rPr>
              <w:t xml:space="preserve"> that</w:t>
            </w:r>
            <w:r w:rsidRPr="00180C42">
              <w:rPr>
                <w:rFonts w:ascii="Book Antiqua" w:hAnsi="Book Antiqua"/>
                <w:bCs/>
                <w:color w:val="000000"/>
              </w:rPr>
              <w:t xml:space="preserve"> </w:t>
            </w:r>
            <w:r w:rsidR="001B6D90">
              <w:rPr>
                <w:rFonts w:ascii="Book Antiqua" w:hAnsi="Book Antiqua"/>
                <w:bCs/>
                <w:color w:val="000000"/>
              </w:rPr>
              <w:t>REDD+</w:t>
            </w:r>
            <w:r w:rsidRPr="00180C42">
              <w:rPr>
                <w:rFonts w:ascii="Book Antiqua" w:hAnsi="Book Antiqua"/>
                <w:bCs/>
                <w:color w:val="000000"/>
              </w:rPr>
              <w:t xml:space="preserve"> revenue</w:t>
            </w:r>
            <w:r>
              <w:rPr>
                <w:rFonts w:ascii="Book Antiqua" w:hAnsi="Book Antiqua"/>
                <w:bCs/>
                <w:color w:val="000000"/>
              </w:rPr>
              <w:t>s</w:t>
            </w:r>
            <w:r w:rsidRPr="00180C42">
              <w:rPr>
                <w:rFonts w:ascii="Book Antiqua" w:hAnsi="Book Antiqua"/>
                <w:bCs/>
                <w:color w:val="000000"/>
              </w:rPr>
              <w:t xml:space="preserve"> will only lead to a reduction in </w:t>
            </w:r>
            <w:r>
              <w:rPr>
                <w:rFonts w:ascii="Book Antiqua" w:hAnsi="Book Antiqua"/>
                <w:bCs/>
                <w:color w:val="000000"/>
              </w:rPr>
              <w:t xml:space="preserve">state </w:t>
            </w:r>
            <w:r w:rsidRPr="00180C42">
              <w:rPr>
                <w:rFonts w:ascii="Book Antiqua" w:hAnsi="Book Antiqua"/>
                <w:bCs/>
                <w:color w:val="000000"/>
              </w:rPr>
              <w:t>budget support if the total revenues of the PFMB</w:t>
            </w:r>
            <w:r>
              <w:rPr>
                <w:rFonts w:ascii="Book Antiqua" w:hAnsi="Book Antiqua"/>
                <w:bCs/>
                <w:color w:val="000000"/>
              </w:rPr>
              <w:t xml:space="preserve"> or PAMB</w:t>
            </w:r>
            <w:r w:rsidRPr="00180C42">
              <w:rPr>
                <w:rFonts w:ascii="Book Antiqua" w:hAnsi="Book Antiqua"/>
                <w:bCs/>
                <w:color w:val="000000"/>
              </w:rPr>
              <w:t xml:space="preserve"> plus their “normal” level of budget support exceeds their estimated costs</w:t>
            </w:r>
            <w:r>
              <w:rPr>
                <w:rFonts w:ascii="Book Antiqua" w:hAnsi="Book Antiqua"/>
                <w:bCs/>
                <w:color w:val="000000"/>
              </w:rPr>
              <w:t>;</w:t>
            </w:r>
            <w:r w:rsidRPr="00180C42">
              <w:rPr>
                <w:rFonts w:ascii="Book Antiqua" w:hAnsi="Book Antiqua"/>
                <w:bCs/>
                <w:color w:val="000000"/>
              </w:rPr>
              <w:t xml:space="preserve"> whilst establishing safeguards to ensure that this does not create an adverse incentive to slow </w:t>
            </w:r>
            <w:r>
              <w:rPr>
                <w:rFonts w:ascii="Book Antiqua" w:hAnsi="Book Antiqua"/>
                <w:bCs/>
                <w:color w:val="000000"/>
              </w:rPr>
              <w:t>forest</w:t>
            </w:r>
            <w:r w:rsidRPr="00180C42">
              <w:rPr>
                <w:rFonts w:ascii="Book Antiqua" w:hAnsi="Book Antiqua"/>
                <w:bCs/>
                <w:color w:val="000000"/>
              </w:rPr>
              <w:t xml:space="preserve"> allocation.</w:t>
            </w:r>
          </w:p>
        </w:tc>
      </w:tr>
      <w:tr w:rsidR="00327378" w:rsidRPr="00445F77">
        <w:trPr>
          <w:jc w:val="right"/>
        </w:trPr>
        <w:tc>
          <w:tcPr>
            <w:tcW w:w="1060" w:type="pct"/>
            <w:tcBorders>
              <w:top w:val="single" w:sz="8" w:space="0" w:color="FFFFFF"/>
              <w:bottom w:val="single" w:sz="8" w:space="0" w:color="FFFFFF"/>
              <w:right w:val="single" w:sz="24" w:space="0" w:color="FFFFFF"/>
            </w:tcBorders>
            <w:shd w:val="clear" w:color="auto" w:fill="C2D69B"/>
            <w:vAlign w:val="center"/>
          </w:tcPr>
          <w:p w:rsidR="00327378" w:rsidRPr="000F0314" w:rsidRDefault="00B54274" w:rsidP="007C38DB">
            <w:pPr>
              <w:spacing w:after="0" w:line="240" w:lineRule="auto"/>
              <w:rPr>
                <w:rFonts w:ascii="Book Antiqua" w:hAnsi="Book Antiqua" w:cs="Arial"/>
              </w:rPr>
            </w:pPr>
            <w:r>
              <w:rPr>
                <w:rFonts w:ascii="Book Antiqua" w:hAnsi="Book Antiqua" w:cs="Arial"/>
              </w:rPr>
              <w:t>Actions required to confirm policy option</w:t>
            </w:r>
          </w:p>
        </w:tc>
        <w:tc>
          <w:tcPr>
            <w:tcW w:w="3940" w:type="pct"/>
            <w:tcBorders>
              <w:top w:val="single" w:sz="8" w:space="0" w:color="FFFFFF"/>
              <w:left w:val="single" w:sz="24" w:space="0" w:color="FFFFFF"/>
              <w:bottom w:val="single" w:sz="8" w:space="0" w:color="FFFFFF"/>
            </w:tcBorders>
            <w:shd w:val="clear" w:color="auto" w:fill="D6E3BC"/>
            <w:vAlign w:val="center"/>
          </w:tcPr>
          <w:p w:rsidR="00327378" w:rsidRPr="000F0314" w:rsidRDefault="00327378" w:rsidP="007C38DB">
            <w:pPr>
              <w:spacing w:after="0" w:line="240" w:lineRule="auto"/>
              <w:jc w:val="both"/>
              <w:rPr>
                <w:rFonts w:ascii="Book Antiqua" w:hAnsi="Book Antiqua" w:cs="Arial"/>
              </w:rPr>
            </w:pPr>
            <w:r w:rsidRPr="000F0314">
              <w:rPr>
                <w:rFonts w:ascii="Book Antiqua" w:hAnsi="Book Antiqua" w:cs="Arial"/>
              </w:rPr>
              <w:t xml:space="preserve">The GoV should commission independent evaluations of experience from community forestry projects, including the community funds established under the KfW-6 project and the TFF-funded Community Forestry Pilot </w:t>
            </w:r>
            <w:r w:rsidR="00480D3D">
              <w:rPr>
                <w:rFonts w:ascii="Book Antiqua" w:hAnsi="Book Antiqua" w:cs="Arial"/>
              </w:rPr>
              <w:t>Programme</w:t>
            </w:r>
            <w:r w:rsidRPr="000F0314">
              <w:rPr>
                <w:rFonts w:ascii="Book Antiqua" w:hAnsi="Book Antiqua" w:cs="Arial"/>
              </w:rPr>
              <w:t xml:space="preserve">.  The evaluations should inform the formulation of enabling legislation on community forestry and corresponding measures to strengthen the capacities of MARD to support community forestry.  In addition, together with international donors, GoV should identify a number of community forestry initiatives to serve as pilots for community-based </w:t>
            </w:r>
            <w:r w:rsidR="001B6D90">
              <w:rPr>
                <w:rFonts w:ascii="Book Antiqua" w:hAnsi="Book Antiqua" w:cs="Arial"/>
              </w:rPr>
              <w:t>REDD+</w:t>
            </w:r>
            <w:r>
              <w:rPr>
                <w:rFonts w:ascii="Book Antiqua" w:hAnsi="Book Antiqua" w:cs="Arial"/>
              </w:rPr>
              <w:t>.</w:t>
            </w:r>
          </w:p>
        </w:tc>
      </w:tr>
    </w:tbl>
    <w:p w:rsidR="00327378" w:rsidRPr="00445F77" w:rsidRDefault="00327378" w:rsidP="008F6D17">
      <w:pPr>
        <w:spacing w:after="0"/>
        <w:jc w:val="both"/>
        <w:rPr>
          <w:rFonts w:ascii="Arial" w:hAnsi="Arial" w:cs="Arial"/>
          <w:sz w:val="24"/>
          <w:szCs w:val="24"/>
        </w:rPr>
      </w:pPr>
    </w:p>
    <w:p w:rsidR="00351F2C" w:rsidRPr="00445F77" w:rsidRDefault="00351F2C" w:rsidP="008F6D17">
      <w:pPr>
        <w:pStyle w:val="Heading3"/>
        <w:spacing w:before="0" w:after="0"/>
        <w:rPr>
          <w:rFonts w:ascii="Arial" w:hAnsi="Arial" w:cs="Arial"/>
        </w:rPr>
      </w:pPr>
      <w:r w:rsidRPr="00445F77">
        <w:rPr>
          <w:rFonts w:ascii="Arial" w:hAnsi="Arial" w:cs="Arial"/>
        </w:rPr>
        <w:t xml:space="preserve">Establishment of </w:t>
      </w:r>
      <w:r w:rsidR="00E215C8">
        <w:rPr>
          <w:rFonts w:ascii="Arial" w:hAnsi="Arial" w:cs="Arial"/>
        </w:rPr>
        <w:t xml:space="preserve">a </w:t>
      </w:r>
      <w:r w:rsidRPr="00445F77">
        <w:rPr>
          <w:rFonts w:ascii="Arial" w:hAnsi="Arial" w:cs="Arial"/>
        </w:rPr>
        <w:t xml:space="preserve">clear, consistent and enforceable </w:t>
      </w:r>
      <w:bookmarkEnd w:id="129"/>
      <w:bookmarkEnd w:id="130"/>
      <w:bookmarkEnd w:id="131"/>
      <w:bookmarkEnd w:id="132"/>
      <w:r w:rsidR="0046208F">
        <w:rPr>
          <w:rFonts w:ascii="Arial" w:hAnsi="Arial" w:cs="Arial"/>
        </w:rPr>
        <w:t>legal framework</w:t>
      </w:r>
    </w:p>
    <w:p w:rsidR="0046208F" w:rsidRPr="000F0314" w:rsidRDefault="0046208F" w:rsidP="008F6D17">
      <w:pPr>
        <w:spacing w:after="0" w:line="300" w:lineRule="atLeast"/>
        <w:jc w:val="both"/>
        <w:rPr>
          <w:rFonts w:ascii="Book Antiqua" w:hAnsi="Book Antiqua" w:cs="Arial"/>
        </w:rPr>
      </w:pPr>
      <w:r w:rsidRPr="000F0314">
        <w:rPr>
          <w:rFonts w:ascii="Book Antiqua" w:hAnsi="Book Antiqua" w:cs="Arial"/>
        </w:rPr>
        <w:t xml:space="preserve">Another major challenge is to ensure institutional and administrative collaboration among ministries (horizontal consistency).   In particular, MARD and MONRE will need to work together on mainstreaming </w:t>
      </w:r>
      <w:r w:rsidR="001B6D90">
        <w:rPr>
          <w:rFonts w:ascii="Book Antiqua" w:hAnsi="Book Antiqua" w:cs="Arial"/>
        </w:rPr>
        <w:t>REDD+</w:t>
      </w:r>
      <w:r w:rsidRPr="000F0314">
        <w:rPr>
          <w:rFonts w:ascii="Book Antiqua" w:hAnsi="Book Antiqua" w:cs="Arial"/>
        </w:rPr>
        <w:t xml:space="preserve"> considerations into land use planning and titling; and to ensure that the </w:t>
      </w:r>
      <w:r w:rsidR="001B6D90">
        <w:rPr>
          <w:rFonts w:ascii="Book Antiqua" w:hAnsi="Book Antiqua" w:cs="Arial"/>
        </w:rPr>
        <w:t>REDD+</w:t>
      </w:r>
      <w:r w:rsidRPr="000F0314">
        <w:rPr>
          <w:rFonts w:ascii="Book Antiqua" w:hAnsi="Book Antiqua" w:cs="Arial"/>
        </w:rPr>
        <w:t xml:space="preserve"> BDS has an effective institutional foundation to both satisfy investors and ensure equitable distribution of benefits.  While forest allocation has proceeded rapidly in some parts of the country, it has been much slower in other areas.  The risk exists that potential access to </w:t>
      </w:r>
      <w:r w:rsidR="00480D3D">
        <w:rPr>
          <w:rFonts w:ascii="Book Antiqua" w:hAnsi="Book Antiqua" w:cs="Arial"/>
        </w:rPr>
        <w:t>REDD+</w:t>
      </w:r>
      <w:r w:rsidRPr="000F0314">
        <w:rPr>
          <w:rFonts w:ascii="Book Antiqua" w:hAnsi="Book Antiqua" w:cs="Arial"/>
        </w:rPr>
        <w:t xml:space="preserve"> revenues may serve as a disincentive to continued forest allocation as stakeholders such as Peoples Committees see benefits from not allocating land to households.</w:t>
      </w:r>
    </w:p>
    <w:p w:rsidR="0046208F" w:rsidRPr="000F0314" w:rsidRDefault="0046208F" w:rsidP="0046208F">
      <w:pPr>
        <w:spacing w:after="0" w:line="300" w:lineRule="atLeast"/>
        <w:jc w:val="both"/>
        <w:rPr>
          <w:rFonts w:ascii="Book Antiqua" w:hAnsi="Book Antiqua" w:cs="Arial"/>
        </w:rPr>
      </w:pPr>
    </w:p>
    <w:p w:rsidR="0046208F" w:rsidRPr="000F0314" w:rsidRDefault="0046208F" w:rsidP="0046208F">
      <w:pPr>
        <w:spacing w:after="0" w:line="300" w:lineRule="atLeast"/>
        <w:jc w:val="both"/>
        <w:rPr>
          <w:rFonts w:ascii="Book Antiqua" w:hAnsi="Book Antiqua" w:cs="Arial"/>
        </w:rPr>
      </w:pPr>
      <w:r w:rsidRPr="000F0314">
        <w:rPr>
          <w:rFonts w:ascii="Book Antiqua" w:hAnsi="Book Antiqua" w:cs="Arial"/>
        </w:rPr>
        <w:t xml:space="preserve">The </w:t>
      </w:r>
      <w:r w:rsidR="001B6D90">
        <w:rPr>
          <w:rFonts w:ascii="Book Antiqua" w:hAnsi="Book Antiqua" w:cs="Arial"/>
        </w:rPr>
        <w:t>REDD+</w:t>
      </w:r>
      <w:r w:rsidRPr="000F0314">
        <w:rPr>
          <w:rFonts w:ascii="Book Antiqua" w:hAnsi="Book Antiqua" w:cs="Arial"/>
        </w:rPr>
        <w:t xml:space="preserve"> BDS, especially if designed with a strong focus on equity and co-benefits, could prove to be a catalyst in clarifying institutional responsibilities, increasing financial accountability, accelerating forest allocation, and other reforms that will have positive outcomes for communities, the country, and the planet. It seems clear that the arrangements for financial management, as well as modified institutional responsibilities will need to be supported by one or more legal instruments.  Following the approach forged in developing</w:t>
      </w:r>
      <w:r w:rsidR="001B6D90">
        <w:rPr>
          <w:rFonts w:ascii="Book Antiqua" w:hAnsi="Book Antiqua" w:cs="Arial"/>
        </w:rPr>
        <w:t xml:space="preserve"> PFES</w:t>
      </w:r>
      <w:r w:rsidRPr="000F0314">
        <w:rPr>
          <w:rFonts w:ascii="Book Antiqua" w:hAnsi="Book Antiqua" w:cs="Arial"/>
        </w:rPr>
        <w:t xml:space="preserve"> in </w:t>
      </w:r>
      <w:smartTag w:uri="urn:schemas-microsoft-com:office:smarttags" w:element="country-region">
        <w:smartTag w:uri="urn:schemas-microsoft-com:office:smarttags" w:element="place">
          <w:r w:rsidRPr="000F0314">
            <w:rPr>
              <w:rFonts w:ascii="Book Antiqua" w:hAnsi="Book Antiqua" w:cs="Arial"/>
            </w:rPr>
            <w:t>Viet Nam</w:t>
          </w:r>
        </w:smartTag>
      </w:smartTag>
      <w:r w:rsidRPr="000F0314">
        <w:rPr>
          <w:rFonts w:ascii="Book Antiqua" w:hAnsi="Book Antiqua" w:cs="Arial"/>
        </w:rPr>
        <w:t xml:space="preserve">, and initial Decision may be taken by the Prime Minister, which will authorize a period of piloting of various issues related to </w:t>
      </w:r>
      <w:r w:rsidR="001B6D90">
        <w:rPr>
          <w:rFonts w:ascii="Book Antiqua" w:hAnsi="Book Antiqua" w:cs="Arial"/>
        </w:rPr>
        <w:t>REDD+</w:t>
      </w:r>
      <w:r w:rsidRPr="000F0314">
        <w:rPr>
          <w:rFonts w:ascii="Book Antiqua" w:hAnsi="Book Antiqua" w:cs="Arial"/>
        </w:rPr>
        <w:t xml:space="preserve"> implementation.  For example, as discussed elsewhere, the hierarchical structure of </w:t>
      </w:r>
      <w:r w:rsidR="001B6D90">
        <w:rPr>
          <w:rFonts w:ascii="Book Antiqua" w:hAnsi="Book Antiqua" w:cs="Arial"/>
        </w:rPr>
        <w:t>REDD+</w:t>
      </w:r>
      <w:r w:rsidRPr="000F0314">
        <w:rPr>
          <w:rFonts w:ascii="Book Antiqua" w:hAnsi="Book Antiqua" w:cs="Arial"/>
        </w:rPr>
        <w:t xml:space="preserve"> benefit distribution (whether national down to provincial before distribution to </w:t>
      </w:r>
      <w:r w:rsidRPr="000F0314">
        <w:rPr>
          <w:rFonts w:ascii="Book Antiqua" w:hAnsi="Book Antiqua" w:cs="Arial"/>
        </w:rPr>
        <w:lastRenderedPageBreak/>
        <w:t xml:space="preserve">ultimate beneficiaries – 2 levels; or national to provincial to district – 3 levels) could be piloted in different provinces in order to assess relative merits in terms of effectiveness and efficiency.  After at least one year, and preferably several years of piloting, the Decision could be replaced by a Decree which integrates lessons learned from piloting and establishes the basis for nationwide implementation of </w:t>
      </w:r>
      <w:r w:rsidR="001B6D90">
        <w:rPr>
          <w:rFonts w:ascii="Book Antiqua" w:hAnsi="Book Antiqua" w:cs="Arial"/>
        </w:rPr>
        <w:t>REDD+</w:t>
      </w:r>
      <w:r w:rsidR="00E215C8" w:rsidRPr="000F0314">
        <w:rPr>
          <w:rFonts w:ascii="Book Antiqua" w:hAnsi="Book Antiqua" w:cs="Arial"/>
        </w:rPr>
        <w:t xml:space="preserve"> (see </w:t>
      </w:r>
      <w:r w:rsidR="00F5648E">
        <w:rPr>
          <w:rFonts w:ascii="Book Antiqua" w:hAnsi="Book Antiqua" w:cs="Arial"/>
        </w:rPr>
        <w:t>Policy Decision</w:t>
      </w:r>
      <w:r w:rsidR="00E215C8" w:rsidRPr="000F0314">
        <w:rPr>
          <w:rFonts w:ascii="Book Antiqua" w:hAnsi="Book Antiqua" w:cs="Arial"/>
        </w:rPr>
        <w:t xml:space="preserve"> 3.3)</w:t>
      </w:r>
      <w:r w:rsidRPr="000F0314">
        <w:rPr>
          <w:rFonts w:ascii="Book Antiqua" w:hAnsi="Book Antiqua" w:cs="Arial"/>
        </w:rPr>
        <w:t>.</w:t>
      </w:r>
    </w:p>
    <w:p w:rsidR="0046208F" w:rsidRDefault="0046208F" w:rsidP="0046208F">
      <w:pPr>
        <w:spacing w:after="0" w:line="300" w:lineRule="atLeast"/>
        <w:jc w:val="both"/>
        <w:rPr>
          <w:rFonts w:ascii="Arial" w:hAnsi="Arial" w:cs="Arial"/>
          <w:sz w:val="24"/>
          <w:szCs w:val="24"/>
        </w:rPr>
      </w:pPr>
    </w:p>
    <w:tbl>
      <w:tblPr>
        <w:tblW w:w="5000" w:type="pct"/>
        <w:jc w:val="right"/>
        <w:tblInd w:w="174" w:type="dxa"/>
        <w:tblBorders>
          <w:top w:val="single" w:sz="24" w:space="0" w:color="FFFFFF"/>
          <w:insideH w:val="single" w:sz="8" w:space="0" w:color="FFFFFF"/>
          <w:insideV w:val="single" w:sz="24" w:space="0" w:color="FFFFFF"/>
        </w:tblBorders>
        <w:tblLook w:val="00A0"/>
      </w:tblPr>
      <w:tblGrid>
        <w:gridCol w:w="1909"/>
        <w:gridCol w:w="7095"/>
      </w:tblGrid>
      <w:tr w:rsidR="0046208F" w:rsidRPr="00445F77">
        <w:trPr>
          <w:tblHeader/>
          <w:jc w:val="right"/>
        </w:trPr>
        <w:tc>
          <w:tcPr>
            <w:tcW w:w="5000" w:type="pct"/>
            <w:gridSpan w:val="2"/>
            <w:tcBorders>
              <w:top w:val="single" w:sz="24" w:space="0" w:color="FFFFFF"/>
            </w:tcBorders>
            <w:shd w:val="clear" w:color="auto" w:fill="76923C"/>
            <w:vAlign w:val="center"/>
          </w:tcPr>
          <w:p w:rsidR="0046208F" w:rsidRPr="000F0314" w:rsidRDefault="0046208F" w:rsidP="00513A9F">
            <w:pPr>
              <w:spacing w:after="0" w:line="240" w:lineRule="auto"/>
              <w:jc w:val="center"/>
              <w:rPr>
                <w:rFonts w:ascii="Book Antiqua" w:hAnsi="Book Antiqua" w:cs="Arial"/>
                <w:b/>
                <w:bCs/>
                <w:color w:val="FFFFFF"/>
                <w:sz w:val="24"/>
                <w:szCs w:val="24"/>
              </w:rPr>
            </w:pPr>
            <w:r w:rsidRPr="000F0314">
              <w:rPr>
                <w:rFonts w:ascii="Book Antiqua" w:hAnsi="Book Antiqua" w:cs="Arial"/>
                <w:b/>
                <w:bCs/>
                <w:color w:val="FFFFFF"/>
                <w:sz w:val="24"/>
                <w:szCs w:val="24"/>
              </w:rPr>
              <w:t>POLICY DECISION 3.3</w:t>
            </w:r>
          </w:p>
          <w:p w:rsidR="0046208F" w:rsidRPr="00445F77" w:rsidRDefault="0046208F" w:rsidP="00513A9F">
            <w:pPr>
              <w:spacing w:after="0" w:line="240" w:lineRule="auto"/>
              <w:jc w:val="center"/>
              <w:rPr>
                <w:rFonts w:ascii="Arial" w:hAnsi="Arial" w:cs="Arial"/>
                <w:b/>
                <w:bCs/>
                <w:color w:val="FFFFFF"/>
                <w:sz w:val="24"/>
                <w:szCs w:val="24"/>
              </w:rPr>
            </w:pPr>
            <w:r w:rsidRPr="000F0314">
              <w:rPr>
                <w:rFonts w:ascii="Book Antiqua" w:hAnsi="Book Antiqua" w:cs="Arial"/>
                <w:b/>
                <w:bCs/>
                <w:color w:val="FFFFFF"/>
                <w:sz w:val="24"/>
                <w:szCs w:val="24"/>
              </w:rPr>
              <w:t xml:space="preserve">Legal framework for </w:t>
            </w:r>
            <w:r w:rsidR="00480D3D">
              <w:rPr>
                <w:rFonts w:ascii="Book Antiqua" w:hAnsi="Book Antiqua" w:cs="Arial"/>
                <w:b/>
                <w:bCs/>
                <w:color w:val="FFFFFF"/>
                <w:sz w:val="24"/>
                <w:szCs w:val="24"/>
              </w:rPr>
              <w:t>REDD+</w:t>
            </w:r>
            <w:r w:rsidRPr="000F0314">
              <w:rPr>
                <w:rFonts w:ascii="Book Antiqua" w:hAnsi="Book Antiqua" w:cs="Arial"/>
                <w:b/>
                <w:bCs/>
                <w:color w:val="FFFFFF"/>
                <w:sz w:val="24"/>
                <w:szCs w:val="24"/>
              </w:rPr>
              <w:t xml:space="preserve"> in </w:t>
            </w:r>
            <w:r w:rsidR="00480D3D">
              <w:rPr>
                <w:rFonts w:ascii="Book Antiqua" w:hAnsi="Book Antiqua" w:cs="Arial"/>
                <w:b/>
                <w:bCs/>
                <w:color w:val="FFFFFF"/>
                <w:sz w:val="24"/>
                <w:szCs w:val="24"/>
              </w:rPr>
              <w:t>Viet Nam</w:t>
            </w:r>
          </w:p>
        </w:tc>
      </w:tr>
      <w:tr w:rsidR="0046208F" w:rsidRPr="00445F77">
        <w:trPr>
          <w:jc w:val="right"/>
        </w:trPr>
        <w:tc>
          <w:tcPr>
            <w:tcW w:w="1060" w:type="pct"/>
            <w:shd w:val="clear" w:color="auto" w:fill="C2D69B"/>
            <w:vAlign w:val="center"/>
          </w:tcPr>
          <w:p w:rsidR="0046208F" w:rsidRPr="000F0314" w:rsidRDefault="0046208F" w:rsidP="00513A9F">
            <w:pPr>
              <w:spacing w:after="0" w:line="240" w:lineRule="auto"/>
              <w:rPr>
                <w:rFonts w:ascii="Book Antiqua" w:hAnsi="Book Antiqua" w:cs="Arial"/>
              </w:rPr>
            </w:pPr>
            <w:r w:rsidRPr="000F0314">
              <w:rPr>
                <w:rFonts w:ascii="Book Antiqua" w:hAnsi="Book Antiqua" w:cs="Arial"/>
              </w:rPr>
              <w:t>Issue to be addressed</w:t>
            </w:r>
          </w:p>
        </w:tc>
        <w:tc>
          <w:tcPr>
            <w:tcW w:w="3940" w:type="pct"/>
            <w:shd w:val="clear" w:color="auto" w:fill="D6E3BC"/>
            <w:vAlign w:val="center"/>
          </w:tcPr>
          <w:p w:rsidR="0046208F" w:rsidRPr="000F0314" w:rsidRDefault="00480D3D" w:rsidP="00513A9F">
            <w:pPr>
              <w:spacing w:after="0" w:line="240" w:lineRule="auto"/>
              <w:jc w:val="both"/>
              <w:rPr>
                <w:rFonts w:ascii="Book Antiqua" w:hAnsi="Book Antiqua" w:cs="Arial"/>
              </w:rPr>
            </w:pPr>
            <w:r>
              <w:rPr>
                <w:rFonts w:ascii="Book Antiqua" w:hAnsi="Book Antiqua" w:cs="Arial"/>
              </w:rPr>
              <w:t>REDD+</w:t>
            </w:r>
            <w:r w:rsidR="0046208F" w:rsidRPr="000F0314">
              <w:rPr>
                <w:rFonts w:ascii="Book Antiqua" w:hAnsi="Book Antiqua" w:cs="Arial"/>
              </w:rPr>
              <w:t xml:space="preserve"> is new to </w:t>
            </w:r>
            <w:r>
              <w:rPr>
                <w:rFonts w:ascii="Book Antiqua" w:hAnsi="Book Antiqua" w:cs="Arial"/>
              </w:rPr>
              <w:t>Viet Nam</w:t>
            </w:r>
            <w:r w:rsidR="0046208F" w:rsidRPr="000F0314">
              <w:rPr>
                <w:rFonts w:ascii="Book Antiqua" w:hAnsi="Book Antiqua" w:cs="Arial"/>
              </w:rPr>
              <w:t xml:space="preserve">, and international requirements concerning management of </w:t>
            </w:r>
            <w:r>
              <w:rPr>
                <w:rFonts w:ascii="Book Antiqua" w:hAnsi="Book Antiqua" w:cs="Arial"/>
              </w:rPr>
              <w:t>REDD+</w:t>
            </w:r>
            <w:r w:rsidR="0046208F" w:rsidRPr="000F0314">
              <w:rPr>
                <w:rFonts w:ascii="Book Antiqua" w:hAnsi="Book Antiqua" w:cs="Arial"/>
              </w:rPr>
              <w:t xml:space="preserve"> revenues are likely to require approaches to governance and a degree of legal certainty that have not been encountered in similar schemes such as</w:t>
            </w:r>
            <w:r w:rsidR="001B6D90">
              <w:rPr>
                <w:rFonts w:ascii="Book Antiqua" w:hAnsi="Book Antiqua" w:cs="Arial"/>
              </w:rPr>
              <w:t xml:space="preserve"> PFES</w:t>
            </w:r>
            <w:r w:rsidR="0046208F" w:rsidRPr="000F0314">
              <w:rPr>
                <w:rFonts w:ascii="Book Antiqua" w:hAnsi="Book Antiqua" w:cs="Arial"/>
              </w:rPr>
              <w:t xml:space="preserve">, or the 661 programme.  Furthermore, </w:t>
            </w:r>
            <w:r>
              <w:rPr>
                <w:rFonts w:ascii="Book Antiqua" w:hAnsi="Book Antiqua" w:cs="Arial"/>
              </w:rPr>
              <w:t>REDD+</w:t>
            </w:r>
            <w:r w:rsidR="0046208F" w:rsidRPr="000F0314">
              <w:rPr>
                <w:rFonts w:ascii="Book Antiqua" w:hAnsi="Book Antiqua" w:cs="Arial"/>
              </w:rPr>
              <w:t xml:space="preserve"> brings with it legal concepts that are novel to </w:t>
            </w:r>
            <w:smartTag w:uri="urn:schemas-microsoft-com:office:smarttags" w:element="country-region">
              <w:smartTag w:uri="urn:schemas-microsoft-com:office:smarttags" w:element="place">
                <w:r w:rsidR="0046208F" w:rsidRPr="000F0314">
                  <w:rPr>
                    <w:rFonts w:ascii="Book Antiqua" w:hAnsi="Book Antiqua" w:cs="Arial"/>
                  </w:rPr>
                  <w:t>Viet Nam</w:t>
                </w:r>
              </w:smartTag>
            </w:smartTag>
            <w:r w:rsidR="0046208F" w:rsidRPr="000F0314">
              <w:rPr>
                <w:rFonts w:ascii="Book Antiqua" w:hAnsi="Book Antiqua" w:cs="Arial"/>
              </w:rPr>
              <w:t>, such as ownership or rights to forest carbon.</w:t>
            </w:r>
          </w:p>
          <w:p w:rsidR="0046208F" w:rsidRPr="000F0314" w:rsidRDefault="0046208F" w:rsidP="00513A9F">
            <w:pPr>
              <w:spacing w:after="0" w:line="240" w:lineRule="auto"/>
              <w:jc w:val="both"/>
              <w:rPr>
                <w:rFonts w:ascii="Book Antiqua" w:hAnsi="Book Antiqua" w:cs="Arial"/>
              </w:rPr>
            </w:pPr>
          </w:p>
          <w:p w:rsidR="0046208F" w:rsidRDefault="0046208F" w:rsidP="00513A9F">
            <w:pPr>
              <w:spacing w:after="0" w:line="240" w:lineRule="auto"/>
              <w:jc w:val="both"/>
              <w:rPr>
                <w:rFonts w:ascii="Book Antiqua" w:hAnsi="Book Antiqua" w:cs="Arial"/>
              </w:rPr>
            </w:pPr>
            <w:r w:rsidRPr="000F0314">
              <w:rPr>
                <w:rFonts w:ascii="Book Antiqua" w:hAnsi="Book Antiqua" w:cs="Arial"/>
              </w:rPr>
              <w:t xml:space="preserve">Therefore in order to facilitate </w:t>
            </w:r>
            <w:r w:rsidR="00480D3D">
              <w:rPr>
                <w:rFonts w:ascii="Book Antiqua" w:hAnsi="Book Antiqua" w:cs="Arial"/>
              </w:rPr>
              <w:t>REDD+</w:t>
            </w:r>
            <w:r w:rsidRPr="000F0314">
              <w:rPr>
                <w:rFonts w:ascii="Book Antiqua" w:hAnsi="Book Antiqua" w:cs="Arial"/>
              </w:rPr>
              <w:t xml:space="preserve"> implementation, the legal framework in which </w:t>
            </w:r>
            <w:r w:rsidR="00480D3D">
              <w:rPr>
                <w:rFonts w:ascii="Book Antiqua" w:hAnsi="Book Antiqua" w:cs="Arial"/>
              </w:rPr>
              <w:t>REDD+</w:t>
            </w:r>
            <w:r w:rsidRPr="000F0314">
              <w:rPr>
                <w:rFonts w:ascii="Book Antiqua" w:hAnsi="Book Antiqua" w:cs="Arial"/>
              </w:rPr>
              <w:t xml:space="preserve"> operates should be equitable, effective and efficient in order to meet international expectations. It should clearly define rights, particularly those of communities living in and around forest areas, a financial mechanism that allows </w:t>
            </w:r>
            <w:r w:rsidR="00480D3D">
              <w:rPr>
                <w:rFonts w:ascii="Book Antiqua" w:hAnsi="Book Antiqua" w:cs="Arial"/>
              </w:rPr>
              <w:t>REDD+</w:t>
            </w:r>
            <w:r w:rsidRPr="000F0314">
              <w:rPr>
                <w:rFonts w:ascii="Book Antiqua" w:hAnsi="Book Antiqua" w:cs="Arial"/>
              </w:rPr>
              <w:t xml:space="preserve"> funds to reach the local beneficiaries, the fund’s governance structure, how funds are monitored, roles, rights, and responsibilities of major stakeholders, etc.</w:t>
            </w:r>
          </w:p>
          <w:p w:rsidR="007C38DB" w:rsidRPr="000F0314" w:rsidRDefault="007C38DB" w:rsidP="00513A9F">
            <w:pPr>
              <w:spacing w:after="0" w:line="240" w:lineRule="auto"/>
              <w:jc w:val="both"/>
              <w:rPr>
                <w:rFonts w:ascii="Book Antiqua" w:hAnsi="Book Antiqua" w:cs="Arial"/>
              </w:rPr>
            </w:pPr>
          </w:p>
          <w:p w:rsidR="0046208F" w:rsidRPr="000F0314" w:rsidRDefault="0046208F" w:rsidP="00513A9F">
            <w:pPr>
              <w:spacing w:after="0" w:line="240" w:lineRule="auto"/>
              <w:jc w:val="both"/>
              <w:rPr>
                <w:rFonts w:ascii="Book Antiqua" w:hAnsi="Book Antiqua" w:cs="Arial"/>
              </w:rPr>
            </w:pPr>
            <w:r w:rsidRPr="000F0314">
              <w:rPr>
                <w:rFonts w:ascii="Book Antiqua" w:hAnsi="Book Antiqua" w:cs="Arial"/>
              </w:rPr>
              <w:t xml:space="preserve">Three specific legal issues need to be addressed as a priority in </w:t>
            </w:r>
            <w:r w:rsidR="00480D3D">
              <w:rPr>
                <w:rFonts w:ascii="Book Antiqua" w:hAnsi="Book Antiqua" w:cs="Arial"/>
              </w:rPr>
              <w:t>Viet Nam</w:t>
            </w:r>
            <w:r w:rsidRPr="000F0314">
              <w:rPr>
                <w:rFonts w:ascii="Book Antiqua" w:hAnsi="Book Antiqua" w:cs="Arial"/>
              </w:rPr>
              <w:t xml:space="preserve">: (1) The rights to carbon, land and forests, particularly forest allocation and associated land use rights; (2) The coordination of the action of the government authorities involved with </w:t>
            </w:r>
            <w:r w:rsidR="00480D3D">
              <w:rPr>
                <w:rFonts w:ascii="Book Antiqua" w:hAnsi="Book Antiqua" w:cs="Arial"/>
              </w:rPr>
              <w:t>REDD+</w:t>
            </w:r>
            <w:r w:rsidRPr="000F0314">
              <w:rPr>
                <w:rFonts w:ascii="Book Antiqua" w:hAnsi="Book Antiqua" w:cs="Arial"/>
              </w:rPr>
              <w:t xml:space="preserve">, in particular MARD and MONRE; and (3) Ensuring that all legitimate beneficiaries are recognized, in particular addressing the legal status of local communities. </w:t>
            </w:r>
          </w:p>
        </w:tc>
      </w:tr>
      <w:tr w:rsidR="0046208F" w:rsidRPr="00445F77">
        <w:trPr>
          <w:jc w:val="right"/>
        </w:trPr>
        <w:tc>
          <w:tcPr>
            <w:tcW w:w="1060" w:type="pct"/>
            <w:shd w:val="clear" w:color="auto" w:fill="C2D69B"/>
            <w:vAlign w:val="center"/>
          </w:tcPr>
          <w:p w:rsidR="0046208F" w:rsidRPr="000F0314" w:rsidRDefault="0046208F" w:rsidP="00513A9F">
            <w:pPr>
              <w:spacing w:after="0" w:line="240" w:lineRule="auto"/>
              <w:rPr>
                <w:rFonts w:ascii="Book Antiqua" w:hAnsi="Book Antiqua" w:cs="Arial"/>
              </w:rPr>
            </w:pPr>
            <w:r w:rsidRPr="000F0314">
              <w:rPr>
                <w:rFonts w:ascii="Book Antiqua" w:hAnsi="Book Antiqua" w:cs="Arial"/>
              </w:rPr>
              <w:t>Options</w:t>
            </w:r>
          </w:p>
        </w:tc>
        <w:tc>
          <w:tcPr>
            <w:tcW w:w="3940" w:type="pct"/>
            <w:shd w:val="clear" w:color="auto" w:fill="D6E3BC"/>
            <w:vAlign w:val="center"/>
          </w:tcPr>
          <w:p w:rsidR="0046208F" w:rsidRPr="00A605C9" w:rsidRDefault="0046208F" w:rsidP="008227FD">
            <w:pPr>
              <w:pStyle w:val="ListParagraph"/>
              <w:numPr>
                <w:ilvl w:val="0"/>
                <w:numId w:val="142"/>
              </w:numPr>
              <w:spacing w:after="0" w:line="240" w:lineRule="auto"/>
              <w:ind w:left="251" w:hanging="270"/>
              <w:jc w:val="both"/>
              <w:rPr>
                <w:rFonts w:ascii="Book Antiqua" w:hAnsi="Book Antiqua" w:cs="Arial"/>
              </w:rPr>
            </w:pPr>
            <w:r w:rsidRPr="00A605C9">
              <w:rPr>
                <w:rFonts w:ascii="Book Antiqua" w:hAnsi="Book Antiqua" w:cs="Arial"/>
              </w:rPr>
              <w:t xml:space="preserve">Implement </w:t>
            </w:r>
            <w:r w:rsidR="00480D3D" w:rsidRPr="00A605C9">
              <w:rPr>
                <w:rFonts w:ascii="Book Antiqua" w:hAnsi="Book Antiqua" w:cs="Arial"/>
              </w:rPr>
              <w:t>REDD+</w:t>
            </w:r>
            <w:r w:rsidRPr="00A605C9">
              <w:rPr>
                <w:rFonts w:ascii="Book Antiqua" w:hAnsi="Book Antiqua" w:cs="Arial"/>
              </w:rPr>
              <w:t xml:space="preserve"> by interpreting only existing legal instruments, without legal reform</w:t>
            </w:r>
          </w:p>
          <w:p w:rsidR="0046208F" w:rsidRPr="00A605C9" w:rsidRDefault="0046208F" w:rsidP="008227FD">
            <w:pPr>
              <w:pStyle w:val="ListParagraph"/>
              <w:numPr>
                <w:ilvl w:val="0"/>
                <w:numId w:val="142"/>
              </w:numPr>
              <w:spacing w:after="0" w:line="240" w:lineRule="auto"/>
              <w:ind w:left="251" w:hanging="270"/>
              <w:jc w:val="both"/>
              <w:rPr>
                <w:rFonts w:ascii="Book Antiqua" w:hAnsi="Book Antiqua" w:cs="Arial"/>
              </w:rPr>
            </w:pPr>
            <w:r w:rsidRPr="00A605C9">
              <w:rPr>
                <w:rFonts w:ascii="Book Antiqua" w:hAnsi="Book Antiqua" w:cs="Arial"/>
              </w:rPr>
              <w:t xml:space="preserve">Enact specific legal instruments to ensure clarity concerning </w:t>
            </w:r>
            <w:r w:rsidR="00480D3D" w:rsidRPr="00A605C9">
              <w:rPr>
                <w:rFonts w:ascii="Book Antiqua" w:hAnsi="Book Antiqua" w:cs="Arial"/>
              </w:rPr>
              <w:t>REDD+</w:t>
            </w:r>
            <w:r w:rsidRPr="00A605C9">
              <w:rPr>
                <w:rFonts w:ascii="Book Antiqua" w:hAnsi="Book Antiqua" w:cs="Arial"/>
              </w:rPr>
              <w:t xml:space="preserve"> and administration of </w:t>
            </w:r>
            <w:r w:rsidR="00480D3D" w:rsidRPr="00A605C9">
              <w:rPr>
                <w:rFonts w:ascii="Book Antiqua" w:hAnsi="Book Antiqua" w:cs="Arial"/>
              </w:rPr>
              <w:t>REDD+</w:t>
            </w:r>
            <w:r w:rsidRPr="00A605C9">
              <w:rPr>
                <w:rFonts w:ascii="Book Antiqua" w:hAnsi="Book Antiqua" w:cs="Arial"/>
              </w:rPr>
              <w:t xml:space="preserve"> revenues, without undertaking  broader legal reform</w:t>
            </w:r>
          </w:p>
          <w:p w:rsidR="0046208F" w:rsidRPr="00A605C9" w:rsidRDefault="0046208F" w:rsidP="008227FD">
            <w:pPr>
              <w:pStyle w:val="ListParagraph"/>
              <w:numPr>
                <w:ilvl w:val="0"/>
                <w:numId w:val="142"/>
              </w:numPr>
              <w:spacing w:after="0" w:line="240" w:lineRule="auto"/>
              <w:ind w:left="251" w:hanging="270"/>
              <w:jc w:val="both"/>
              <w:rPr>
                <w:rFonts w:ascii="Book Antiqua" w:hAnsi="Book Antiqua" w:cs="Arial"/>
              </w:rPr>
            </w:pPr>
            <w:r w:rsidRPr="00A605C9">
              <w:rPr>
                <w:rFonts w:ascii="Book Antiqua" w:hAnsi="Book Antiqua" w:cs="Arial"/>
              </w:rPr>
              <w:t xml:space="preserve">Undertake a broad legal reform which addresses all aspects of </w:t>
            </w:r>
            <w:r w:rsidR="00480D3D" w:rsidRPr="00A605C9">
              <w:rPr>
                <w:rFonts w:ascii="Book Antiqua" w:hAnsi="Book Antiqua" w:cs="Arial"/>
              </w:rPr>
              <w:t>REDD+</w:t>
            </w:r>
            <w:r w:rsidRPr="00A605C9">
              <w:rPr>
                <w:rFonts w:ascii="Book Antiqua" w:hAnsi="Book Antiqua" w:cs="Arial"/>
              </w:rPr>
              <w:t xml:space="preserve"> governance and administration of </w:t>
            </w:r>
            <w:r w:rsidR="00480D3D" w:rsidRPr="00A605C9">
              <w:rPr>
                <w:rFonts w:ascii="Book Antiqua" w:hAnsi="Book Antiqua" w:cs="Arial"/>
              </w:rPr>
              <w:t>REDD+</w:t>
            </w:r>
            <w:r w:rsidRPr="00A605C9">
              <w:rPr>
                <w:rFonts w:ascii="Book Antiqua" w:hAnsi="Book Antiqua" w:cs="Arial"/>
              </w:rPr>
              <w:t xml:space="preserve"> revenues.</w:t>
            </w:r>
          </w:p>
        </w:tc>
      </w:tr>
      <w:tr w:rsidR="0046208F" w:rsidRPr="00445F77">
        <w:trPr>
          <w:jc w:val="right"/>
        </w:trPr>
        <w:tc>
          <w:tcPr>
            <w:tcW w:w="1060" w:type="pct"/>
            <w:shd w:val="clear" w:color="auto" w:fill="C2D69B"/>
            <w:vAlign w:val="center"/>
          </w:tcPr>
          <w:p w:rsidR="0046208F" w:rsidRPr="000F0314" w:rsidRDefault="0046208F" w:rsidP="00513A9F">
            <w:pPr>
              <w:spacing w:after="0" w:line="240" w:lineRule="auto"/>
              <w:rPr>
                <w:rFonts w:ascii="Book Antiqua" w:hAnsi="Book Antiqua" w:cs="Arial"/>
              </w:rPr>
            </w:pPr>
            <w:r w:rsidRPr="000F0314">
              <w:rPr>
                <w:rFonts w:ascii="Book Antiqua" w:hAnsi="Book Antiqua" w:cs="Arial"/>
              </w:rPr>
              <w:t>Recommended principle or policy to be adopted</w:t>
            </w:r>
          </w:p>
        </w:tc>
        <w:tc>
          <w:tcPr>
            <w:tcW w:w="3940" w:type="pct"/>
            <w:shd w:val="clear" w:color="auto" w:fill="D6E3BC"/>
            <w:vAlign w:val="center"/>
          </w:tcPr>
          <w:p w:rsidR="0046208F" w:rsidRPr="000F0314" w:rsidRDefault="0046208F" w:rsidP="00513A9F">
            <w:pPr>
              <w:pStyle w:val="ListParagraph"/>
              <w:spacing w:after="0" w:line="240" w:lineRule="auto"/>
              <w:ind w:left="0"/>
              <w:jc w:val="both"/>
              <w:rPr>
                <w:rFonts w:ascii="Book Antiqua" w:hAnsi="Book Antiqua" w:cs="Arial"/>
                <w:lang w:val="en-GB"/>
              </w:rPr>
            </w:pPr>
            <w:r w:rsidRPr="000F0314">
              <w:rPr>
                <w:rFonts w:ascii="Book Antiqua" w:hAnsi="Book Antiqua" w:cs="Arial"/>
                <w:lang w:val="en-GB"/>
              </w:rPr>
              <w:t xml:space="preserve">A phased approach to legal reform is recommended. Consistent with its commitment to international leadership on </w:t>
            </w:r>
            <w:r w:rsidR="00480D3D">
              <w:rPr>
                <w:rFonts w:ascii="Book Antiqua" w:hAnsi="Book Antiqua" w:cs="Arial"/>
                <w:lang w:val="en-GB"/>
              </w:rPr>
              <w:t>REDD+</w:t>
            </w:r>
            <w:r w:rsidRPr="000F0314">
              <w:rPr>
                <w:rFonts w:ascii="Book Antiqua" w:hAnsi="Book Antiqua" w:cs="Arial"/>
                <w:lang w:val="en-GB"/>
              </w:rPr>
              <w:t xml:space="preserve">, the GoV should in a first stage, and pending the clarification of the international </w:t>
            </w:r>
            <w:r w:rsidR="00480D3D">
              <w:rPr>
                <w:rFonts w:ascii="Book Antiqua" w:hAnsi="Book Antiqua" w:cs="Arial"/>
                <w:lang w:val="en-GB"/>
              </w:rPr>
              <w:t>REDD+</w:t>
            </w:r>
            <w:r w:rsidRPr="000F0314">
              <w:rPr>
                <w:rFonts w:ascii="Book Antiqua" w:hAnsi="Book Antiqua" w:cs="Arial"/>
                <w:lang w:val="en-GB"/>
              </w:rPr>
              <w:t xml:space="preserve"> legal framework, plan to issue a </w:t>
            </w:r>
            <w:r w:rsidR="00480D3D">
              <w:rPr>
                <w:rFonts w:ascii="Book Antiqua" w:hAnsi="Book Antiqua" w:cs="Arial"/>
                <w:lang w:val="en-GB"/>
              </w:rPr>
              <w:t>REDD+</w:t>
            </w:r>
            <w:r w:rsidRPr="000F0314">
              <w:rPr>
                <w:rFonts w:ascii="Book Antiqua" w:hAnsi="Book Antiqua" w:cs="Arial"/>
                <w:lang w:val="en-GB"/>
              </w:rPr>
              <w:t xml:space="preserve"> specific decree that addresses governance issues associated with international funding of </w:t>
            </w:r>
            <w:r w:rsidR="00480D3D">
              <w:rPr>
                <w:rFonts w:ascii="Book Antiqua" w:hAnsi="Book Antiqua" w:cs="Arial"/>
                <w:lang w:val="en-GB"/>
              </w:rPr>
              <w:t>REDD+</w:t>
            </w:r>
            <w:r w:rsidRPr="000F0314">
              <w:rPr>
                <w:rFonts w:ascii="Book Antiqua" w:hAnsi="Book Antiqua" w:cs="Arial"/>
                <w:lang w:val="en-GB"/>
              </w:rPr>
              <w:t xml:space="preserve">, so as to ensure that implementation of </w:t>
            </w:r>
            <w:r w:rsidR="00480D3D">
              <w:rPr>
                <w:rFonts w:ascii="Book Antiqua" w:hAnsi="Book Antiqua" w:cs="Arial"/>
                <w:lang w:val="en-GB"/>
              </w:rPr>
              <w:t>REDD+</w:t>
            </w:r>
            <w:r w:rsidRPr="000F0314">
              <w:rPr>
                <w:rFonts w:ascii="Book Antiqua" w:hAnsi="Book Antiqua" w:cs="Arial"/>
                <w:lang w:val="en-GB"/>
              </w:rPr>
              <w:t xml:space="preserve"> is consistent with </w:t>
            </w:r>
            <w:r w:rsidR="00480D3D">
              <w:rPr>
                <w:rFonts w:ascii="Book Antiqua" w:hAnsi="Book Antiqua" w:cs="Arial"/>
                <w:lang w:val="en-GB"/>
              </w:rPr>
              <w:t>Vietnamese</w:t>
            </w:r>
            <w:r w:rsidRPr="000F0314">
              <w:rPr>
                <w:rFonts w:ascii="Book Antiqua" w:hAnsi="Book Antiqua" w:cs="Arial"/>
                <w:lang w:val="en-GB"/>
              </w:rPr>
              <w:t xml:space="preserve"> law.  This decree should be issued after a pilot phase (over at least 2 years) during which </w:t>
            </w:r>
            <w:r w:rsidR="00480D3D">
              <w:rPr>
                <w:rFonts w:ascii="Book Antiqua" w:hAnsi="Book Antiqua" w:cs="Arial"/>
                <w:lang w:val="en-GB"/>
              </w:rPr>
              <w:t>REDD+</w:t>
            </w:r>
            <w:r w:rsidRPr="000F0314">
              <w:rPr>
                <w:rFonts w:ascii="Book Antiqua" w:hAnsi="Book Antiqua" w:cs="Arial"/>
                <w:lang w:val="en-GB"/>
              </w:rPr>
              <w:t xml:space="preserve"> modalities would be tested.  This approach is similar to how</w:t>
            </w:r>
            <w:r w:rsidR="001B6D90">
              <w:rPr>
                <w:rFonts w:ascii="Book Antiqua" w:hAnsi="Book Antiqua" w:cs="Arial"/>
                <w:lang w:val="en-GB"/>
              </w:rPr>
              <w:t xml:space="preserve"> PFES</w:t>
            </w:r>
            <w:r w:rsidRPr="000F0314">
              <w:rPr>
                <w:rFonts w:ascii="Book Antiqua" w:hAnsi="Book Antiqua" w:cs="Arial"/>
                <w:lang w:val="en-GB"/>
              </w:rPr>
              <w:t xml:space="preserve"> has been implemented with a decree being prepared following a 2-year pilot </w:t>
            </w:r>
            <w:r w:rsidRPr="000F0314">
              <w:rPr>
                <w:rFonts w:ascii="Book Antiqua" w:hAnsi="Book Antiqua" w:cs="Arial"/>
                <w:lang w:val="en-GB"/>
              </w:rPr>
              <w:lastRenderedPageBreak/>
              <w:t xml:space="preserve">phase.  The GoV should also accelerate the other legal reforms required to ensure effective implementation of </w:t>
            </w:r>
            <w:r w:rsidR="00480D3D">
              <w:rPr>
                <w:rFonts w:ascii="Book Antiqua" w:hAnsi="Book Antiqua" w:cs="Arial"/>
                <w:lang w:val="en-GB"/>
              </w:rPr>
              <w:t>REDD+</w:t>
            </w:r>
          </w:p>
        </w:tc>
      </w:tr>
      <w:tr w:rsidR="0046208F" w:rsidRPr="00445F77">
        <w:trPr>
          <w:trHeight w:val="358"/>
          <w:jc w:val="right"/>
        </w:trPr>
        <w:tc>
          <w:tcPr>
            <w:tcW w:w="1060" w:type="pct"/>
            <w:shd w:val="clear" w:color="auto" w:fill="C2D69B"/>
            <w:vAlign w:val="center"/>
          </w:tcPr>
          <w:p w:rsidR="0046208F" w:rsidRPr="000F0314" w:rsidRDefault="00B54274" w:rsidP="00513A9F">
            <w:pPr>
              <w:spacing w:after="0" w:line="240" w:lineRule="auto"/>
              <w:rPr>
                <w:rFonts w:ascii="Book Antiqua" w:hAnsi="Book Antiqua" w:cs="Arial"/>
              </w:rPr>
            </w:pPr>
            <w:r>
              <w:rPr>
                <w:rFonts w:ascii="Book Antiqua" w:hAnsi="Book Antiqua" w:cs="Arial"/>
              </w:rPr>
              <w:lastRenderedPageBreak/>
              <w:t>Actions required to confirm policy option</w:t>
            </w:r>
          </w:p>
        </w:tc>
        <w:tc>
          <w:tcPr>
            <w:tcW w:w="3940" w:type="pct"/>
            <w:shd w:val="clear" w:color="auto" w:fill="D6E3BC"/>
            <w:vAlign w:val="center"/>
          </w:tcPr>
          <w:p w:rsidR="00A605C9" w:rsidRPr="003C0FC0" w:rsidRDefault="00A605C9" w:rsidP="00A605C9">
            <w:pPr>
              <w:spacing w:after="0" w:line="240" w:lineRule="auto"/>
              <w:jc w:val="both"/>
              <w:rPr>
                <w:rFonts w:ascii="Book Antiqua" w:hAnsi="Book Antiqua" w:cs="Arial"/>
              </w:rPr>
            </w:pPr>
            <w:r w:rsidRPr="003C0FC0">
              <w:rPr>
                <w:rFonts w:ascii="Book Antiqua" w:hAnsi="Book Antiqua" w:cs="Arial"/>
              </w:rPr>
              <w:t xml:space="preserve">As soon as possible, the GoV should develop plans for piloting REDD+ in a small number of provinces and districts, and establish a system to ensure that lessons are captured and analyzed in preparation for the issuance of a decree on REDD+ at some time in the future (target 2012 or 2013). </w:t>
            </w:r>
          </w:p>
          <w:p w:rsidR="00A605C9" w:rsidRPr="003C0FC0" w:rsidRDefault="00A605C9" w:rsidP="00A605C9">
            <w:pPr>
              <w:spacing w:after="0" w:line="240" w:lineRule="auto"/>
              <w:jc w:val="both"/>
              <w:rPr>
                <w:rFonts w:ascii="Book Antiqua" w:hAnsi="Book Antiqua" w:cs="Arial"/>
              </w:rPr>
            </w:pPr>
          </w:p>
          <w:p w:rsidR="0046208F" w:rsidRPr="000F0314" w:rsidRDefault="00A605C9" w:rsidP="00A605C9">
            <w:pPr>
              <w:spacing w:after="0" w:line="240" w:lineRule="auto"/>
              <w:jc w:val="both"/>
              <w:rPr>
                <w:rFonts w:ascii="Book Antiqua" w:hAnsi="Book Antiqua" w:cs="Arial"/>
              </w:rPr>
            </w:pPr>
            <w:r w:rsidRPr="003C0FC0">
              <w:rPr>
                <w:rFonts w:ascii="Book Antiqua" w:hAnsi="Book Antiqua" w:cs="Arial"/>
              </w:rPr>
              <w:t xml:space="preserve">A detailed workplan for addressing the other required legal reforms should be developed in the first 3 months of 2010.  Consideration should also be given to the use of instruments such as “R-Coefficients” (see Policy Decision </w:t>
            </w:r>
            <w:r>
              <w:rPr>
                <w:rFonts w:ascii="Book Antiqua" w:hAnsi="Book Antiqua" w:cs="Arial"/>
              </w:rPr>
              <w:t>5.2</w:t>
            </w:r>
            <w:r w:rsidRPr="003C0FC0">
              <w:rPr>
                <w:rFonts w:ascii="Book Antiqua" w:hAnsi="Book Antiqua" w:cs="Arial"/>
              </w:rPr>
              <w:t xml:space="preserve">, below) to provide incentives for </w:t>
            </w:r>
            <w:r w:rsidR="003A6A8D">
              <w:rPr>
                <w:rFonts w:ascii="Book Antiqua" w:hAnsi="Book Antiqua" w:cs="Arial"/>
              </w:rPr>
              <w:t>SOC</w:t>
            </w:r>
            <w:r w:rsidRPr="003C0FC0">
              <w:rPr>
                <w:rFonts w:ascii="Book Antiqua" w:hAnsi="Book Antiqua" w:cs="Arial"/>
              </w:rPr>
              <w:t xml:space="preserve"> reform</w:t>
            </w:r>
            <w:r>
              <w:rPr>
                <w:rFonts w:ascii="Book Antiqua" w:hAnsi="Book Antiqua" w:cs="Arial"/>
              </w:rPr>
              <w:t xml:space="preserve">. </w:t>
            </w:r>
          </w:p>
        </w:tc>
      </w:tr>
    </w:tbl>
    <w:p w:rsidR="00351F2C" w:rsidRPr="00445F77" w:rsidRDefault="00351F2C" w:rsidP="007C38DB">
      <w:pPr>
        <w:spacing w:after="0" w:line="300" w:lineRule="atLeast"/>
        <w:jc w:val="both"/>
        <w:rPr>
          <w:rFonts w:ascii="Arial" w:hAnsi="Arial" w:cs="Arial"/>
          <w:sz w:val="24"/>
          <w:szCs w:val="24"/>
        </w:rPr>
      </w:pPr>
      <w:r w:rsidRPr="00445F77">
        <w:rPr>
          <w:rFonts w:ascii="Arial" w:hAnsi="Arial" w:cs="Arial"/>
          <w:sz w:val="24"/>
          <w:szCs w:val="24"/>
        </w:rPr>
        <w:t xml:space="preserve">   </w:t>
      </w:r>
    </w:p>
    <w:p w:rsidR="0046208F" w:rsidRPr="00445F77" w:rsidRDefault="0046208F" w:rsidP="007C38DB">
      <w:pPr>
        <w:pStyle w:val="Heading3"/>
        <w:spacing w:before="0" w:after="0"/>
        <w:rPr>
          <w:rFonts w:ascii="Arial" w:hAnsi="Arial" w:cs="Arial"/>
        </w:rPr>
      </w:pPr>
      <w:r>
        <w:rPr>
          <w:rFonts w:ascii="Arial" w:hAnsi="Arial" w:cs="Arial"/>
        </w:rPr>
        <w:t>Strengthening of forest law enforcement</w:t>
      </w:r>
    </w:p>
    <w:p w:rsidR="00351F2C" w:rsidRPr="000F0314" w:rsidRDefault="00E215C8" w:rsidP="007C38DB">
      <w:pPr>
        <w:spacing w:after="0" w:line="300" w:lineRule="atLeast"/>
        <w:jc w:val="both"/>
        <w:rPr>
          <w:rFonts w:ascii="Book Antiqua" w:hAnsi="Book Antiqua" w:cs="Arial"/>
        </w:rPr>
      </w:pPr>
      <w:r w:rsidRPr="000F0314">
        <w:rPr>
          <w:rFonts w:ascii="Book Antiqua" w:hAnsi="Book Antiqua" w:cs="Arial"/>
        </w:rPr>
        <w:t xml:space="preserve">In </w:t>
      </w:r>
      <w:smartTag w:uri="urn:schemas-microsoft-com:office:smarttags" w:element="country-region">
        <w:smartTag w:uri="urn:schemas-microsoft-com:office:smarttags" w:element="place">
          <w:r w:rsidRPr="000F0314">
            <w:rPr>
              <w:rFonts w:ascii="Book Antiqua" w:hAnsi="Book Antiqua" w:cs="Arial"/>
            </w:rPr>
            <w:t>Viet Nam</w:t>
          </w:r>
        </w:smartTag>
      </w:smartTag>
      <w:r w:rsidRPr="000F0314">
        <w:rPr>
          <w:rFonts w:ascii="Book Antiqua" w:hAnsi="Book Antiqua" w:cs="Arial"/>
        </w:rPr>
        <w:t xml:space="preserve">, as in many other developing countries, one of the underlying causes of deforestation and forest degradation is </w:t>
      </w:r>
      <w:r w:rsidR="00DA3405" w:rsidRPr="000F0314">
        <w:rPr>
          <w:rFonts w:ascii="Book Antiqua" w:hAnsi="Book Antiqua" w:cs="Arial"/>
        </w:rPr>
        <w:t>weak</w:t>
      </w:r>
      <w:r w:rsidRPr="000F0314">
        <w:rPr>
          <w:rFonts w:ascii="Book Antiqua" w:hAnsi="Book Antiqua" w:cs="Arial"/>
        </w:rPr>
        <w:t xml:space="preserve"> application of forest laws.  Often there is a perception that laws relating to forest use are inadequately enforced.  Furthermore, if enforced, the judicial system may appear reluctant to convict and, if convictions are obtained, the penalties are too small to act as a deterrent.</w:t>
      </w:r>
      <w:r w:rsidR="00DA3405" w:rsidRPr="000F0314">
        <w:rPr>
          <w:rFonts w:ascii="Book Antiqua" w:hAnsi="Book Antiqua" w:cs="Arial"/>
        </w:rPr>
        <w:t xml:space="preserve">  The establishment of a comprehensive legal framework for </w:t>
      </w:r>
      <w:r w:rsidR="001B6D90">
        <w:rPr>
          <w:rFonts w:ascii="Book Antiqua" w:hAnsi="Book Antiqua" w:cs="Arial"/>
        </w:rPr>
        <w:t>REDD+</w:t>
      </w:r>
      <w:r w:rsidR="00DA3405" w:rsidRPr="000F0314">
        <w:rPr>
          <w:rFonts w:ascii="Book Antiqua" w:hAnsi="Book Antiqua" w:cs="Arial"/>
        </w:rPr>
        <w:t xml:space="preserve">, and for the design of a BDS, must address not only the content of the framework, but also its application – see </w:t>
      </w:r>
      <w:r w:rsidR="00F5648E">
        <w:rPr>
          <w:rFonts w:ascii="Book Antiqua" w:hAnsi="Book Antiqua" w:cs="Arial"/>
        </w:rPr>
        <w:t>Policy Decision</w:t>
      </w:r>
      <w:r w:rsidR="00DA3405" w:rsidRPr="000F0314">
        <w:rPr>
          <w:rFonts w:ascii="Book Antiqua" w:hAnsi="Book Antiqua" w:cs="Arial"/>
        </w:rPr>
        <w:t xml:space="preserve"> 3.4.  Failure to enforce laws effectively will lead to inequities due to non-performance by some actors, serving to affect adversely the overall performance of </w:t>
      </w:r>
      <w:r w:rsidR="00480D3D">
        <w:rPr>
          <w:rFonts w:ascii="Book Antiqua" w:hAnsi="Book Antiqua" w:cs="Arial"/>
        </w:rPr>
        <w:t>REDD+</w:t>
      </w:r>
      <w:r w:rsidR="00DA3405" w:rsidRPr="000F0314">
        <w:rPr>
          <w:rFonts w:ascii="Book Antiqua" w:hAnsi="Book Antiqua" w:cs="Arial"/>
        </w:rPr>
        <w:t xml:space="preserve"> interventions.</w:t>
      </w:r>
    </w:p>
    <w:p w:rsidR="0046208F" w:rsidRPr="00445F77" w:rsidRDefault="0046208F" w:rsidP="00E215C8">
      <w:pPr>
        <w:spacing w:after="0" w:line="300" w:lineRule="atLeast"/>
        <w:jc w:val="both"/>
        <w:rPr>
          <w:rFonts w:ascii="Arial" w:hAnsi="Arial" w:cs="Arial"/>
          <w:sz w:val="24"/>
          <w:szCs w:val="24"/>
        </w:rPr>
      </w:pPr>
    </w:p>
    <w:tbl>
      <w:tblPr>
        <w:tblW w:w="5000" w:type="pct"/>
        <w:jc w:val="right"/>
        <w:tblBorders>
          <w:insideH w:val="single" w:sz="24" w:space="0" w:color="FFFFFF"/>
          <w:insideV w:val="single" w:sz="24" w:space="0" w:color="FFFFFF"/>
        </w:tblBorders>
        <w:tblLook w:val="00A0"/>
      </w:tblPr>
      <w:tblGrid>
        <w:gridCol w:w="1819"/>
        <w:gridCol w:w="7185"/>
      </w:tblGrid>
      <w:tr w:rsidR="00351F2C" w:rsidRPr="00445F77">
        <w:trPr>
          <w:tblHeader/>
          <w:jc w:val="right"/>
        </w:trPr>
        <w:tc>
          <w:tcPr>
            <w:tcW w:w="5000" w:type="pct"/>
            <w:gridSpan w:val="2"/>
            <w:tcBorders>
              <w:top w:val="single" w:sz="24" w:space="0" w:color="FFFFFF"/>
              <w:bottom w:val="single" w:sz="24" w:space="0" w:color="FFFFFF"/>
            </w:tcBorders>
            <w:shd w:val="clear" w:color="auto" w:fill="76923C"/>
            <w:vAlign w:val="center"/>
          </w:tcPr>
          <w:p w:rsidR="00351F2C" w:rsidRPr="000F0314" w:rsidRDefault="00351F2C" w:rsidP="00A256CB">
            <w:pPr>
              <w:spacing w:after="0" w:line="240" w:lineRule="auto"/>
              <w:jc w:val="center"/>
              <w:rPr>
                <w:rFonts w:ascii="Book Antiqua" w:hAnsi="Book Antiqua" w:cs="Arial"/>
                <w:b/>
                <w:color w:val="FFFFFF"/>
                <w:sz w:val="24"/>
                <w:szCs w:val="24"/>
              </w:rPr>
            </w:pPr>
            <w:bookmarkStart w:id="133" w:name="_Toc244735155"/>
            <w:bookmarkEnd w:id="133"/>
            <w:r w:rsidRPr="000F0314">
              <w:rPr>
                <w:rFonts w:ascii="Book Antiqua" w:hAnsi="Book Antiqua" w:cs="Arial"/>
                <w:b/>
                <w:color w:val="FFFFFF"/>
                <w:sz w:val="24"/>
                <w:szCs w:val="24"/>
              </w:rPr>
              <w:t xml:space="preserve">POLICY DECISION </w:t>
            </w:r>
            <w:r w:rsidR="00E215C8" w:rsidRPr="000F0314">
              <w:rPr>
                <w:rFonts w:ascii="Book Antiqua" w:hAnsi="Book Antiqua" w:cs="Arial"/>
                <w:b/>
                <w:color w:val="FFFFFF"/>
                <w:sz w:val="24"/>
                <w:szCs w:val="24"/>
              </w:rPr>
              <w:t>3.4</w:t>
            </w:r>
          </w:p>
          <w:p w:rsidR="00351F2C" w:rsidRPr="00445F77" w:rsidRDefault="00351F2C" w:rsidP="00A256CB">
            <w:pPr>
              <w:spacing w:after="0" w:line="240" w:lineRule="auto"/>
              <w:jc w:val="center"/>
              <w:rPr>
                <w:rFonts w:ascii="Arial" w:hAnsi="Arial" w:cs="Arial"/>
                <w:b/>
                <w:color w:val="FFFFFF"/>
                <w:sz w:val="24"/>
                <w:szCs w:val="24"/>
              </w:rPr>
            </w:pPr>
            <w:r w:rsidRPr="000F0314">
              <w:rPr>
                <w:rFonts w:ascii="Book Antiqua" w:hAnsi="Book Antiqua" w:cs="Arial"/>
                <w:b/>
                <w:color w:val="FFFFFF"/>
                <w:sz w:val="24"/>
                <w:szCs w:val="24"/>
              </w:rPr>
              <w:t>Strengthened law enforcement for a performance-based distribution</w:t>
            </w:r>
          </w:p>
        </w:tc>
      </w:tr>
      <w:tr w:rsidR="00351F2C" w:rsidRPr="00445F77">
        <w:trPr>
          <w:jc w:val="right"/>
        </w:trPr>
        <w:tc>
          <w:tcPr>
            <w:tcW w:w="1010" w:type="pct"/>
            <w:tcBorders>
              <w:top w:val="single" w:sz="24" w:space="0" w:color="FFFFFF"/>
              <w:bottom w:val="single" w:sz="8" w:space="0" w:color="FFFFFF"/>
              <w:right w:val="single" w:sz="24" w:space="0" w:color="FFFFFF"/>
            </w:tcBorders>
            <w:shd w:val="clear" w:color="auto" w:fill="C2D69B"/>
            <w:vAlign w:val="center"/>
          </w:tcPr>
          <w:p w:rsidR="00351F2C" w:rsidRPr="000F0314" w:rsidRDefault="00351F2C" w:rsidP="00A256CB">
            <w:pPr>
              <w:spacing w:after="0" w:line="240" w:lineRule="auto"/>
              <w:rPr>
                <w:rFonts w:ascii="Book Antiqua" w:hAnsi="Book Antiqua" w:cs="Arial"/>
              </w:rPr>
            </w:pPr>
            <w:r w:rsidRPr="000F0314">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351F2C" w:rsidRPr="000F0314" w:rsidRDefault="00351F2C" w:rsidP="00A256CB">
            <w:pPr>
              <w:spacing w:after="0" w:line="240" w:lineRule="auto"/>
              <w:jc w:val="both"/>
              <w:rPr>
                <w:rFonts w:ascii="Book Antiqua" w:hAnsi="Book Antiqua" w:cs="Arial"/>
              </w:rPr>
            </w:pPr>
            <w:r w:rsidRPr="000F0314">
              <w:rPr>
                <w:rFonts w:ascii="Book Antiqua" w:hAnsi="Book Antiqua" w:cs="Arial"/>
              </w:rPr>
              <w:t xml:space="preserve">Forest law enforcement continues to be weak in </w:t>
            </w:r>
            <w:smartTag w:uri="urn:schemas-microsoft-com:office:smarttags" w:element="country-region">
              <w:smartTag w:uri="urn:schemas-microsoft-com:office:smarttags" w:element="place">
                <w:r w:rsidRPr="000F0314">
                  <w:rPr>
                    <w:rFonts w:ascii="Book Antiqua" w:hAnsi="Book Antiqua" w:cs="Arial"/>
                  </w:rPr>
                  <w:t>Viet Nam</w:t>
                </w:r>
              </w:smartTag>
            </w:smartTag>
            <w:r w:rsidRPr="000F0314">
              <w:rPr>
                <w:rFonts w:ascii="Book Antiqua" w:hAnsi="Book Antiqua" w:cs="Arial"/>
              </w:rPr>
              <w:t xml:space="preserve">.  In particular, issues such as illegal logging and encroachment have the effect of counteracting other initiatives undertaken to reduce emissions.  Without more effective forest law enforcement, the risk exists that stakeholders who are successful in reducing emissions go unrewarded due to the non-performance of others who are responsible for illegal activities.  </w:t>
            </w:r>
          </w:p>
        </w:tc>
      </w:tr>
      <w:tr w:rsidR="00351F2C" w:rsidRPr="00445F77">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351F2C" w:rsidRPr="000F0314" w:rsidRDefault="00351F2C" w:rsidP="00A256CB">
            <w:pPr>
              <w:spacing w:after="0" w:line="240" w:lineRule="auto"/>
              <w:rPr>
                <w:rFonts w:ascii="Book Antiqua" w:hAnsi="Book Antiqua" w:cs="Arial"/>
              </w:rPr>
            </w:pPr>
            <w:r w:rsidRPr="000F0314">
              <w:rPr>
                <w:rFonts w:ascii="Book Antiqua" w:hAnsi="Book Antiqua" w:cs="Arial"/>
              </w:rPr>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351F2C" w:rsidRPr="00A605C9" w:rsidRDefault="00351F2C" w:rsidP="008227FD">
            <w:pPr>
              <w:pStyle w:val="ListParagraph"/>
              <w:numPr>
                <w:ilvl w:val="0"/>
                <w:numId w:val="143"/>
              </w:numPr>
              <w:tabs>
                <w:tab w:val="left" w:pos="298"/>
              </w:tabs>
              <w:spacing w:after="0" w:line="240" w:lineRule="auto"/>
              <w:ind w:left="298"/>
              <w:jc w:val="both"/>
              <w:rPr>
                <w:rFonts w:ascii="Book Antiqua" w:hAnsi="Book Antiqua" w:cs="Arial"/>
              </w:rPr>
            </w:pPr>
            <w:r w:rsidRPr="00A605C9">
              <w:rPr>
                <w:rFonts w:ascii="Book Antiqua" w:hAnsi="Book Antiqua" w:cs="Arial"/>
              </w:rPr>
              <w:t xml:space="preserve">GoV accepts that payments to stakeholders who undertake </w:t>
            </w:r>
            <w:r w:rsidR="001B6D90" w:rsidRPr="00A605C9">
              <w:rPr>
                <w:rFonts w:ascii="Book Antiqua" w:hAnsi="Book Antiqua" w:cs="Arial"/>
              </w:rPr>
              <w:t>REDD+</w:t>
            </w:r>
            <w:r w:rsidRPr="00A605C9">
              <w:rPr>
                <w:rFonts w:ascii="Book Antiqua" w:hAnsi="Book Antiqua" w:cs="Arial"/>
              </w:rPr>
              <w:t xml:space="preserve"> interventions are diluted or possibly eliminated due to non-performance of others under the current forest law enforcement regime.</w:t>
            </w:r>
          </w:p>
          <w:p w:rsidR="00351F2C" w:rsidRPr="00A605C9" w:rsidRDefault="00351F2C" w:rsidP="008227FD">
            <w:pPr>
              <w:pStyle w:val="ListParagraph"/>
              <w:numPr>
                <w:ilvl w:val="0"/>
                <w:numId w:val="143"/>
              </w:numPr>
              <w:tabs>
                <w:tab w:val="left" w:pos="298"/>
              </w:tabs>
              <w:spacing w:after="0" w:line="240" w:lineRule="auto"/>
              <w:ind w:left="298"/>
              <w:jc w:val="both"/>
              <w:rPr>
                <w:rFonts w:ascii="Book Antiqua" w:hAnsi="Book Antiqua" w:cs="Arial"/>
              </w:rPr>
            </w:pPr>
            <w:r w:rsidRPr="00A605C9">
              <w:rPr>
                <w:rFonts w:ascii="Book Antiqua" w:hAnsi="Book Antiqua" w:cs="Arial"/>
              </w:rPr>
              <w:t>GoV develops operational structures that offer effective law enforcement to households and communities</w:t>
            </w:r>
          </w:p>
        </w:tc>
      </w:tr>
      <w:tr w:rsidR="00351F2C" w:rsidRPr="00445F77">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351F2C" w:rsidRPr="000F0314" w:rsidRDefault="00351F2C" w:rsidP="00A256CB">
            <w:pPr>
              <w:spacing w:after="0" w:line="240" w:lineRule="auto"/>
              <w:rPr>
                <w:rFonts w:ascii="Book Antiqua" w:hAnsi="Book Antiqua" w:cs="Arial"/>
              </w:rPr>
            </w:pPr>
            <w:r w:rsidRPr="000F0314">
              <w:rPr>
                <w:rFonts w:ascii="Book Antiqua" w:hAnsi="Book Antiqua" w:cs="Arial"/>
              </w:rPr>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351F2C" w:rsidRPr="000F0314" w:rsidRDefault="00351F2C" w:rsidP="00A256CB">
            <w:pPr>
              <w:spacing w:after="0" w:line="240" w:lineRule="auto"/>
              <w:jc w:val="both"/>
              <w:rPr>
                <w:rFonts w:ascii="Book Antiqua" w:hAnsi="Book Antiqua" w:cs="Arial"/>
              </w:rPr>
            </w:pPr>
            <w:r w:rsidRPr="000F0314">
              <w:rPr>
                <w:rFonts w:ascii="Book Antiqua" w:hAnsi="Book Antiqua" w:cs="Arial"/>
              </w:rPr>
              <w:t>GoV should develop operational structures for effective forest law enforcement in the medium term.  These will most likely include a Central Forest Inspectorate with a hotline for reports on illegal operations and complaints about local law enforcement activities.  In the short term, GoV may have to define the conditions (such as timely reporting) under which payment recipients are exempt from liability for non-performance due to factors beyond their control.</w:t>
            </w:r>
          </w:p>
        </w:tc>
      </w:tr>
      <w:tr w:rsidR="00351F2C" w:rsidRPr="00445F77">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351F2C" w:rsidRPr="000F0314" w:rsidRDefault="00B54274" w:rsidP="00A256CB">
            <w:pPr>
              <w:spacing w:after="0" w:line="240" w:lineRule="auto"/>
              <w:rPr>
                <w:rFonts w:ascii="Book Antiqua" w:hAnsi="Book Antiqua" w:cs="Arial"/>
              </w:rPr>
            </w:pPr>
            <w:r>
              <w:rPr>
                <w:rFonts w:ascii="Book Antiqua" w:hAnsi="Book Antiqua" w:cs="Arial"/>
              </w:rPr>
              <w:lastRenderedPageBreak/>
              <w:t>Actions required to confirm policy option</w:t>
            </w:r>
          </w:p>
        </w:tc>
        <w:tc>
          <w:tcPr>
            <w:tcW w:w="3990" w:type="pct"/>
            <w:tcBorders>
              <w:top w:val="single" w:sz="8" w:space="0" w:color="FFFFFF"/>
              <w:left w:val="single" w:sz="24" w:space="0" w:color="FFFFFF"/>
              <w:bottom w:val="single" w:sz="8" w:space="0" w:color="FFFFFF"/>
            </w:tcBorders>
            <w:shd w:val="clear" w:color="auto" w:fill="D6E3BC"/>
            <w:vAlign w:val="center"/>
          </w:tcPr>
          <w:p w:rsidR="00351F2C" w:rsidRPr="000F0314" w:rsidRDefault="00351F2C" w:rsidP="00A256CB">
            <w:pPr>
              <w:spacing w:after="0" w:line="240" w:lineRule="auto"/>
              <w:jc w:val="both"/>
              <w:rPr>
                <w:rFonts w:ascii="Book Antiqua" w:hAnsi="Book Antiqua" w:cs="Arial"/>
              </w:rPr>
            </w:pPr>
            <w:r w:rsidRPr="000F0314">
              <w:rPr>
                <w:rFonts w:ascii="Book Antiqua" w:hAnsi="Book Antiqua" w:cs="Arial"/>
              </w:rPr>
              <w:t xml:space="preserve">Recent experiences with community-based law enforcement require assessment and translation into national regulations.  The new General Department of Forestry and forest protection units at the district and provincial levels will need technical assistance to improve their law enforcement capacities.  The </w:t>
            </w:r>
            <w:r w:rsidR="001B6D90">
              <w:rPr>
                <w:rFonts w:ascii="Book Antiqua" w:hAnsi="Book Antiqua" w:cs="Arial"/>
              </w:rPr>
              <w:t>REDD+</w:t>
            </w:r>
            <w:r w:rsidRPr="000F0314">
              <w:rPr>
                <w:rFonts w:ascii="Book Antiqua" w:hAnsi="Book Antiqua" w:cs="Arial"/>
              </w:rPr>
              <w:t xml:space="preserve"> pilots should make appropriate law enforcement a central component of project design from the beginning.  They will indicate ways to determine the liability of forest managers under different circumstances</w:t>
            </w:r>
          </w:p>
        </w:tc>
      </w:tr>
    </w:tbl>
    <w:p w:rsidR="00351F2C" w:rsidRPr="00445F77" w:rsidRDefault="00351F2C" w:rsidP="00A256CB">
      <w:pPr>
        <w:spacing w:after="0" w:line="300" w:lineRule="atLeast"/>
        <w:jc w:val="both"/>
        <w:rPr>
          <w:rFonts w:ascii="Arial" w:hAnsi="Arial" w:cs="Arial"/>
          <w:sz w:val="24"/>
          <w:szCs w:val="24"/>
        </w:rPr>
      </w:pPr>
    </w:p>
    <w:p w:rsidR="00FE38DF" w:rsidRDefault="00FE38DF">
      <w:pPr>
        <w:spacing w:after="0" w:line="240" w:lineRule="auto"/>
        <w:rPr>
          <w:rFonts w:ascii="Arial" w:eastAsia="Times New Roman" w:hAnsi="Arial" w:cs="Arial"/>
          <w:b/>
          <w:bCs/>
          <w:color w:val="1F497D"/>
          <w:sz w:val="28"/>
          <w:szCs w:val="28"/>
          <w:lang w:val="en-US"/>
        </w:rPr>
      </w:pPr>
      <w:bookmarkStart w:id="134" w:name="_Toc243984118"/>
      <w:bookmarkStart w:id="135" w:name="_Toc244327644"/>
      <w:bookmarkStart w:id="136" w:name="_Toc244327893"/>
      <w:bookmarkStart w:id="137" w:name="_Toc244586158"/>
      <w:r>
        <w:rPr>
          <w:lang w:val="en-US"/>
        </w:rPr>
        <w:br w:type="page"/>
      </w:r>
    </w:p>
    <w:p w:rsidR="00351F2C" w:rsidRPr="00445F77" w:rsidRDefault="00351F2C" w:rsidP="002D0F33">
      <w:pPr>
        <w:pStyle w:val="Heading1"/>
      </w:pPr>
      <w:bookmarkStart w:id="138" w:name="_Toc252354732"/>
      <w:r w:rsidRPr="00445F77">
        <w:rPr>
          <w:lang w:val="en-US"/>
        </w:rPr>
        <w:lastRenderedPageBreak/>
        <w:t>4: Institutional Framework</w:t>
      </w:r>
      <w:bookmarkEnd w:id="134"/>
      <w:bookmarkEnd w:id="135"/>
      <w:bookmarkEnd w:id="136"/>
      <w:bookmarkEnd w:id="137"/>
      <w:r w:rsidRPr="00445F77">
        <w:t xml:space="preserve"> for National-Level Finance</w:t>
      </w:r>
      <w:bookmarkEnd w:id="138"/>
    </w:p>
    <w:p w:rsidR="00351F2C" w:rsidRPr="00445F77" w:rsidRDefault="00351F2C" w:rsidP="004D47BB">
      <w:pPr>
        <w:spacing w:after="0" w:line="240" w:lineRule="auto"/>
        <w:rPr>
          <w:rFonts w:ascii="Arial" w:hAnsi="Arial" w:cs="Arial"/>
          <w:color w:val="1F497D"/>
          <w:sz w:val="24"/>
          <w:szCs w:val="24"/>
        </w:rPr>
      </w:pPr>
    </w:p>
    <w:p w:rsidR="00351F2C" w:rsidRPr="000F0314" w:rsidRDefault="00351F2C" w:rsidP="005B01DD">
      <w:pPr>
        <w:spacing w:after="0" w:line="300" w:lineRule="exact"/>
        <w:jc w:val="both"/>
        <w:rPr>
          <w:rFonts w:ascii="Book Antiqua" w:hAnsi="Book Antiqua" w:cs="Arial"/>
          <w:lang w:val="en-US"/>
        </w:rPr>
      </w:pPr>
      <w:bookmarkStart w:id="139" w:name="_Ref242759375"/>
      <w:bookmarkStart w:id="140" w:name="_Toc243930079"/>
      <w:r w:rsidRPr="000F0314">
        <w:rPr>
          <w:rFonts w:ascii="Book Antiqua" w:hAnsi="Book Antiqua" w:cs="Arial"/>
          <w:lang w:val="en-US"/>
        </w:rPr>
        <w:t xml:space="preserve">This chapter analyzes the </w:t>
      </w:r>
      <w:r w:rsidR="00FF0053" w:rsidRPr="000F0314">
        <w:rPr>
          <w:rFonts w:ascii="Book Antiqua" w:hAnsi="Book Antiqua" w:cs="Arial"/>
          <w:lang w:val="en-US"/>
        </w:rPr>
        <w:t xml:space="preserve">institutional </w:t>
      </w:r>
      <w:r w:rsidRPr="000F0314">
        <w:rPr>
          <w:rFonts w:ascii="Book Antiqua" w:hAnsi="Book Antiqua" w:cs="Arial"/>
          <w:lang w:val="en-US"/>
        </w:rPr>
        <w:t xml:space="preserve">options for a national-level finance mechanism as part of a REDD-compliant </w:t>
      </w:r>
      <w:r w:rsidR="00765C66">
        <w:rPr>
          <w:rFonts w:ascii="Book Antiqua" w:hAnsi="Book Antiqua" w:cs="Arial"/>
          <w:lang w:val="en-US"/>
        </w:rPr>
        <w:t>BDS</w:t>
      </w:r>
      <w:r w:rsidRPr="000F0314">
        <w:rPr>
          <w:rFonts w:ascii="Book Antiqua" w:hAnsi="Book Antiqua" w:cs="Arial"/>
          <w:lang w:val="en-US"/>
        </w:rPr>
        <w:t xml:space="preserve"> in </w:t>
      </w:r>
      <w:smartTag w:uri="urn:schemas-microsoft-com:office:smarttags" w:element="country-region">
        <w:smartTag w:uri="urn:schemas-microsoft-com:office:smarttags" w:element="place">
          <w:r w:rsidRPr="000F0314">
            <w:rPr>
              <w:rFonts w:ascii="Book Antiqua" w:hAnsi="Book Antiqua" w:cs="Arial"/>
              <w:lang w:val="en-US"/>
            </w:rPr>
            <w:t>Viet Nam</w:t>
          </w:r>
        </w:smartTag>
      </w:smartTag>
      <w:r w:rsidRPr="000F0314">
        <w:rPr>
          <w:rFonts w:ascii="Book Antiqua" w:hAnsi="Book Antiqua" w:cs="Arial"/>
          <w:lang w:val="en-US"/>
        </w:rPr>
        <w:t xml:space="preserve">.  The national-level finance mechanism determines the entity or entities that will eventually receive international </w:t>
      </w:r>
      <w:r w:rsidR="00480D3D">
        <w:rPr>
          <w:rFonts w:ascii="Book Antiqua" w:hAnsi="Book Antiqua" w:cs="Arial"/>
          <w:lang w:val="en-US"/>
        </w:rPr>
        <w:t>REDD+</w:t>
      </w:r>
      <w:r w:rsidRPr="000F0314">
        <w:rPr>
          <w:rFonts w:ascii="Book Antiqua" w:hAnsi="Book Antiqua" w:cs="Arial"/>
          <w:lang w:val="en-US"/>
        </w:rPr>
        <w:t xml:space="preserve"> funds and how the </w:t>
      </w:r>
      <w:r w:rsidR="00480D3D">
        <w:rPr>
          <w:rFonts w:ascii="Book Antiqua" w:hAnsi="Book Antiqua" w:cs="Arial"/>
          <w:lang w:val="en-US"/>
        </w:rPr>
        <w:t>REDD+</w:t>
      </w:r>
      <w:r w:rsidRPr="000F0314">
        <w:rPr>
          <w:rFonts w:ascii="Book Antiqua" w:hAnsi="Book Antiqua" w:cs="Arial"/>
          <w:lang w:val="en-US"/>
        </w:rPr>
        <w:t xml:space="preserve"> funds will be distributed among sub-national entities.  It is not about the distribution of </w:t>
      </w:r>
      <w:r w:rsidR="00480D3D">
        <w:rPr>
          <w:rFonts w:ascii="Book Antiqua" w:hAnsi="Book Antiqua" w:cs="Arial"/>
          <w:lang w:val="en-US"/>
        </w:rPr>
        <w:t>REDD+</w:t>
      </w:r>
      <w:r w:rsidRPr="000F0314">
        <w:rPr>
          <w:rFonts w:ascii="Book Antiqua" w:hAnsi="Book Antiqua" w:cs="Arial"/>
          <w:lang w:val="en-US"/>
        </w:rPr>
        <w:t xml:space="preserve"> funds to forest managers, which relates to the choice of a sub-national finance mechanism discussed in Chapter 6.</w:t>
      </w:r>
    </w:p>
    <w:p w:rsidR="00351F2C" w:rsidRPr="000F0314" w:rsidRDefault="00351F2C" w:rsidP="005B01DD">
      <w:pPr>
        <w:spacing w:after="0" w:line="300" w:lineRule="exact"/>
        <w:jc w:val="both"/>
        <w:rPr>
          <w:rFonts w:ascii="Book Antiqua" w:hAnsi="Book Antiqua" w:cs="Arial"/>
          <w:lang w:val="en-US"/>
        </w:rPr>
      </w:pPr>
    </w:p>
    <w:p w:rsidR="00351F2C" w:rsidRPr="000F0314" w:rsidRDefault="00351F2C" w:rsidP="008F6D17">
      <w:pPr>
        <w:spacing w:after="0" w:line="300" w:lineRule="exact"/>
        <w:jc w:val="both"/>
        <w:rPr>
          <w:rFonts w:ascii="Book Antiqua" w:hAnsi="Book Antiqua" w:cs="Arial"/>
          <w:lang w:val="en-US"/>
        </w:rPr>
      </w:pPr>
      <w:r w:rsidRPr="000F0314">
        <w:rPr>
          <w:rFonts w:ascii="Book Antiqua" w:hAnsi="Book Antiqua" w:cs="Arial"/>
          <w:lang w:val="en-US"/>
        </w:rPr>
        <w:t>The Chapter seeks to find the answers to the following questions:</w:t>
      </w:r>
    </w:p>
    <w:p w:rsidR="00351F2C" w:rsidRPr="000F0314" w:rsidRDefault="00351F2C" w:rsidP="008F6D17">
      <w:pPr>
        <w:numPr>
          <w:ilvl w:val="0"/>
          <w:numId w:val="54"/>
        </w:numPr>
        <w:tabs>
          <w:tab w:val="clear" w:pos="1080"/>
          <w:tab w:val="num" w:pos="360"/>
        </w:tabs>
        <w:spacing w:after="0" w:line="300" w:lineRule="exact"/>
        <w:ind w:left="360"/>
        <w:jc w:val="both"/>
        <w:rPr>
          <w:rFonts w:ascii="Book Antiqua" w:hAnsi="Book Antiqua" w:cs="Arial"/>
          <w:lang w:val="en-US"/>
        </w:rPr>
      </w:pPr>
      <w:r w:rsidRPr="000F0314">
        <w:rPr>
          <w:rFonts w:ascii="Book Antiqua" w:hAnsi="Book Antiqua" w:cs="Arial"/>
          <w:lang w:val="en-US"/>
        </w:rPr>
        <w:t>What are the existing types of finance mechanisms at national level?</w:t>
      </w:r>
    </w:p>
    <w:p w:rsidR="00351F2C" w:rsidRPr="000F0314" w:rsidRDefault="00351F2C" w:rsidP="008F6D17">
      <w:pPr>
        <w:numPr>
          <w:ilvl w:val="0"/>
          <w:numId w:val="54"/>
        </w:numPr>
        <w:tabs>
          <w:tab w:val="clear" w:pos="1080"/>
          <w:tab w:val="num" w:pos="360"/>
        </w:tabs>
        <w:spacing w:after="0" w:line="300" w:lineRule="exact"/>
        <w:ind w:left="360"/>
        <w:jc w:val="both"/>
        <w:rPr>
          <w:rFonts w:ascii="Book Antiqua" w:hAnsi="Book Antiqua" w:cs="Arial"/>
          <w:lang w:val="en-US"/>
        </w:rPr>
      </w:pPr>
      <w:r w:rsidRPr="000F0314">
        <w:rPr>
          <w:rFonts w:ascii="Book Antiqua" w:hAnsi="Book Antiqua" w:cs="Arial"/>
          <w:lang w:val="en-US"/>
        </w:rPr>
        <w:t xml:space="preserve">Which type of mechanism is appropriate for </w:t>
      </w:r>
      <w:r w:rsidR="00480D3D">
        <w:rPr>
          <w:rFonts w:ascii="Book Antiqua" w:hAnsi="Book Antiqua" w:cs="Arial"/>
          <w:lang w:val="en-US"/>
        </w:rPr>
        <w:t>REDD+</w:t>
      </w:r>
      <w:r w:rsidRPr="000F0314">
        <w:rPr>
          <w:rFonts w:ascii="Book Antiqua" w:hAnsi="Book Antiqua" w:cs="Arial"/>
          <w:lang w:val="en-US"/>
        </w:rPr>
        <w:t>?</w:t>
      </w:r>
    </w:p>
    <w:p w:rsidR="00351F2C" w:rsidRPr="000F0314" w:rsidRDefault="00351F2C" w:rsidP="008F6D17">
      <w:pPr>
        <w:numPr>
          <w:ilvl w:val="0"/>
          <w:numId w:val="54"/>
        </w:numPr>
        <w:tabs>
          <w:tab w:val="clear" w:pos="1080"/>
          <w:tab w:val="num" w:pos="360"/>
        </w:tabs>
        <w:spacing w:after="0" w:line="300" w:lineRule="exact"/>
        <w:ind w:left="360"/>
        <w:jc w:val="both"/>
        <w:rPr>
          <w:rFonts w:ascii="Book Antiqua" w:hAnsi="Book Antiqua" w:cs="Arial"/>
          <w:lang w:val="en-US"/>
        </w:rPr>
      </w:pPr>
      <w:r w:rsidRPr="000F0314">
        <w:rPr>
          <w:rFonts w:ascii="Book Antiqua" w:hAnsi="Book Antiqua" w:cs="Arial"/>
          <w:lang w:val="en-US"/>
        </w:rPr>
        <w:t xml:space="preserve">Do we recommend use of an existing structure or establishment of a new specialized </w:t>
      </w:r>
      <w:r w:rsidR="00480D3D">
        <w:rPr>
          <w:rFonts w:ascii="Book Antiqua" w:hAnsi="Book Antiqua" w:cs="Arial"/>
          <w:lang w:val="en-US"/>
        </w:rPr>
        <w:t>REDD+</w:t>
      </w:r>
      <w:r w:rsidRPr="000F0314">
        <w:rPr>
          <w:rFonts w:ascii="Book Antiqua" w:hAnsi="Book Antiqua" w:cs="Arial"/>
          <w:lang w:val="en-US"/>
        </w:rPr>
        <w:t xml:space="preserve"> Fund?</w:t>
      </w:r>
    </w:p>
    <w:p w:rsidR="00351F2C" w:rsidRPr="000F0314" w:rsidRDefault="00351F2C" w:rsidP="008F6D17">
      <w:pPr>
        <w:numPr>
          <w:ilvl w:val="0"/>
          <w:numId w:val="54"/>
        </w:numPr>
        <w:tabs>
          <w:tab w:val="clear" w:pos="1080"/>
          <w:tab w:val="num" w:pos="360"/>
        </w:tabs>
        <w:spacing w:after="0" w:line="300" w:lineRule="exact"/>
        <w:ind w:left="360"/>
        <w:jc w:val="both"/>
        <w:rPr>
          <w:rFonts w:ascii="Book Antiqua" w:hAnsi="Book Antiqua" w:cs="Arial"/>
          <w:lang w:val="en-US"/>
        </w:rPr>
      </w:pPr>
      <w:r w:rsidRPr="000F0314">
        <w:rPr>
          <w:rFonts w:ascii="Book Antiqua" w:hAnsi="Book Antiqua" w:cs="Arial"/>
          <w:lang w:val="en-US"/>
        </w:rPr>
        <w:t xml:space="preserve">If there is a specialized </w:t>
      </w:r>
      <w:r w:rsidR="00480D3D">
        <w:rPr>
          <w:rFonts w:ascii="Book Antiqua" w:hAnsi="Book Antiqua" w:cs="Arial"/>
          <w:lang w:val="en-US"/>
        </w:rPr>
        <w:t>REDD+</w:t>
      </w:r>
      <w:r w:rsidRPr="000F0314">
        <w:rPr>
          <w:rFonts w:ascii="Book Antiqua" w:hAnsi="Book Antiqua" w:cs="Arial"/>
          <w:lang w:val="en-US"/>
        </w:rPr>
        <w:t xml:space="preserve"> Fund then at what levels should it operate?</w:t>
      </w:r>
    </w:p>
    <w:p w:rsidR="00351F2C" w:rsidRPr="000F0314" w:rsidRDefault="00351F2C" w:rsidP="008F6D17">
      <w:pPr>
        <w:spacing w:after="0" w:line="300" w:lineRule="exact"/>
        <w:jc w:val="both"/>
        <w:rPr>
          <w:rFonts w:ascii="Book Antiqua" w:hAnsi="Book Antiqua" w:cs="Arial"/>
          <w:lang w:val="en-US"/>
        </w:rPr>
      </w:pPr>
    </w:p>
    <w:p w:rsidR="00351F2C" w:rsidRPr="000F0314" w:rsidRDefault="00C5689C" w:rsidP="008F6D17">
      <w:pPr>
        <w:spacing w:after="0" w:line="300" w:lineRule="exact"/>
        <w:jc w:val="both"/>
        <w:rPr>
          <w:rFonts w:ascii="Book Antiqua" w:hAnsi="Book Antiqua" w:cs="Arial"/>
          <w:lang w:val="en-US"/>
        </w:rPr>
      </w:pPr>
      <w:r>
        <w:rPr>
          <w:rFonts w:ascii="Book Antiqua" w:hAnsi="Book Antiqua" w:cs="Arial"/>
          <w:lang w:val="en-US"/>
        </w:rPr>
        <w:t>The Chapter</w:t>
      </w:r>
      <w:r w:rsidR="00351F2C" w:rsidRPr="000F0314">
        <w:rPr>
          <w:rFonts w:ascii="Book Antiqua" w:hAnsi="Book Antiqua" w:cs="Arial"/>
          <w:lang w:val="en-US"/>
        </w:rPr>
        <w:t xml:space="preserve"> starts with a brief review of </w:t>
      </w:r>
      <w:r w:rsidR="004C7E6C">
        <w:rPr>
          <w:rFonts w:ascii="Book Antiqua" w:hAnsi="Book Antiqua" w:cs="Arial"/>
          <w:lang w:val="en-US"/>
        </w:rPr>
        <w:t>national level finance</w:t>
      </w:r>
      <w:r w:rsidR="00351F2C" w:rsidRPr="000F0314">
        <w:rPr>
          <w:rFonts w:ascii="Book Antiqua" w:hAnsi="Book Antiqua" w:cs="Arial"/>
          <w:lang w:val="en-US"/>
        </w:rPr>
        <w:t xml:space="preserve"> mechanisms existing in Viet Nam in Section </w:t>
      </w:r>
      <w:r w:rsidR="00522091" w:rsidRPr="000F0314">
        <w:rPr>
          <w:rFonts w:ascii="Book Antiqua" w:hAnsi="Book Antiqua"/>
        </w:rPr>
        <w:t>4.</w:t>
      </w:r>
      <w:r w:rsidR="004C7E6C">
        <w:rPr>
          <w:rFonts w:ascii="Book Antiqua" w:hAnsi="Book Antiqua"/>
        </w:rPr>
        <w:t>1</w:t>
      </w:r>
      <w:r w:rsidR="00351F2C" w:rsidRPr="000F0314">
        <w:rPr>
          <w:rFonts w:ascii="Book Antiqua" w:hAnsi="Book Antiqua" w:cs="Arial"/>
          <w:lang w:val="en-US"/>
        </w:rPr>
        <w:t xml:space="preserve">, and international experiences are analyzed in Section </w:t>
      </w:r>
      <w:r w:rsidR="00351F2C" w:rsidRPr="000F0314">
        <w:rPr>
          <w:rFonts w:ascii="Book Antiqua" w:hAnsi="Book Antiqua" w:cs="Arial"/>
        </w:rPr>
        <w:t>4.</w:t>
      </w:r>
      <w:r w:rsidR="004C7E6C">
        <w:rPr>
          <w:rFonts w:ascii="Book Antiqua" w:hAnsi="Book Antiqua" w:cs="Arial"/>
        </w:rPr>
        <w:t>2</w:t>
      </w:r>
      <w:r w:rsidR="00351F2C" w:rsidRPr="000F0314">
        <w:rPr>
          <w:rFonts w:ascii="Book Antiqua" w:hAnsi="Book Antiqua" w:cs="Arial"/>
          <w:lang w:val="en-US"/>
        </w:rPr>
        <w:t xml:space="preserve">.  Section </w:t>
      </w:r>
      <w:r w:rsidR="00522091" w:rsidRPr="000F0314">
        <w:rPr>
          <w:rFonts w:ascii="Book Antiqua" w:hAnsi="Book Antiqua"/>
        </w:rPr>
        <w:t>4.</w:t>
      </w:r>
      <w:r w:rsidR="004C7E6C">
        <w:rPr>
          <w:rFonts w:ascii="Book Antiqua" w:hAnsi="Book Antiqua"/>
        </w:rPr>
        <w:t>3</w:t>
      </w:r>
      <w:r w:rsidR="004C7E6C" w:rsidRPr="000F0314">
        <w:rPr>
          <w:rFonts w:ascii="Book Antiqua" w:hAnsi="Book Antiqua" w:cs="Arial"/>
          <w:lang w:val="en-US"/>
        </w:rPr>
        <w:t xml:space="preserve"> </w:t>
      </w:r>
      <w:r w:rsidR="00351F2C" w:rsidRPr="000F0314">
        <w:rPr>
          <w:rFonts w:ascii="Book Antiqua" w:hAnsi="Book Antiqua" w:cs="Arial"/>
          <w:lang w:val="en-US"/>
        </w:rPr>
        <w:t xml:space="preserve">concludes the Chapter with discussion on key issues and recommendations for a national-level finance mechanism for Viet Nam’s future </w:t>
      </w:r>
      <w:r w:rsidR="00480D3D">
        <w:rPr>
          <w:rFonts w:ascii="Book Antiqua" w:hAnsi="Book Antiqua" w:cs="Arial"/>
          <w:lang w:val="en-US"/>
        </w:rPr>
        <w:t>REDD+</w:t>
      </w:r>
      <w:r w:rsidR="00351F2C" w:rsidRPr="000F0314">
        <w:rPr>
          <w:rFonts w:ascii="Book Antiqua" w:hAnsi="Book Antiqua" w:cs="Arial"/>
          <w:lang w:val="en-US"/>
        </w:rPr>
        <w:t xml:space="preserve"> </w:t>
      </w:r>
      <w:r w:rsidR="00480D3D">
        <w:rPr>
          <w:rFonts w:ascii="Book Antiqua" w:hAnsi="Book Antiqua" w:cs="Arial"/>
          <w:lang w:val="en-US"/>
        </w:rPr>
        <w:t>Programme</w:t>
      </w:r>
      <w:r w:rsidR="00351F2C" w:rsidRPr="000F0314">
        <w:rPr>
          <w:rFonts w:ascii="Book Antiqua" w:hAnsi="Book Antiqua" w:cs="Arial"/>
          <w:lang w:val="en-US"/>
        </w:rPr>
        <w:t>, the institutional modifications required and suggested actions.</w:t>
      </w:r>
    </w:p>
    <w:p w:rsidR="005338EA" w:rsidRPr="00445F77" w:rsidRDefault="005338EA" w:rsidP="008F6D17">
      <w:pPr>
        <w:pStyle w:val="ListParagraph"/>
        <w:keepNext/>
        <w:keepLines/>
        <w:numPr>
          <w:ilvl w:val="0"/>
          <w:numId w:val="48"/>
        </w:numPr>
        <w:tabs>
          <w:tab w:val="left" w:pos="450"/>
        </w:tabs>
        <w:spacing w:after="0" w:line="300" w:lineRule="atLeast"/>
        <w:contextualSpacing w:val="0"/>
        <w:outlineLvl w:val="1"/>
        <w:rPr>
          <w:rFonts w:ascii="Arial" w:eastAsia="Times New Roman" w:hAnsi="Arial" w:cs="Arial"/>
          <w:bCs/>
          <w:vanish/>
          <w:color w:val="1F497D"/>
          <w:sz w:val="24"/>
          <w:szCs w:val="24"/>
        </w:rPr>
      </w:pPr>
      <w:bookmarkStart w:id="141" w:name="_Toc249079262"/>
      <w:bookmarkStart w:id="142" w:name="_Toc249079523"/>
      <w:bookmarkStart w:id="143" w:name="_Toc249080010"/>
      <w:bookmarkStart w:id="144" w:name="_Ref242759392"/>
      <w:bookmarkStart w:id="145" w:name="_Toc243929936"/>
      <w:bookmarkStart w:id="146" w:name="_Toc243984119"/>
      <w:bookmarkStart w:id="147" w:name="_Toc244327645"/>
      <w:bookmarkStart w:id="148" w:name="_Toc244327894"/>
      <w:bookmarkStart w:id="149" w:name="_Toc244586159"/>
      <w:bookmarkEnd w:id="139"/>
      <w:bookmarkEnd w:id="140"/>
      <w:bookmarkEnd w:id="141"/>
      <w:bookmarkEnd w:id="142"/>
      <w:bookmarkEnd w:id="143"/>
    </w:p>
    <w:p w:rsidR="005338EA" w:rsidRPr="00445F77" w:rsidRDefault="005338EA" w:rsidP="008F6D17">
      <w:pPr>
        <w:pStyle w:val="ListParagraph"/>
        <w:keepNext/>
        <w:keepLines/>
        <w:numPr>
          <w:ilvl w:val="0"/>
          <w:numId w:val="48"/>
        </w:numPr>
        <w:tabs>
          <w:tab w:val="left" w:pos="450"/>
        </w:tabs>
        <w:spacing w:after="0" w:line="300" w:lineRule="atLeast"/>
        <w:contextualSpacing w:val="0"/>
        <w:outlineLvl w:val="1"/>
        <w:rPr>
          <w:rFonts w:ascii="Arial" w:eastAsia="Times New Roman" w:hAnsi="Arial" w:cs="Arial"/>
          <w:bCs/>
          <w:vanish/>
          <w:color w:val="1F497D"/>
          <w:sz w:val="24"/>
          <w:szCs w:val="24"/>
        </w:rPr>
      </w:pPr>
      <w:bookmarkStart w:id="150" w:name="_Toc249079263"/>
      <w:bookmarkStart w:id="151" w:name="_Toc249079524"/>
      <w:bookmarkStart w:id="152" w:name="_Toc249080011"/>
      <w:bookmarkEnd w:id="150"/>
      <w:bookmarkEnd w:id="151"/>
      <w:bookmarkEnd w:id="152"/>
    </w:p>
    <w:p w:rsidR="005338EA" w:rsidRPr="00445F77" w:rsidRDefault="005338EA" w:rsidP="008F6D17">
      <w:pPr>
        <w:pStyle w:val="ListParagraph"/>
        <w:keepNext/>
        <w:keepLines/>
        <w:numPr>
          <w:ilvl w:val="0"/>
          <w:numId w:val="48"/>
        </w:numPr>
        <w:tabs>
          <w:tab w:val="left" w:pos="450"/>
        </w:tabs>
        <w:spacing w:after="0" w:line="300" w:lineRule="atLeast"/>
        <w:contextualSpacing w:val="0"/>
        <w:outlineLvl w:val="1"/>
        <w:rPr>
          <w:rFonts w:ascii="Arial" w:eastAsia="Times New Roman" w:hAnsi="Arial" w:cs="Arial"/>
          <w:bCs/>
          <w:vanish/>
          <w:color w:val="1F497D"/>
          <w:sz w:val="24"/>
          <w:szCs w:val="24"/>
        </w:rPr>
      </w:pPr>
      <w:bookmarkStart w:id="153" w:name="_Toc249079264"/>
      <w:bookmarkStart w:id="154" w:name="_Toc249079525"/>
      <w:bookmarkStart w:id="155" w:name="_Toc249080012"/>
      <w:bookmarkEnd w:id="153"/>
      <w:bookmarkEnd w:id="154"/>
      <w:bookmarkEnd w:id="155"/>
    </w:p>
    <w:p w:rsidR="005338EA" w:rsidRPr="00445F77" w:rsidRDefault="005338EA" w:rsidP="008F6D17">
      <w:pPr>
        <w:pStyle w:val="ListParagraph"/>
        <w:keepNext/>
        <w:keepLines/>
        <w:numPr>
          <w:ilvl w:val="0"/>
          <w:numId w:val="48"/>
        </w:numPr>
        <w:tabs>
          <w:tab w:val="left" w:pos="450"/>
        </w:tabs>
        <w:spacing w:after="0" w:line="300" w:lineRule="atLeast"/>
        <w:contextualSpacing w:val="0"/>
        <w:outlineLvl w:val="1"/>
        <w:rPr>
          <w:rFonts w:ascii="Arial" w:eastAsia="Times New Roman" w:hAnsi="Arial" w:cs="Arial"/>
          <w:bCs/>
          <w:vanish/>
          <w:color w:val="1F497D"/>
          <w:sz w:val="24"/>
          <w:szCs w:val="24"/>
        </w:rPr>
      </w:pPr>
      <w:bookmarkStart w:id="156" w:name="_Toc249079265"/>
      <w:bookmarkStart w:id="157" w:name="_Toc249079526"/>
      <w:bookmarkStart w:id="158" w:name="_Toc249080013"/>
      <w:bookmarkEnd w:id="156"/>
      <w:bookmarkEnd w:id="157"/>
      <w:bookmarkEnd w:id="158"/>
    </w:p>
    <w:p w:rsidR="003E47B3" w:rsidRDefault="003E47B3" w:rsidP="008F6D17">
      <w:pPr>
        <w:pStyle w:val="Heading2"/>
        <w:tabs>
          <w:tab w:val="left" w:pos="450"/>
        </w:tabs>
        <w:spacing w:before="0" w:after="0"/>
        <w:rPr>
          <w:rFonts w:ascii="Arial" w:hAnsi="Arial" w:cs="Arial"/>
          <w:sz w:val="24"/>
          <w:szCs w:val="24"/>
          <w:lang w:val="en-US"/>
        </w:rPr>
      </w:pPr>
    </w:p>
    <w:p w:rsidR="00351F2C" w:rsidRPr="00445F77" w:rsidRDefault="005338EA" w:rsidP="008F6D17">
      <w:pPr>
        <w:pStyle w:val="Heading2"/>
        <w:tabs>
          <w:tab w:val="left" w:pos="540"/>
        </w:tabs>
        <w:rPr>
          <w:rFonts w:ascii="Arial" w:hAnsi="Arial" w:cs="Arial"/>
          <w:sz w:val="24"/>
          <w:szCs w:val="24"/>
          <w:lang w:val="en-US"/>
        </w:rPr>
      </w:pPr>
      <w:bookmarkStart w:id="159" w:name="_Ref242759402"/>
      <w:bookmarkStart w:id="160" w:name="_Ref243820732"/>
      <w:bookmarkStart w:id="161" w:name="_Toc243929940"/>
      <w:bookmarkStart w:id="162" w:name="_Toc243984123"/>
      <w:bookmarkStart w:id="163" w:name="_Toc244327649"/>
      <w:bookmarkStart w:id="164" w:name="_Toc244327898"/>
      <w:bookmarkStart w:id="165" w:name="_Toc244586163"/>
      <w:bookmarkStart w:id="166" w:name="_Toc252354733"/>
      <w:bookmarkEnd w:id="144"/>
      <w:bookmarkEnd w:id="145"/>
      <w:bookmarkEnd w:id="146"/>
      <w:bookmarkEnd w:id="147"/>
      <w:bookmarkEnd w:id="148"/>
      <w:bookmarkEnd w:id="149"/>
      <w:r w:rsidRPr="00445F77">
        <w:rPr>
          <w:rFonts w:ascii="Arial" w:hAnsi="Arial" w:cs="Arial"/>
          <w:sz w:val="24"/>
          <w:szCs w:val="24"/>
          <w:lang w:val="en-US"/>
        </w:rPr>
        <w:t>4.</w:t>
      </w:r>
      <w:r w:rsidR="004C7E6C">
        <w:rPr>
          <w:rFonts w:ascii="Arial" w:hAnsi="Arial" w:cs="Arial"/>
          <w:sz w:val="24"/>
          <w:szCs w:val="24"/>
          <w:lang w:val="en-US"/>
        </w:rPr>
        <w:t>1</w:t>
      </w:r>
      <w:r w:rsidR="004C7E6C" w:rsidRPr="00445F77">
        <w:rPr>
          <w:rFonts w:ascii="Arial" w:hAnsi="Arial" w:cs="Arial"/>
          <w:sz w:val="24"/>
          <w:szCs w:val="24"/>
          <w:lang w:val="en-US"/>
        </w:rPr>
        <w:t xml:space="preserve"> </w:t>
      </w:r>
      <w:r w:rsidR="00351F2C" w:rsidRPr="00445F77">
        <w:rPr>
          <w:rFonts w:ascii="Arial" w:hAnsi="Arial" w:cs="Arial"/>
          <w:sz w:val="24"/>
          <w:szCs w:val="24"/>
          <w:lang w:val="en-US"/>
        </w:rPr>
        <w:t>National-level finance mechanisms in Viet Nam’s forestry sector</w:t>
      </w:r>
      <w:bookmarkEnd w:id="159"/>
      <w:bookmarkEnd w:id="160"/>
      <w:bookmarkEnd w:id="161"/>
      <w:bookmarkEnd w:id="162"/>
      <w:bookmarkEnd w:id="163"/>
      <w:bookmarkEnd w:id="164"/>
      <w:bookmarkEnd w:id="165"/>
      <w:bookmarkEnd w:id="166"/>
    </w:p>
    <w:p w:rsidR="00351F2C" w:rsidRPr="000F0314" w:rsidRDefault="003E47B3" w:rsidP="00A256CB">
      <w:pPr>
        <w:spacing w:after="0"/>
        <w:jc w:val="both"/>
        <w:rPr>
          <w:rFonts w:ascii="Book Antiqua" w:hAnsi="Book Antiqua" w:cs="Arial"/>
        </w:rPr>
      </w:pPr>
      <w:bookmarkStart w:id="167" w:name="_Toc243929941"/>
      <w:r w:rsidRPr="000F0314">
        <w:rPr>
          <w:rFonts w:ascii="Book Antiqua" w:hAnsi="Book Antiqua" w:cs="Arial"/>
        </w:rPr>
        <w:t>There are</w:t>
      </w:r>
      <w:r w:rsidR="00351F2C" w:rsidRPr="000F0314">
        <w:rPr>
          <w:rFonts w:ascii="Book Antiqua" w:hAnsi="Book Antiqua" w:cs="Arial"/>
        </w:rPr>
        <w:t xml:space="preserve"> three primary national-level </w:t>
      </w:r>
      <w:r w:rsidRPr="000F0314">
        <w:rPr>
          <w:rFonts w:ascii="Book Antiqua" w:hAnsi="Book Antiqua" w:cs="Arial"/>
        </w:rPr>
        <w:t xml:space="preserve">finance </w:t>
      </w:r>
      <w:r w:rsidR="00351F2C" w:rsidRPr="000F0314">
        <w:rPr>
          <w:rFonts w:ascii="Book Antiqua" w:hAnsi="Book Antiqua" w:cs="Arial"/>
        </w:rPr>
        <w:t xml:space="preserve">mechanisms in </w:t>
      </w:r>
      <w:smartTag w:uri="urn:schemas-microsoft-com:office:smarttags" w:element="country-region">
        <w:smartTag w:uri="urn:schemas-microsoft-com:office:smarttags" w:element="place">
          <w:r w:rsidR="00351F2C" w:rsidRPr="000F0314">
            <w:rPr>
              <w:rFonts w:ascii="Book Antiqua" w:hAnsi="Book Antiqua" w:cs="Arial"/>
            </w:rPr>
            <w:t>Viet Nam</w:t>
          </w:r>
        </w:smartTag>
      </w:smartTag>
      <w:r w:rsidR="00351F2C" w:rsidRPr="000F0314">
        <w:rPr>
          <w:rFonts w:ascii="Book Antiqua" w:hAnsi="Book Antiqua" w:cs="Arial"/>
        </w:rPr>
        <w:t>’s forestry sector</w:t>
      </w:r>
      <w:r w:rsidRPr="000F0314">
        <w:rPr>
          <w:rFonts w:ascii="Book Antiqua" w:hAnsi="Book Antiqua" w:cs="Arial"/>
        </w:rPr>
        <w:t xml:space="preserve"> (Table 4.1)</w:t>
      </w:r>
      <w:r w:rsidR="00351F2C" w:rsidRPr="000F0314">
        <w:rPr>
          <w:rFonts w:ascii="Book Antiqua" w:hAnsi="Book Antiqua" w:cs="Arial"/>
        </w:rPr>
        <w:t xml:space="preserve">.  </w:t>
      </w:r>
      <w:r w:rsidRPr="000F0314">
        <w:rPr>
          <w:rFonts w:ascii="Book Antiqua" w:hAnsi="Book Antiqua" w:cs="Arial"/>
        </w:rPr>
        <w:t xml:space="preserve">Firstly, </w:t>
      </w:r>
      <w:smartTag w:uri="urn:schemas-microsoft-com:office:smarttags" w:element="country-region">
        <w:smartTag w:uri="urn:schemas-microsoft-com:office:smarttags" w:element="place">
          <w:r w:rsidR="00351F2C" w:rsidRPr="000F0314">
            <w:rPr>
              <w:rFonts w:ascii="Book Antiqua" w:hAnsi="Book Antiqua" w:cs="Arial"/>
              <w:lang w:val="en-US"/>
            </w:rPr>
            <w:t>Viet Nam</w:t>
          </w:r>
        </w:smartTag>
      </w:smartTag>
      <w:r w:rsidR="00351F2C" w:rsidRPr="000F0314">
        <w:rPr>
          <w:rFonts w:ascii="Book Antiqua" w:hAnsi="Book Antiqua" w:cs="Arial"/>
          <w:lang w:val="en-US"/>
        </w:rPr>
        <w:t xml:space="preserve">’s central government funds a variety of national </w:t>
      </w:r>
      <w:r w:rsidR="00480D3D">
        <w:rPr>
          <w:rFonts w:ascii="Book Antiqua" w:hAnsi="Book Antiqua" w:cs="Arial"/>
          <w:lang w:val="en-US"/>
        </w:rPr>
        <w:t>programme</w:t>
      </w:r>
      <w:r w:rsidR="00351F2C" w:rsidRPr="000F0314">
        <w:rPr>
          <w:rFonts w:ascii="Book Antiqua" w:hAnsi="Book Antiqua" w:cs="Arial"/>
          <w:lang w:val="en-US"/>
        </w:rPr>
        <w:t xml:space="preserve">s that provide earmarked funding for specific objectives from the government budget.  </w:t>
      </w:r>
      <w:r w:rsidRPr="000F0314">
        <w:rPr>
          <w:rFonts w:ascii="Book Antiqua" w:hAnsi="Book Antiqua" w:cs="Arial"/>
        </w:rPr>
        <w:t>N</w:t>
      </w:r>
      <w:r w:rsidR="00351F2C" w:rsidRPr="000F0314">
        <w:rPr>
          <w:rFonts w:ascii="Book Antiqua" w:hAnsi="Book Antiqua" w:cs="Arial"/>
        </w:rPr>
        <w:t xml:space="preserve">ational </w:t>
      </w:r>
      <w:r w:rsidR="00480D3D">
        <w:rPr>
          <w:rFonts w:ascii="Book Antiqua" w:hAnsi="Book Antiqua" w:cs="Arial"/>
        </w:rPr>
        <w:t>programme</w:t>
      </w:r>
      <w:r w:rsidR="00351F2C" w:rsidRPr="000F0314">
        <w:rPr>
          <w:rFonts w:ascii="Book Antiqua" w:hAnsi="Book Antiqua" w:cs="Arial"/>
        </w:rPr>
        <w:t xml:space="preserve">s, such as the </w:t>
      </w:r>
      <w:r w:rsidR="000D7D36">
        <w:rPr>
          <w:rFonts w:ascii="Book Antiqua" w:hAnsi="Book Antiqua" w:cs="Arial"/>
        </w:rPr>
        <w:t>661</w:t>
      </w:r>
      <w:r w:rsidR="00351F2C" w:rsidRPr="000F0314">
        <w:rPr>
          <w:rFonts w:ascii="Book Antiqua" w:hAnsi="Book Antiqua" w:cs="Arial"/>
        </w:rPr>
        <w:t xml:space="preserve"> </w:t>
      </w:r>
      <w:r w:rsidR="00480D3D">
        <w:rPr>
          <w:rFonts w:ascii="Book Antiqua" w:hAnsi="Book Antiqua" w:cs="Arial"/>
        </w:rPr>
        <w:t>Programme</w:t>
      </w:r>
      <w:r w:rsidR="00351F2C" w:rsidRPr="000F0314">
        <w:rPr>
          <w:rStyle w:val="FootnoteReference"/>
          <w:rFonts w:ascii="Book Antiqua" w:hAnsi="Book Antiqua" w:cs="Arial"/>
          <w:lang w:val="en-US"/>
        </w:rPr>
        <w:footnoteReference w:id="36"/>
      </w:r>
      <w:r w:rsidR="00351F2C" w:rsidRPr="000F0314">
        <w:rPr>
          <w:rFonts w:ascii="Book Antiqua" w:hAnsi="Book Antiqua" w:cs="Arial"/>
        </w:rPr>
        <w:t xml:space="preserve">, provide earmarked funding for forestry activities through the regular socio-economic development planning and budgeting process. </w:t>
      </w:r>
      <w:r w:rsidRPr="000F0314">
        <w:rPr>
          <w:rFonts w:ascii="Book Antiqua" w:hAnsi="Book Antiqua" w:cs="Arial"/>
        </w:rPr>
        <w:t xml:space="preserve"> </w:t>
      </w:r>
      <w:r w:rsidR="00351F2C" w:rsidRPr="000F0314">
        <w:rPr>
          <w:rFonts w:ascii="Book Antiqua" w:hAnsi="Book Antiqua" w:cs="Arial"/>
        </w:rPr>
        <w:t xml:space="preserve">Secondly, an alternative source of funding has recently emerged in the form of various funds, particularly the Forest Protection and Development Funds (FPDF), which remain outside the state’s regular planning and budgeting process and are entitled to receive financial contributions from the government budget, private sector and international donors. </w:t>
      </w:r>
      <w:r w:rsidRPr="000F0314">
        <w:rPr>
          <w:rFonts w:ascii="Book Antiqua" w:hAnsi="Book Antiqua" w:cs="Arial"/>
        </w:rPr>
        <w:t xml:space="preserve"> </w:t>
      </w:r>
      <w:r w:rsidR="00351F2C" w:rsidRPr="000F0314">
        <w:rPr>
          <w:rFonts w:ascii="Book Antiqua" w:hAnsi="Book Antiqua" w:cs="Arial"/>
        </w:rPr>
        <w:t xml:space="preserve">Finally, there is </w:t>
      </w:r>
      <w:r w:rsidRPr="000F0314">
        <w:rPr>
          <w:rFonts w:ascii="Book Antiqua" w:hAnsi="Book Antiqua" w:cs="Arial"/>
        </w:rPr>
        <w:t>a</w:t>
      </w:r>
      <w:r w:rsidR="00351F2C" w:rsidRPr="000F0314">
        <w:rPr>
          <w:rFonts w:ascii="Book Antiqua" w:hAnsi="Book Antiqua" w:cs="Arial"/>
        </w:rPr>
        <w:t xml:space="preserve"> more decentralized mechanism applied in many international donor projects, under which the central government takes more of a coordinating role and receives a share of the funds channelled to sub-national entities. </w:t>
      </w:r>
      <w:r w:rsidR="00CB7E26" w:rsidRPr="000F0314">
        <w:rPr>
          <w:rFonts w:ascii="Book Antiqua" w:hAnsi="Book Antiqua" w:cs="Arial"/>
        </w:rPr>
        <w:t>The main</w:t>
      </w:r>
      <w:r w:rsidR="00351F2C" w:rsidRPr="000F0314">
        <w:rPr>
          <w:rFonts w:ascii="Book Antiqua" w:hAnsi="Book Antiqua" w:cs="Arial"/>
        </w:rPr>
        <w:t xml:space="preserve"> examples of </w:t>
      </w:r>
      <w:r w:rsidR="00CB7E26" w:rsidRPr="000F0314">
        <w:rPr>
          <w:rFonts w:ascii="Book Antiqua" w:hAnsi="Book Antiqua" w:cs="Arial"/>
        </w:rPr>
        <w:t xml:space="preserve">application of </w:t>
      </w:r>
      <w:r w:rsidR="00351F2C" w:rsidRPr="000F0314">
        <w:rPr>
          <w:rFonts w:ascii="Book Antiqua" w:hAnsi="Book Antiqua" w:cs="Arial"/>
        </w:rPr>
        <w:t>these mechanisms</w:t>
      </w:r>
      <w:r w:rsidR="00CB7E26" w:rsidRPr="000F0314">
        <w:rPr>
          <w:rFonts w:ascii="Book Antiqua" w:hAnsi="Book Antiqua" w:cs="Arial"/>
        </w:rPr>
        <w:t xml:space="preserve"> are briefly described below;</w:t>
      </w:r>
      <w:r w:rsidR="00351F2C" w:rsidRPr="000F0314">
        <w:rPr>
          <w:rFonts w:ascii="Book Antiqua" w:hAnsi="Book Antiqua" w:cs="Arial"/>
        </w:rPr>
        <w:t xml:space="preserve"> for </w:t>
      </w:r>
      <w:r w:rsidR="00CB7E26" w:rsidRPr="000F0314">
        <w:rPr>
          <w:rFonts w:ascii="Book Antiqua" w:hAnsi="Book Antiqua" w:cs="Arial"/>
        </w:rPr>
        <w:t xml:space="preserve">a more </w:t>
      </w:r>
      <w:r w:rsidR="00351F2C" w:rsidRPr="000F0314">
        <w:rPr>
          <w:rFonts w:ascii="Book Antiqua" w:hAnsi="Book Antiqua" w:cs="Arial"/>
        </w:rPr>
        <w:t>detailed examination</w:t>
      </w:r>
      <w:r w:rsidR="00CB7E26" w:rsidRPr="000F0314">
        <w:rPr>
          <w:rFonts w:ascii="Book Antiqua" w:hAnsi="Book Antiqua" w:cs="Arial"/>
        </w:rPr>
        <w:t>,</w:t>
      </w:r>
      <w:r w:rsidR="00351F2C" w:rsidRPr="000F0314">
        <w:rPr>
          <w:rFonts w:ascii="Book Antiqua" w:hAnsi="Book Antiqua" w:cs="Arial"/>
        </w:rPr>
        <w:t xml:space="preserve"> see Chapter 2. </w:t>
      </w:r>
    </w:p>
    <w:p w:rsidR="003E47B3" w:rsidRPr="00445F77" w:rsidRDefault="003E47B3" w:rsidP="00A256CB">
      <w:pPr>
        <w:spacing w:after="0"/>
        <w:jc w:val="both"/>
        <w:rPr>
          <w:rFonts w:ascii="Arial" w:hAnsi="Arial" w:cs="Arial"/>
          <w:sz w:val="24"/>
          <w:szCs w:val="24"/>
        </w:rPr>
      </w:pPr>
    </w:p>
    <w:p w:rsidR="0092792E" w:rsidRDefault="0092792E" w:rsidP="003E47B3">
      <w:pPr>
        <w:pStyle w:val="Caption"/>
        <w:spacing w:after="0"/>
        <w:jc w:val="center"/>
        <w:rPr>
          <w:rFonts w:ascii="Book Antiqua" w:hAnsi="Book Antiqua" w:cs="Arial"/>
          <w:sz w:val="22"/>
          <w:szCs w:val="22"/>
        </w:rPr>
      </w:pPr>
    </w:p>
    <w:p w:rsidR="0092792E" w:rsidRDefault="0092792E" w:rsidP="003E47B3">
      <w:pPr>
        <w:pStyle w:val="Caption"/>
        <w:spacing w:after="0"/>
        <w:jc w:val="center"/>
        <w:rPr>
          <w:rFonts w:ascii="Book Antiqua" w:hAnsi="Book Antiqua" w:cs="Arial"/>
          <w:sz w:val="22"/>
          <w:szCs w:val="22"/>
        </w:rPr>
      </w:pPr>
    </w:p>
    <w:p w:rsidR="0092792E" w:rsidRDefault="0092792E" w:rsidP="003E47B3">
      <w:pPr>
        <w:pStyle w:val="Caption"/>
        <w:spacing w:after="0"/>
        <w:jc w:val="center"/>
        <w:rPr>
          <w:rFonts w:ascii="Book Antiqua" w:hAnsi="Book Antiqua" w:cs="Arial"/>
          <w:sz w:val="22"/>
          <w:szCs w:val="22"/>
        </w:rPr>
      </w:pPr>
    </w:p>
    <w:p w:rsidR="0092792E" w:rsidRDefault="0092792E" w:rsidP="003E47B3">
      <w:pPr>
        <w:pStyle w:val="Caption"/>
        <w:spacing w:after="0"/>
        <w:jc w:val="center"/>
        <w:rPr>
          <w:rFonts w:ascii="Book Antiqua" w:hAnsi="Book Antiqua" w:cs="Arial"/>
          <w:sz w:val="22"/>
          <w:szCs w:val="22"/>
        </w:rPr>
      </w:pPr>
    </w:p>
    <w:p w:rsidR="003E47B3" w:rsidRPr="000F0314" w:rsidRDefault="003E47B3" w:rsidP="003E47B3">
      <w:pPr>
        <w:pStyle w:val="Caption"/>
        <w:spacing w:after="0"/>
        <w:jc w:val="center"/>
        <w:rPr>
          <w:rFonts w:ascii="Book Antiqua" w:hAnsi="Book Antiqua" w:cs="Arial"/>
          <w:sz w:val="22"/>
          <w:szCs w:val="22"/>
          <w:lang w:val="en-US"/>
        </w:rPr>
      </w:pPr>
      <w:r w:rsidRPr="000F0314">
        <w:rPr>
          <w:rFonts w:ascii="Book Antiqua" w:hAnsi="Book Antiqua" w:cs="Arial"/>
          <w:sz w:val="22"/>
          <w:szCs w:val="22"/>
        </w:rPr>
        <w:t>Table 4</w:t>
      </w:r>
      <w:r w:rsidRPr="000F0314">
        <w:rPr>
          <w:rFonts w:ascii="Book Antiqua" w:hAnsi="Book Antiqua" w:cs="Arial"/>
          <w:sz w:val="22"/>
          <w:szCs w:val="22"/>
        </w:rPr>
        <w:noBreakHyphen/>
      </w:r>
      <w:r w:rsidR="00C47C3B" w:rsidRPr="000F0314">
        <w:rPr>
          <w:rFonts w:ascii="Book Antiqua" w:hAnsi="Book Antiqua" w:cs="Arial"/>
          <w:sz w:val="22"/>
          <w:szCs w:val="22"/>
        </w:rPr>
        <w:fldChar w:fldCharType="begin"/>
      </w:r>
      <w:r w:rsidRPr="000F0314">
        <w:rPr>
          <w:rFonts w:ascii="Book Antiqua" w:hAnsi="Book Antiqua" w:cs="Arial"/>
          <w:sz w:val="22"/>
          <w:szCs w:val="22"/>
        </w:rPr>
        <w:instrText xml:space="preserve"> SEQ Table \* ARABIC \s 1 </w:instrText>
      </w:r>
      <w:r w:rsidR="00C47C3B" w:rsidRPr="000F0314">
        <w:rPr>
          <w:rFonts w:ascii="Book Antiqua" w:hAnsi="Book Antiqua" w:cs="Arial"/>
          <w:sz w:val="22"/>
          <w:szCs w:val="22"/>
        </w:rPr>
        <w:fldChar w:fldCharType="separate"/>
      </w:r>
      <w:r w:rsidR="00B4351F">
        <w:rPr>
          <w:rFonts w:ascii="Book Antiqua" w:hAnsi="Book Antiqua" w:cs="Arial"/>
          <w:noProof/>
          <w:sz w:val="22"/>
          <w:szCs w:val="22"/>
        </w:rPr>
        <w:t>1</w:t>
      </w:r>
      <w:r w:rsidR="00C47C3B" w:rsidRPr="000F0314">
        <w:rPr>
          <w:rFonts w:ascii="Book Antiqua" w:hAnsi="Book Antiqua" w:cs="Arial"/>
          <w:sz w:val="22"/>
          <w:szCs w:val="22"/>
        </w:rPr>
        <w:fldChar w:fldCharType="end"/>
      </w:r>
      <w:r w:rsidRPr="000F0314">
        <w:rPr>
          <w:rFonts w:ascii="Book Antiqua" w:hAnsi="Book Antiqua" w:cs="Arial"/>
          <w:sz w:val="22"/>
          <w:szCs w:val="22"/>
        </w:rPr>
        <w:t>:</w:t>
      </w:r>
      <w:r w:rsidRPr="000F0314">
        <w:rPr>
          <w:rFonts w:ascii="Book Antiqua" w:hAnsi="Book Antiqua" w:cs="Arial"/>
          <w:sz w:val="22"/>
          <w:szCs w:val="22"/>
          <w:lang w:val="en-US"/>
        </w:rPr>
        <w:t xml:space="preserve"> National-level finance mechanisms</w:t>
      </w:r>
    </w:p>
    <w:tbl>
      <w:tblPr>
        <w:tblW w:w="0" w:type="auto"/>
        <w:tblBorders>
          <w:insideH w:val="single" w:sz="4" w:space="0" w:color="auto"/>
        </w:tblBorders>
        <w:tblLook w:val="01E0"/>
      </w:tblPr>
      <w:tblGrid>
        <w:gridCol w:w="2760"/>
        <w:gridCol w:w="3134"/>
        <w:gridCol w:w="2866"/>
      </w:tblGrid>
      <w:tr w:rsidR="003E47B3" w:rsidRPr="00445F77">
        <w:tc>
          <w:tcPr>
            <w:tcW w:w="2760" w:type="dxa"/>
            <w:tcBorders>
              <w:top w:val="single" w:sz="4" w:space="0" w:color="FFFFFF"/>
              <w:left w:val="single" w:sz="4" w:space="0" w:color="FFFFFF"/>
              <w:bottom w:val="single" w:sz="4" w:space="0" w:color="FFFFFF"/>
              <w:right w:val="single" w:sz="4" w:space="0" w:color="FFFFFF"/>
            </w:tcBorders>
            <w:shd w:val="clear" w:color="auto" w:fill="95B3D7"/>
          </w:tcPr>
          <w:p w:rsidR="003E47B3" w:rsidRPr="000F0314" w:rsidRDefault="003E47B3" w:rsidP="00CB7E26">
            <w:pPr>
              <w:spacing w:after="0" w:line="240" w:lineRule="auto"/>
              <w:jc w:val="center"/>
              <w:rPr>
                <w:rFonts w:ascii="Book Antiqua" w:hAnsi="Book Antiqua" w:cs="Arial"/>
                <w:b/>
                <w:sz w:val="20"/>
                <w:szCs w:val="20"/>
                <w:lang w:val="en-US"/>
              </w:rPr>
            </w:pPr>
            <w:r w:rsidRPr="000F0314">
              <w:rPr>
                <w:rFonts w:ascii="Book Antiqua" w:hAnsi="Book Antiqua" w:cs="Arial"/>
                <w:b/>
                <w:sz w:val="20"/>
                <w:szCs w:val="20"/>
                <w:lang w:val="en-US"/>
              </w:rPr>
              <w:lastRenderedPageBreak/>
              <w:t>Type of mechanism</w:t>
            </w:r>
          </w:p>
        </w:tc>
        <w:tc>
          <w:tcPr>
            <w:tcW w:w="3134" w:type="dxa"/>
            <w:tcBorders>
              <w:top w:val="single" w:sz="4" w:space="0" w:color="FFFFFF"/>
              <w:left w:val="single" w:sz="4" w:space="0" w:color="FFFFFF"/>
              <w:bottom w:val="single" w:sz="4" w:space="0" w:color="FFFFFF"/>
              <w:right w:val="single" w:sz="4" w:space="0" w:color="FFFFFF"/>
            </w:tcBorders>
            <w:shd w:val="clear" w:color="auto" w:fill="95B3D7"/>
          </w:tcPr>
          <w:p w:rsidR="003E47B3" w:rsidRPr="000F0314" w:rsidRDefault="003E47B3" w:rsidP="00CB7E26">
            <w:pPr>
              <w:spacing w:after="0" w:line="240" w:lineRule="auto"/>
              <w:jc w:val="center"/>
              <w:rPr>
                <w:rFonts w:ascii="Book Antiqua" w:hAnsi="Book Antiqua" w:cs="Arial"/>
                <w:b/>
                <w:sz w:val="20"/>
                <w:szCs w:val="20"/>
                <w:lang w:val="en-US"/>
              </w:rPr>
            </w:pPr>
            <w:smartTag w:uri="urn:schemas-microsoft-com:office:smarttags" w:element="country-region">
              <w:smartTag w:uri="urn:schemas-microsoft-com:office:smarttags" w:element="place">
                <w:r w:rsidRPr="000F0314">
                  <w:rPr>
                    <w:rFonts w:ascii="Book Antiqua" w:hAnsi="Book Antiqua" w:cs="Arial"/>
                    <w:b/>
                    <w:sz w:val="20"/>
                    <w:szCs w:val="20"/>
                    <w:lang w:val="en-US"/>
                  </w:rPr>
                  <w:t>Viet Nam</w:t>
                </w:r>
              </w:smartTag>
            </w:smartTag>
          </w:p>
        </w:tc>
        <w:tc>
          <w:tcPr>
            <w:tcW w:w="2866" w:type="dxa"/>
            <w:tcBorders>
              <w:top w:val="single" w:sz="4" w:space="0" w:color="FFFFFF"/>
              <w:left w:val="single" w:sz="4" w:space="0" w:color="FFFFFF"/>
              <w:bottom w:val="single" w:sz="4" w:space="0" w:color="FFFFFF"/>
              <w:right w:val="single" w:sz="4" w:space="0" w:color="FFFFFF"/>
            </w:tcBorders>
            <w:shd w:val="clear" w:color="auto" w:fill="95B3D7"/>
          </w:tcPr>
          <w:p w:rsidR="003E47B3" w:rsidRPr="000F0314" w:rsidRDefault="003E47B3" w:rsidP="00CB7E26">
            <w:pPr>
              <w:spacing w:after="0" w:line="240" w:lineRule="auto"/>
              <w:jc w:val="center"/>
              <w:rPr>
                <w:rFonts w:ascii="Book Antiqua" w:hAnsi="Book Antiqua" w:cs="Arial"/>
                <w:b/>
                <w:sz w:val="20"/>
                <w:szCs w:val="20"/>
                <w:lang w:val="en-US"/>
              </w:rPr>
            </w:pPr>
            <w:r w:rsidRPr="000F0314">
              <w:rPr>
                <w:rFonts w:ascii="Book Antiqua" w:hAnsi="Book Antiqua" w:cs="Arial"/>
                <w:b/>
                <w:sz w:val="20"/>
                <w:szCs w:val="20"/>
                <w:lang w:val="en-US"/>
              </w:rPr>
              <w:t>International (examples)</w:t>
            </w:r>
          </w:p>
        </w:tc>
      </w:tr>
      <w:tr w:rsidR="003E47B3" w:rsidRPr="00445F77">
        <w:tc>
          <w:tcPr>
            <w:tcW w:w="2760" w:type="dxa"/>
            <w:tcBorders>
              <w:top w:val="single" w:sz="4" w:space="0" w:color="FFFFFF"/>
              <w:left w:val="single" w:sz="4" w:space="0" w:color="FFFFFF"/>
              <w:bottom w:val="single" w:sz="4" w:space="0" w:color="FFFFFF"/>
              <w:right w:val="single" w:sz="4" w:space="0" w:color="FFFFFF"/>
            </w:tcBorders>
            <w:shd w:val="clear" w:color="auto" w:fill="DBE5F1"/>
          </w:tcPr>
          <w:p w:rsidR="003E47B3" w:rsidRPr="000F0314" w:rsidRDefault="003E47B3" w:rsidP="00CB7E26">
            <w:pPr>
              <w:spacing w:after="0" w:line="240" w:lineRule="auto"/>
              <w:rPr>
                <w:rFonts w:ascii="Book Antiqua" w:hAnsi="Book Antiqua" w:cs="Arial"/>
                <w:sz w:val="20"/>
                <w:szCs w:val="20"/>
                <w:lang w:val="en-US"/>
              </w:rPr>
            </w:pPr>
            <w:r w:rsidRPr="000F0314">
              <w:rPr>
                <w:rFonts w:ascii="Book Antiqua" w:hAnsi="Book Antiqua" w:cs="Arial"/>
                <w:sz w:val="20"/>
                <w:szCs w:val="20"/>
                <w:lang w:val="en-US"/>
              </w:rPr>
              <w:t>Regular government budget</w:t>
            </w:r>
          </w:p>
        </w:tc>
        <w:tc>
          <w:tcPr>
            <w:tcW w:w="3134" w:type="dxa"/>
            <w:tcBorders>
              <w:top w:val="single" w:sz="4" w:space="0" w:color="FFFFFF"/>
              <w:left w:val="single" w:sz="4" w:space="0" w:color="FFFFFF"/>
              <w:bottom w:val="single" w:sz="4" w:space="0" w:color="FFFFFF"/>
              <w:right w:val="single" w:sz="4" w:space="0" w:color="FFFFFF"/>
            </w:tcBorders>
            <w:shd w:val="clear" w:color="auto" w:fill="DBE5F1"/>
          </w:tcPr>
          <w:p w:rsidR="003E47B3" w:rsidRPr="000F0314" w:rsidRDefault="003E47B3" w:rsidP="003A6A8D">
            <w:pPr>
              <w:numPr>
                <w:ilvl w:val="0"/>
                <w:numId w:val="10"/>
              </w:numPr>
              <w:tabs>
                <w:tab w:val="clear" w:pos="290"/>
                <w:tab w:val="num" w:pos="122"/>
              </w:tabs>
              <w:spacing w:after="0" w:line="240" w:lineRule="auto"/>
              <w:ind w:left="122" w:hanging="192"/>
              <w:rPr>
                <w:rFonts w:ascii="Book Antiqua" w:hAnsi="Book Antiqua" w:cs="Arial"/>
                <w:sz w:val="20"/>
                <w:szCs w:val="20"/>
                <w:lang w:val="en-US"/>
              </w:rPr>
            </w:pPr>
            <w:r w:rsidRPr="000F0314">
              <w:rPr>
                <w:rFonts w:ascii="Book Antiqua" w:hAnsi="Book Antiqua" w:cs="Arial"/>
                <w:sz w:val="20"/>
                <w:szCs w:val="20"/>
                <w:lang w:val="en-US"/>
              </w:rPr>
              <w:t>(</w:t>
            </w:r>
            <w:r w:rsidR="00480D3D">
              <w:rPr>
                <w:rFonts w:ascii="Book Antiqua" w:hAnsi="Book Antiqua" w:cs="Arial"/>
                <w:sz w:val="20"/>
                <w:szCs w:val="20"/>
                <w:lang w:val="en-US"/>
              </w:rPr>
              <w:t>Programme</w:t>
            </w:r>
            <w:r w:rsidRPr="000F0314">
              <w:rPr>
                <w:rFonts w:ascii="Book Antiqua" w:hAnsi="Book Antiqua" w:cs="Arial"/>
                <w:sz w:val="20"/>
                <w:szCs w:val="20"/>
                <w:lang w:val="en-US"/>
              </w:rPr>
              <w:t xml:space="preserve"> 661</w:t>
            </w:r>
          </w:p>
        </w:tc>
        <w:tc>
          <w:tcPr>
            <w:tcW w:w="2866" w:type="dxa"/>
            <w:tcBorders>
              <w:top w:val="single" w:sz="4" w:space="0" w:color="FFFFFF"/>
              <w:left w:val="single" w:sz="4" w:space="0" w:color="FFFFFF"/>
              <w:bottom w:val="single" w:sz="4" w:space="0" w:color="FFFFFF"/>
              <w:right w:val="single" w:sz="4" w:space="0" w:color="FFFFFF"/>
            </w:tcBorders>
            <w:shd w:val="clear" w:color="auto" w:fill="DBE5F1"/>
          </w:tcPr>
          <w:p w:rsidR="003E47B3" w:rsidRPr="000F0314" w:rsidRDefault="003E47B3" w:rsidP="003E3CBA">
            <w:pPr>
              <w:numPr>
                <w:ilvl w:val="0"/>
                <w:numId w:val="10"/>
              </w:numPr>
              <w:tabs>
                <w:tab w:val="clear" w:pos="290"/>
                <w:tab w:val="num" w:pos="122"/>
              </w:tabs>
              <w:spacing w:after="0" w:line="240" w:lineRule="auto"/>
              <w:ind w:left="122" w:hanging="192"/>
              <w:rPr>
                <w:rFonts w:ascii="Book Antiqua" w:hAnsi="Book Antiqua" w:cs="Arial"/>
                <w:sz w:val="20"/>
                <w:szCs w:val="20"/>
                <w:lang w:val="en-US"/>
              </w:rPr>
            </w:pPr>
            <w:r w:rsidRPr="000F0314">
              <w:rPr>
                <w:rFonts w:ascii="Book Antiqua" w:hAnsi="Book Antiqua" w:cs="Arial"/>
                <w:sz w:val="20"/>
                <w:szCs w:val="20"/>
                <w:lang w:val="en-US"/>
              </w:rPr>
              <w:t xml:space="preserve">EU agri-environmental schemes </w:t>
            </w:r>
          </w:p>
          <w:p w:rsidR="003E47B3" w:rsidRPr="000F0314" w:rsidRDefault="003E47B3" w:rsidP="003E3CBA">
            <w:pPr>
              <w:numPr>
                <w:ilvl w:val="0"/>
                <w:numId w:val="10"/>
              </w:numPr>
              <w:tabs>
                <w:tab w:val="clear" w:pos="290"/>
                <w:tab w:val="num" w:pos="122"/>
              </w:tabs>
              <w:spacing w:after="0" w:line="240" w:lineRule="auto"/>
              <w:ind w:left="122" w:hanging="192"/>
              <w:rPr>
                <w:rFonts w:ascii="Book Antiqua" w:hAnsi="Book Antiqua" w:cs="Arial"/>
                <w:sz w:val="20"/>
                <w:szCs w:val="20"/>
                <w:lang w:val="en-US"/>
              </w:rPr>
            </w:pPr>
            <w:smartTag w:uri="urn:schemas-microsoft-com:office:smarttags" w:element="place">
              <w:smartTag w:uri="urn:schemas-microsoft-com:office:smarttags" w:element="City">
                <w:r w:rsidRPr="000F0314">
                  <w:rPr>
                    <w:rFonts w:ascii="Book Antiqua" w:hAnsi="Book Antiqua" w:cs="Arial"/>
                    <w:sz w:val="20"/>
                    <w:szCs w:val="20"/>
                    <w:lang w:val="en-US"/>
                  </w:rPr>
                  <w:t>Eco-VAT</w:t>
                </w:r>
              </w:smartTag>
              <w:r w:rsidRPr="000F0314">
                <w:rPr>
                  <w:rFonts w:ascii="Book Antiqua" w:hAnsi="Book Antiqua" w:cs="Arial"/>
                  <w:sz w:val="20"/>
                  <w:szCs w:val="20"/>
                  <w:lang w:val="en-US"/>
                </w:rPr>
                <w:t xml:space="preserve"> </w:t>
              </w:r>
              <w:smartTag w:uri="urn:schemas-microsoft-com:office:smarttags" w:element="country-region">
                <w:r w:rsidRPr="000F0314">
                  <w:rPr>
                    <w:rFonts w:ascii="Book Antiqua" w:hAnsi="Book Antiqua" w:cs="Arial"/>
                    <w:sz w:val="20"/>
                    <w:szCs w:val="20"/>
                    <w:lang w:val="en-US"/>
                  </w:rPr>
                  <w:t>Brazil</w:t>
                </w:r>
              </w:smartTag>
            </w:smartTag>
          </w:p>
        </w:tc>
      </w:tr>
      <w:tr w:rsidR="003E47B3" w:rsidRPr="00445F77">
        <w:tc>
          <w:tcPr>
            <w:tcW w:w="2760" w:type="dxa"/>
            <w:tcBorders>
              <w:top w:val="single" w:sz="4" w:space="0" w:color="FFFFFF"/>
              <w:left w:val="single" w:sz="4" w:space="0" w:color="FFFFFF"/>
              <w:bottom w:val="single" w:sz="4" w:space="0" w:color="FFFFFF"/>
              <w:right w:val="single" w:sz="4" w:space="0" w:color="FFFFFF"/>
            </w:tcBorders>
            <w:shd w:val="clear" w:color="auto" w:fill="DBE5F1"/>
          </w:tcPr>
          <w:p w:rsidR="003E47B3" w:rsidRPr="000F0314" w:rsidRDefault="003E47B3" w:rsidP="00CB7E26">
            <w:pPr>
              <w:spacing w:after="0" w:line="240" w:lineRule="auto"/>
              <w:rPr>
                <w:rFonts w:ascii="Book Antiqua" w:hAnsi="Book Antiqua" w:cs="Arial"/>
                <w:sz w:val="20"/>
                <w:szCs w:val="20"/>
                <w:lang w:val="en-US"/>
              </w:rPr>
            </w:pPr>
            <w:r w:rsidRPr="000F0314">
              <w:rPr>
                <w:rFonts w:ascii="Book Antiqua" w:hAnsi="Book Antiqua" w:cs="Arial"/>
                <w:sz w:val="20"/>
                <w:szCs w:val="20"/>
                <w:lang w:val="en-US"/>
              </w:rPr>
              <w:t>Targeted fund</w:t>
            </w:r>
          </w:p>
        </w:tc>
        <w:tc>
          <w:tcPr>
            <w:tcW w:w="3134" w:type="dxa"/>
            <w:tcBorders>
              <w:top w:val="single" w:sz="4" w:space="0" w:color="FFFFFF"/>
              <w:left w:val="single" w:sz="4" w:space="0" w:color="FFFFFF"/>
              <w:bottom w:val="single" w:sz="4" w:space="0" w:color="FFFFFF"/>
              <w:right w:val="single" w:sz="4" w:space="0" w:color="FFFFFF"/>
            </w:tcBorders>
            <w:shd w:val="clear" w:color="auto" w:fill="DBE5F1"/>
          </w:tcPr>
          <w:p w:rsidR="003E47B3" w:rsidRPr="000F0314" w:rsidRDefault="003E47B3" w:rsidP="003E3CBA">
            <w:pPr>
              <w:numPr>
                <w:ilvl w:val="0"/>
                <w:numId w:val="10"/>
              </w:numPr>
              <w:tabs>
                <w:tab w:val="clear" w:pos="290"/>
                <w:tab w:val="num" w:pos="122"/>
              </w:tabs>
              <w:spacing w:after="0" w:line="240" w:lineRule="auto"/>
              <w:ind w:left="122" w:hanging="192"/>
              <w:rPr>
                <w:rFonts w:ascii="Book Antiqua" w:hAnsi="Book Antiqua" w:cs="Arial"/>
                <w:sz w:val="20"/>
                <w:szCs w:val="20"/>
                <w:lang w:val="en-US"/>
              </w:rPr>
            </w:pPr>
            <w:smartTag w:uri="urn:schemas-microsoft-com:office:smarttags" w:element="place">
              <w:r w:rsidRPr="000F0314">
                <w:rPr>
                  <w:rFonts w:ascii="Book Antiqua" w:hAnsi="Book Antiqua" w:cs="Arial"/>
                  <w:sz w:val="20"/>
                  <w:szCs w:val="20"/>
                  <w:lang w:val="en-US"/>
                </w:rPr>
                <w:t>Forest</w:t>
              </w:r>
            </w:smartTag>
            <w:r w:rsidRPr="000F0314">
              <w:rPr>
                <w:rFonts w:ascii="Book Antiqua" w:hAnsi="Book Antiqua" w:cs="Arial"/>
                <w:sz w:val="20"/>
                <w:szCs w:val="20"/>
                <w:lang w:val="en-US"/>
              </w:rPr>
              <w:t xml:space="preserve"> Protection and Development Fund</w:t>
            </w:r>
          </w:p>
          <w:p w:rsidR="003E47B3" w:rsidRPr="000F0314" w:rsidRDefault="003E47B3" w:rsidP="003E3CBA">
            <w:pPr>
              <w:numPr>
                <w:ilvl w:val="0"/>
                <w:numId w:val="10"/>
              </w:numPr>
              <w:tabs>
                <w:tab w:val="clear" w:pos="290"/>
                <w:tab w:val="num" w:pos="122"/>
              </w:tabs>
              <w:spacing w:after="0" w:line="240" w:lineRule="auto"/>
              <w:ind w:left="122" w:hanging="192"/>
              <w:rPr>
                <w:rFonts w:ascii="Book Antiqua" w:hAnsi="Book Antiqua" w:cs="Arial"/>
                <w:sz w:val="20"/>
                <w:szCs w:val="20"/>
                <w:lang w:val="en-US"/>
              </w:rPr>
            </w:pPr>
            <w:smartTag w:uri="urn:schemas-microsoft-com:office:smarttags" w:element="country-region">
              <w:smartTag w:uri="urn:schemas-microsoft-com:office:smarttags" w:element="place">
                <w:r w:rsidRPr="000F0314">
                  <w:rPr>
                    <w:rFonts w:ascii="Book Antiqua" w:hAnsi="Book Antiqua" w:cs="Arial"/>
                    <w:sz w:val="20"/>
                    <w:szCs w:val="20"/>
                    <w:lang w:val="en-US"/>
                  </w:rPr>
                  <w:t>Viet Nam</w:t>
                </w:r>
              </w:smartTag>
            </w:smartTag>
            <w:r w:rsidRPr="000F0314">
              <w:rPr>
                <w:rFonts w:ascii="Book Antiqua" w:hAnsi="Book Antiqua" w:cs="Arial"/>
                <w:sz w:val="20"/>
                <w:szCs w:val="20"/>
                <w:lang w:val="en-US"/>
              </w:rPr>
              <w:t xml:space="preserve"> Conservation Fund</w:t>
            </w:r>
          </w:p>
          <w:p w:rsidR="003E47B3" w:rsidRPr="000F0314" w:rsidRDefault="003E47B3" w:rsidP="003E3CBA">
            <w:pPr>
              <w:numPr>
                <w:ilvl w:val="0"/>
                <w:numId w:val="10"/>
              </w:numPr>
              <w:tabs>
                <w:tab w:val="clear" w:pos="290"/>
                <w:tab w:val="num" w:pos="122"/>
              </w:tabs>
              <w:spacing w:after="0" w:line="240" w:lineRule="auto"/>
              <w:ind w:left="122" w:hanging="192"/>
              <w:rPr>
                <w:rFonts w:ascii="Book Antiqua" w:hAnsi="Book Antiqua" w:cs="Arial"/>
                <w:sz w:val="20"/>
                <w:szCs w:val="20"/>
                <w:lang w:val="en-US"/>
              </w:rPr>
            </w:pPr>
            <w:smartTag w:uri="urn:schemas-microsoft-com:office:smarttags" w:element="country-region">
              <w:smartTag w:uri="urn:schemas-microsoft-com:office:smarttags" w:element="place">
                <w:r w:rsidRPr="000F0314">
                  <w:rPr>
                    <w:rFonts w:ascii="Book Antiqua" w:hAnsi="Book Antiqua" w:cs="Arial"/>
                    <w:sz w:val="20"/>
                    <w:szCs w:val="20"/>
                    <w:lang w:val="en-US"/>
                  </w:rPr>
                  <w:t>Viet Nam</w:t>
                </w:r>
              </w:smartTag>
            </w:smartTag>
            <w:r w:rsidRPr="000F0314">
              <w:rPr>
                <w:rFonts w:ascii="Book Antiqua" w:hAnsi="Book Antiqua" w:cs="Arial"/>
                <w:sz w:val="20"/>
                <w:szCs w:val="20"/>
                <w:lang w:val="en-US"/>
              </w:rPr>
              <w:t xml:space="preserve"> Environmental Protection Fund</w:t>
            </w:r>
          </w:p>
        </w:tc>
        <w:tc>
          <w:tcPr>
            <w:tcW w:w="2866" w:type="dxa"/>
            <w:tcBorders>
              <w:top w:val="single" w:sz="4" w:space="0" w:color="FFFFFF"/>
              <w:left w:val="single" w:sz="4" w:space="0" w:color="FFFFFF"/>
              <w:bottom w:val="single" w:sz="4" w:space="0" w:color="FFFFFF"/>
              <w:right w:val="single" w:sz="4" w:space="0" w:color="FFFFFF"/>
            </w:tcBorders>
            <w:shd w:val="clear" w:color="auto" w:fill="DBE5F1"/>
          </w:tcPr>
          <w:p w:rsidR="003E47B3" w:rsidRPr="000F0314" w:rsidRDefault="003E47B3" w:rsidP="003E3CBA">
            <w:pPr>
              <w:numPr>
                <w:ilvl w:val="0"/>
                <w:numId w:val="10"/>
              </w:numPr>
              <w:tabs>
                <w:tab w:val="clear" w:pos="290"/>
                <w:tab w:val="num" w:pos="122"/>
              </w:tabs>
              <w:spacing w:after="0" w:line="240" w:lineRule="auto"/>
              <w:ind w:left="122" w:hanging="192"/>
              <w:rPr>
                <w:rFonts w:ascii="Book Antiqua" w:hAnsi="Book Antiqua" w:cs="Arial"/>
                <w:sz w:val="20"/>
                <w:szCs w:val="20"/>
                <w:lang w:val="en-US"/>
              </w:rPr>
            </w:pPr>
            <w:r w:rsidRPr="000F0314">
              <w:rPr>
                <w:rFonts w:ascii="Book Antiqua" w:hAnsi="Book Antiqua" w:cs="Arial"/>
                <w:sz w:val="20"/>
                <w:szCs w:val="20"/>
                <w:lang w:val="en-US"/>
              </w:rPr>
              <w:t xml:space="preserve">national PES schemes in </w:t>
            </w:r>
            <w:smartTag w:uri="urn:schemas-microsoft-com:office:smarttags" w:element="country-region">
              <w:r w:rsidRPr="000F0314">
                <w:rPr>
                  <w:rFonts w:ascii="Book Antiqua" w:hAnsi="Book Antiqua" w:cs="Arial"/>
                  <w:sz w:val="20"/>
                  <w:szCs w:val="20"/>
                  <w:lang w:val="en-US"/>
                </w:rPr>
                <w:t>Costa Rica</w:t>
              </w:r>
            </w:smartTag>
            <w:r w:rsidRPr="000F0314">
              <w:rPr>
                <w:rFonts w:ascii="Book Antiqua" w:hAnsi="Book Antiqua" w:cs="Arial"/>
                <w:sz w:val="20"/>
                <w:szCs w:val="20"/>
                <w:lang w:val="en-US"/>
              </w:rPr>
              <w:t xml:space="preserve"> and </w:t>
            </w:r>
            <w:smartTag w:uri="urn:schemas-microsoft-com:office:smarttags" w:element="country-region">
              <w:smartTag w:uri="urn:schemas-microsoft-com:office:smarttags" w:element="place">
                <w:r w:rsidRPr="000F0314">
                  <w:rPr>
                    <w:rFonts w:ascii="Book Antiqua" w:hAnsi="Book Antiqua" w:cs="Arial"/>
                    <w:sz w:val="20"/>
                    <w:szCs w:val="20"/>
                    <w:lang w:val="en-US"/>
                  </w:rPr>
                  <w:t>Mexico</w:t>
                </w:r>
              </w:smartTag>
            </w:smartTag>
          </w:p>
          <w:p w:rsidR="003E47B3" w:rsidRPr="000F0314" w:rsidRDefault="003E47B3" w:rsidP="003E3CBA">
            <w:pPr>
              <w:numPr>
                <w:ilvl w:val="0"/>
                <w:numId w:val="10"/>
              </w:numPr>
              <w:tabs>
                <w:tab w:val="clear" w:pos="290"/>
                <w:tab w:val="num" w:pos="122"/>
              </w:tabs>
              <w:spacing w:after="0" w:line="240" w:lineRule="auto"/>
              <w:ind w:left="122" w:hanging="192"/>
              <w:rPr>
                <w:rFonts w:ascii="Book Antiqua" w:hAnsi="Book Antiqua" w:cs="Arial"/>
                <w:sz w:val="20"/>
                <w:szCs w:val="20"/>
                <w:lang w:val="en-US"/>
              </w:rPr>
            </w:pPr>
            <w:r w:rsidRPr="000F0314">
              <w:rPr>
                <w:rFonts w:ascii="Book Antiqua" w:hAnsi="Book Antiqua" w:cs="Arial"/>
                <w:sz w:val="20"/>
                <w:szCs w:val="20"/>
                <w:lang w:val="en-US"/>
              </w:rPr>
              <w:t xml:space="preserve">Amazon Fund </w:t>
            </w:r>
            <w:smartTag w:uri="urn:schemas-microsoft-com:office:smarttags" w:element="country-region">
              <w:smartTag w:uri="urn:schemas-microsoft-com:office:smarttags" w:element="place">
                <w:r w:rsidRPr="000F0314">
                  <w:rPr>
                    <w:rFonts w:ascii="Book Antiqua" w:hAnsi="Book Antiqua" w:cs="Arial"/>
                    <w:sz w:val="20"/>
                    <w:szCs w:val="20"/>
                    <w:lang w:val="en-US"/>
                  </w:rPr>
                  <w:t>Brazil</w:t>
                </w:r>
              </w:smartTag>
            </w:smartTag>
          </w:p>
          <w:p w:rsidR="003E47B3" w:rsidRPr="000F0314" w:rsidRDefault="003E47B3" w:rsidP="003E3CBA">
            <w:pPr>
              <w:numPr>
                <w:ilvl w:val="0"/>
                <w:numId w:val="10"/>
              </w:numPr>
              <w:tabs>
                <w:tab w:val="clear" w:pos="290"/>
                <w:tab w:val="num" w:pos="122"/>
              </w:tabs>
              <w:spacing w:after="0" w:line="240" w:lineRule="auto"/>
              <w:ind w:left="122" w:hanging="192"/>
              <w:rPr>
                <w:rFonts w:ascii="Book Antiqua" w:hAnsi="Book Antiqua" w:cs="Arial"/>
                <w:sz w:val="20"/>
                <w:szCs w:val="20"/>
                <w:lang w:val="en-US"/>
              </w:rPr>
            </w:pPr>
            <w:r w:rsidRPr="000F0314">
              <w:rPr>
                <w:rFonts w:ascii="Book Antiqua" w:hAnsi="Book Antiqua" w:cs="Arial"/>
                <w:sz w:val="20"/>
                <w:szCs w:val="20"/>
                <w:lang w:val="en-US"/>
              </w:rPr>
              <w:t xml:space="preserve">Sustainable Amazonas Foundation </w:t>
            </w:r>
            <w:smartTag w:uri="urn:schemas-microsoft-com:office:smarttags" w:element="country-region">
              <w:smartTag w:uri="urn:schemas-microsoft-com:office:smarttags" w:element="place">
                <w:r w:rsidRPr="000F0314">
                  <w:rPr>
                    <w:rFonts w:ascii="Book Antiqua" w:hAnsi="Book Antiqua" w:cs="Arial"/>
                    <w:sz w:val="20"/>
                    <w:szCs w:val="20"/>
                    <w:lang w:val="en-US"/>
                  </w:rPr>
                  <w:t>Brazil</w:t>
                </w:r>
              </w:smartTag>
            </w:smartTag>
          </w:p>
        </w:tc>
      </w:tr>
      <w:tr w:rsidR="003E47B3" w:rsidRPr="00445F77">
        <w:tc>
          <w:tcPr>
            <w:tcW w:w="2760" w:type="dxa"/>
            <w:tcBorders>
              <w:top w:val="single" w:sz="4" w:space="0" w:color="FFFFFF"/>
              <w:left w:val="single" w:sz="4" w:space="0" w:color="FFFFFF"/>
              <w:bottom w:val="single" w:sz="4" w:space="0" w:color="FFFFFF"/>
              <w:right w:val="single" w:sz="4" w:space="0" w:color="FFFFFF"/>
            </w:tcBorders>
            <w:shd w:val="clear" w:color="auto" w:fill="DBE5F1"/>
          </w:tcPr>
          <w:p w:rsidR="003E47B3" w:rsidRPr="000F0314" w:rsidRDefault="003E47B3" w:rsidP="00CB7E26">
            <w:pPr>
              <w:spacing w:after="0" w:line="240" w:lineRule="auto"/>
              <w:rPr>
                <w:rFonts w:ascii="Book Antiqua" w:hAnsi="Book Antiqua" w:cs="Arial"/>
                <w:sz w:val="20"/>
                <w:szCs w:val="20"/>
                <w:lang w:val="en-US"/>
              </w:rPr>
            </w:pPr>
            <w:r w:rsidRPr="000F0314">
              <w:rPr>
                <w:rFonts w:ascii="Book Antiqua" w:hAnsi="Book Antiqua" w:cs="Arial"/>
                <w:sz w:val="20"/>
                <w:szCs w:val="20"/>
                <w:lang w:val="en-US"/>
              </w:rPr>
              <w:t>Decentralized mechanism with national ‘tax’</w:t>
            </w:r>
          </w:p>
        </w:tc>
        <w:tc>
          <w:tcPr>
            <w:tcW w:w="3134" w:type="dxa"/>
            <w:tcBorders>
              <w:top w:val="single" w:sz="4" w:space="0" w:color="FFFFFF"/>
              <w:left w:val="single" w:sz="4" w:space="0" w:color="FFFFFF"/>
              <w:bottom w:val="single" w:sz="4" w:space="0" w:color="FFFFFF"/>
              <w:right w:val="single" w:sz="4" w:space="0" w:color="FFFFFF"/>
            </w:tcBorders>
            <w:shd w:val="clear" w:color="auto" w:fill="DBE5F1"/>
          </w:tcPr>
          <w:p w:rsidR="003E47B3" w:rsidRPr="000F0314" w:rsidRDefault="003E47B3" w:rsidP="003E3CBA">
            <w:pPr>
              <w:numPr>
                <w:ilvl w:val="0"/>
                <w:numId w:val="10"/>
              </w:numPr>
              <w:tabs>
                <w:tab w:val="clear" w:pos="290"/>
                <w:tab w:val="num" w:pos="122"/>
              </w:tabs>
              <w:spacing w:after="0" w:line="240" w:lineRule="auto"/>
              <w:ind w:left="122" w:hanging="192"/>
              <w:rPr>
                <w:rFonts w:ascii="Book Antiqua" w:hAnsi="Book Antiqua" w:cs="Arial"/>
                <w:sz w:val="20"/>
                <w:szCs w:val="20"/>
                <w:lang w:val="en-US"/>
              </w:rPr>
            </w:pPr>
            <w:r w:rsidRPr="000F0314">
              <w:rPr>
                <w:rFonts w:ascii="Book Antiqua" w:hAnsi="Book Antiqua" w:cs="Arial"/>
                <w:sz w:val="20"/>
                <w:szCs w:val="20"/>
                <w:lang w:val="en-US"/>
              </w:rPr>
              <w:t>Modality chosen for many international donor projects</w:t>
            </w:r>
          </w:p>
          <w:p w:rsidR="003E47B3" w:rsidRPr="000F0314" w:rsidRDefault="003E47B3" w:rsidP="003E3CBA">
            <w:pPr>
              <w:numPr>
                <w:ilvl w:val="0"/>
                <w:numId w:val="10"/>
              </w:numPr>
              <w:tabs>
                <w:tab w:val="clear" w:pos="290"/>
                <w:tab w:val="num" w:pos="122"/>
              </w:tabs>
              <w:spacing w:after="0" w:line="240" w:lineRule="auto"/>
              <w:ind w:left="122" w:hanging="192"/>
              <w:rPr>
                <w:rFonts w:ascii="Book Antiqua" w:hAnsi="Book Antiqua" w:cs="Arial"/>
                <w:sz w:val="20"/>
                <w:szCs w:val="20"/>
                <w:lang w:val="en-US"/>
              </w:rPr>
            </w:pPr>
            <w:r w:rsidRPr="000F0314">
              <w:rPr>
                <w:rFonts w:ascii="Book Antiqua" w:hAnsi="Book Antiqua" w:cs="Arial"/>
                <w:sz w:val="20"/>
                <w:szCs w:val="20"/>
                <w:lang w:val="en-US"/>
              </w:rPr>
              <w:t>Trust Fund for Forests</w:t>
            </w:r>
          </w:p>
          <w:p w:rsidR="003E47B3" w:rsidRPr="000F0314" w:rsidRDefault="003E47B3" w:rsidP="003E3CBA">
            <w:pPr>
              <w:numPr>
                <w:ilvl w:val="0"/>
                <w:numId w:val="10"/>
              </w:numPr>
              <w:tabs>
                <w:tab w:val="clear" w:pos="290"/>
                <w:tab w:val="num" w:pos="122"/>
              </w:tabs>
              <w:spacing w:after="0" w:line="240" w:lineRule="auto"/>
              <w:ind w:left="122" w:hanging="192"/>
              <w:rPr>
                <w:rFonts w:ascii="Book Antiqua" w:hAnsi="Book Antiqua" w:cs="Arial"/>
                <w:sz w:val="20"/>
                <w:szCs w:val="20"/>
                <w:lang w:val="en-US"/>
              </w:rPr>
            </w:pPr>
            <w:r w:rsidRPr="000F0314">
              <w:rPr>
                <w:rFonts w:ascii="Book Antiqua" w:hAnsi="Book Antiqua" w:cs="Arial"/>
                <w:sz w:val="20"/>
                <w:szCs w:val="20"/>
                <w:lang w:val="en-US"/>
              </w:rPr>
              <w:t>Clean Development Mechanism (CDM)</w:t>
            </w:r>
          </w:p>
        </w:tc>
        <w:tc>
          <w:tcPr>
            <w:tcW w:w="2866" w:type="dxa"/>
            <w:tcBorders>
              <w:top w:val="single" w:sz="4" w:space="0" w:color="FFFFFF"/>
              <w:left w:val="single" w:sz="4" w:space="0" w:color="FFFFFF"/>
              <w:bottom w:val="single" w:sz="4" w:space="0" w:color="FFFFFF"/>
              <w:right w:val="single" w:sz="4" w:space="0" w:color="FFFFFF"/>
            </w:tcBorders>
            <w:shd w:val="clear" w:color="auto" w:fill="DBE5F1"/>
          </w:tcPr>
          <w:p w:rsidR="003E47B3" w:rsidRPr="000F0314" w:rsidRDefault="003E47B3" w:rsidP="003E3CBA">
            <w:pPr>
              <w:numPr>
                <w:ilvl w:val="0"/>
                <w:numId w:val="10"/>
              </w:numPr>
              <w:tabs>
                <w:tab w:val="clear" w:pos="290"/>
                <w:tab w:val="num" w:pos="122"/>
              </w:tabs>
              <w:spacing w:after="0" w:line="240" w:lineRule="auto"/>
              <w:ind w:left="122" w:hanging="192"/>
              <w:rPr>
                <w:rFonts w:ascii="Book Antiqua" w:hAnsi="Book Antiqua" w:cs="Arial"/>
                <w:sz w:val="20"/>
                <w:szCs w:val="20"/>
                <w:lang w:val="en-US"/>
              </w:rPr>
            </w:pPr>
            <w:smartTag w:uri="urn:schemas-microsoft-com:office:smarttags" w:element="country-region">
              <w:smartTag w:uri="urn:schemas-microsoft-com:office:smarttags" w:element="place">
                <w:r w:rsidRPr="000F0314">
                  <w:rPr>
                    <w:rFonts w:ascii="Book Antiqua" w:hAnsi="Book Antiqua" w:cs="Arial"/>
                    <w:sz w:val="20"/>
                    <w:szCs w:val="20"/>
                    <w:lang w:val="en-US"/>
                  </w:rPr>
                  <w:t>Indonesia</w:t>
                </w:r>
              </w:smartTag>
            </w:smartTag>
            <w:r w:rsidRPr="000F0314">
              <w:rPr>
                <w:rFonts w:ascii="Book Antiqua" w:hAnsi="Book Antiqua" w:cs="Arial"/>
                <w:sz w:val="20"/>
                <w:szCs w:val="20"/>
                <w:lang w:val="en-US"/>
              </w:rPr>
              <w:t xml:space="preserve">’s </w:t>
            </w:r>
            <w:r w:rsidR="00480D3D">
              <w:rPr>
                <w:rFonts w:ascii="Book Antiqua" w:hAnsi="Book Antiqua" w:cs="Arial"/>
                <w:sz w:val="20"/>
                <w:szCs w:val="20"/>
                <w:lang w:val="en-US"/>
              </w:rPr>
              <w:t>REDD+</w:t>
            </w:r>
            <w:r w:rsidRPr="000F0314">
              <w:rPr>
                <w:rFonts w:ascii="Book Antiqua" w:hAnsi="Book Antiqua" w:cs="Arial"/>
                <w:sz w:val="20"/>
                <w:szCs w:val="20"/>
                <w:lang w:val="en-US"/>
              </w:rPr>
              <w:t xml:space="preserve"> architecture</w:t>
            </w:r>
          </w:p>
        </w:tc>
      </w:tr>
    </w:tbl>
    <w:p w:rsidR="00351F2C" w:rsidRPr="00445F77" w:rsidRDefault="00351F2C" w:rsidP="007C38DB">
      <w:pPr>
        <w:pStyle w:val="Heading3"/>
        <w:spacing w:before="0" w:after="0"/>
        <w:rPr>
          <w:rFonts w:ascii="Arial" w:hAnsi="Arial" w:cs="Arial"/>
          <w:lang w:val="en-US"/>
        </w:rPr>
      </w:pPr>
    </w:p>
    <w:p w:rsidR="00351F2C" w:rsidRPr="00445F77" w:rsidRDefault="00351F2C" w:rsidP="007C38DB">
      <w:pPr>
        <w:pStyle w:val="Heading3"/>
        <w:spacing w:before="0" w:after="0"/>
        <w:rPr>
          <w:rFonts w:ascii="Arial" w:hAnsi="Arial" w:cs="Arial"/>
          <w:lang w:val="en-US"/>
        </w:rPr>
      </w:pPr>
      <w:bookmarkStart w:id="168" w:name="_Toc243984124"/>
      <w:bookmarkStart w:id="169" w:name="_Toc244327650"/>
      <w:bookmarkStart w:id="170" w:name="_Toc244327899"/>
      <w:bookmarkStart w:id="171" w:name="_Toc244586164"/>
      <w:bookmarkStart w:id="172" w:name="_Toc249079532"/>
      <w:r w:rsidRPr="00445F77">
        <w:rPr>
          <w:rFonts w:ascii="Arial" w:hAnsi="Arial" w:cs="Arial"/>
          <w:lang w:val="en-US"/>
        </w:rPr>
        <w:t xml:space="preserve">Government budget: The </w:t>
      </w:r>
      <w:r w:rsidR="000D7D36">
        <w:rPr>
          <w:rFonts w:ascii="Arial" w:hAnsi="Arial" w:cs="Arial"/>
          <w:lang w:val="en-US"/>
        </w:rPr>
        <w:t>661 Programme</w:t>
      </w:r>
      <w:r w:rsidRPr="00445F77">
        <w:rPr>
          <w:rFonts w:ascii="Arial" w:hAnsi="Arial" w:cs="Arial"/>
          <w:lang w:val="en-US"/>
        </w:rPr>
        <w:t xml:space="preserve"> and </w:t>
      </w:r>
      <w:r w:rsidR="00480D3D">
        <w:rPr>
          <w:rFonts w:ascii="Arial" w:hAnsi="Arial" w:cs="Arial"/>
          <w:lang w:val="en-US"/>
        </w:rPr>
        <w:t>Programme</w:t>
      </w:r>
      <w:r w:rsidRPr="00445F77">
        <w:rPr>
          <w:rFonts w:ascii="Arial" w:hAnsi="Arial" w:cs="Arial"/>
          <w:lang w:val="en-US"/>
        </w:rPr>
        <w:t xml:space="preserve"> 135</w:t>
      </w:r>
      <w:bookmarkEnd w:id="167"/>
      <w:bookmarkEnd w:id="168"/>
      <w:bookmarkEnd w:id="169"/>
      <w:bookmarkEnd w:id="170"/>
      <w:bookmarkEnd w:id="171"/>
      <w:bookmarkEnd w:id="172"/>
    </w:p>
    <w:p w:rsidR="00351F2C" w:rsidRPr="000F0314" w:rsidRDefault="00351F2C" w:rsidP="007C38DB">
      <w:pPr>
        <w:spacing w:after="0"/>
        <w:jc w:val="both"/>
        <w:rPr>
          <w:rFonts w:ascii="Book Antiqua" w:hAnsi="Book Antiqua" w:cs="Arial"/>
          <w:lang w:val="en-US"/>
        </w:rPr>
      </w:pPr>
      <w:bookmarkStart w:id="173" w:name="_Toc243929942"/>
      <w:bookmarkStart w:id="174" w:name="_Toc243984125"/>
      <w:bookmarkStart w:id="175" w:name="_Toc244327651"/>
      <w:bookmarkStart w:id="176" w:name="_Toc244327900"/>
      <w:r w:rsidRPr="000F0314">
        <w:rPr>
          <w:rFonts w:ascii="Book Antiqua" w:hAnsi="Book Antiqua" w:cs="Arial"/>
          <w:lang w:val="en-US"/>
        </w:rPr>
        <w:t xml:space="preserve">The 661 </w:t>
      </w:r>
      <w:r w:rsidR="00480D3D">
        <w:rPr>
          <w:rFonts w:ascii="Book Antiqua" w:hAnsi="Book Antiqua" w:cs="Arial"/>
          <w:lang w:val="en-US"/>
        </w:rPr>
        <w:t>Programme</w:t>
      </w:r>
      <w:r w:rsidRPr="000F0314">
        <w:rPr>
          <w:rFonts w:ascii="Book Antiqua" w:hAnsi="Book Antiqua" w:cs="Arial"/>
          <w:lang w:val="en-US"/>
        </w:rPr>
        <w:t>, was launched in 1998 and intended to make a major contribution to increasing Viet Nam’s forest cover. Two million hectares were planned as protection forests and three million hectares as production forests and considered an integral part of the strategy for rural and forest sector development (</w:t>
      </w:r>
      <w:r w:rsidR="00C47C3B" w:rsidRPr="000F0314">
        <w:rPr>
          <w:rFonts w:ascii="Book Antiqua" w:hAnsi="Book Antiqua" w:cs="Arial"/>
          <w:lang w:val="en-US"/>
        </w:rPr>
        <w:fldChar w:fldCharType="begin"/>
      </w:r>
      <w:r w:rsidRPr="000F0314">
        <w:rPr>
          <w:rFonts w:ascii="Book Antiqua" w:hAnsi="Book Antiqua" w:cs="Arial"/>
          <w:lang w:val="en-US"/>
        </w:rPr>
        <w:instrText xml:space="preserve"> QUOTE "(Ministry of Agriculture and Rural Development (MARD) 2001)" </w:instrText>
      </w:r>
      <w:r w:rsidR="00C47C3B" w:rsidRPr="000F0314">
        <w:rPr>
          <w:rFonts w:ascii="Book Antiqua" w:hAnsi="Book Antiqua" w:cs="Arial"/>
          <w:vanish/>
          <w:lang w:val="en-US"/>
        </w:rPr>
        <w:fldChar w:fldCharType="begin"/>
      </w:r>
      <w:r w:rsidRPr="000F0314">
        <w:rPr>
          <w:rFonts w:ascii="Book Antiqua" w:hAnsi="Book Antiqua" w:cs="Arial"/>
          <w:vanish/>
          <w:lang w:val="en-US"/>
        </w:rPr>
        <w:instrText xml:space="preserve"> ADDIN REFMAN ÿ\11\05‘\19\01\00\00\00;(Ministry of Agriculture and Rural Development (MARD) 2001)\00;\00cC:\5CDocuments and Settings\5CAdministrator\5CDesktop\5CUN-REDD study\5COwn documents\5CUN-REDD study reference\03\00\011?Ministry of Agriculture and Rural Development (MARD) 2001 1 /id\00?\00 </w:instrText>
      </w:r>
      <w:r w:rsidR="00C47C3B" w:rsidRPr="000F0314">
        <w:rPr>
          <w:rFonts w:ascii="Book Antiqua" w:hAnsi="Book Antiqua" w:cs="Arial"/>
          <w:vanish/>
          <w:lang w:val="en-US"/>
        </w:rPr>
        <w:fldChar w:fldCharType="end"/>
      </w:r>
      <w:r w:rsidR="00C47C3B" w:rsidRPr="000F0314">
        <w:rPr>
          <w:rFonts w:ascii="Book Antiqua" w:hAnsi="Book Antiqua" w:cs="Arial"/>
          <w:lang w:val="en-US"/>
        </w:rPr>
        <w:fldChar w:fldCharType="separate"/>
      </w:r>
      <w:r w:rsidRPr="000F0314">
        <w:rPr>
          <w:rFonts w:ascii="Book Antiqua" w:hAnsi="Book Antiqua" w:cs="Arial"/>
          <w:lang w:val="en-US"/>
        </w:rPr>
        <w:t>MARD 2001)</w:t>
      </w:r>
      <w:r w:rsidR="00C47C3B" w:rsidRPr="000F0314">
        <w:rPr>
          <w:rFonts w:ascii="Book Antiqua" w:hAnsi="Book Antiqua" w:cs="Arial"/>
          <w:lang w:val="en-US"/>
        </w:rPr>
        <w:fldChar w:fldCharType="end"/>
      </w:r>
      <w:r w:rsidRPr="000F0314">
        <w:rPr>
          <w:rFonts w:ascii="Book Antiqua" w:hAnsi="Book Antiqua" w:cs="Arial"/>
          <w:lang w:val="en-US"/>
        </w:rPr>
        <w:t xml:space="preserve">. </w:t>
      </w:r>
    </w:p>
    <w:p w:rsidR="00351F2C" w:rsidRPr="00445F77" w:rsidRDefault="00351F2C" w:rsidP="007C38DB">
      <w:pPr>
        <w:spacing w:after="0"/>
        <w:jc w:val="both"/>
        <w:rPr>
          <w:rFonts w:ascii="Arial" w:hAnsi="Arial" w:cs="Arial"/>
          <w:sz w:val="24"/>
          <w:szCs w:val="24"/>
          <w:u w:val="single"/>
          <w:lang w:val="en-US"/>
        </w:rPr>
      </w:pPr>
    </w:p>
    <w:p w:rsidR="00351F2C" w:rsidRPr="00445F77" w:rsidRDefault="00351F2C" w:rsidP="007C38DB">
      <w:pPr>
        <w:pStyle w:val="Heading3"/>
        <w:spacing w:before="0" w:after="0"/>
        <w:rPr>
          <w:rFonts w:ascii="Arial" w:hAnsi="Arial" w:cs="Arial"/>
          <w:lang w:val="en-US"/>
        </w:rPr>
      </w:pPr>
      <w:bookmarkStart w:id="177" w:name="_Toc249079533"/>
      <w:r w:rsidRPr="00445F77">
        <w:rPr>
          <w:rFonts w:ascii="Arial" w:hAnsi="Arial" w:cs="Arial"/>
          <w:lang w:val="en-US"/>
        </w:rPr>
        <w:t xml:space="preserve">Targeted Funds: The </w:t>
      </w:r>
      <w:smartTag w:uri="urn:schemas-microsoft-com:office:smarttags" w:element="place">
        <w:r w:rsidRPr="00445F77">
          <w:rPr>
            <w:rFonts w:ascii="Arial" w:hAnsi="Arial" w:cs="Arial"/>
            <w:lang w:val="en-US"/>
          </w:rPr>
          <w:t>Forest</w:t>
        </w:r>
      </w:smartTag>
      <w:r w:rsidRPr="00445F77">
        <w:rPr>
          <w:rFonts w:ascii="Arial" w:hAnsi="Arial" w:cs="Arial"/>
          <w:lang w:val="en-US"/>
        </w:rPr>
        <w:t xml:space="preserve"> Protection and Development Fund</w:t>
      </w:r>
      <w:bookmarkEnd w:id="173"/>
      <w:bookmarkEnd w:id="174"/>
      <w:bookmarkEnd w:id="175"/>
      <w:bookmarkEnd w:id="176"/>
      <w:bookmarkEnd w:id="177"/>
    </w:p>
    <w:p w:rsidR="00FE38DF" w:rsidRDefault="00B4562C" w:rsidP="007C38DB">
      <w:pPr>
        <w:spacing w:after="0" w:line="300" w:lineRule="exact"/>
        <w:jc w:val="both"/>
        <w:rPr>
          <w:rFonts w:ascii="Book Antiqua" w:hAnsi="Book Antiqua" w:cs="Arial"/>
          <w:lang w:val="en-US"/>
        </w:rPr>
      </w:pPr>
      <w:r>
        <w:rPr>
          <w:rFonts w:ascii="Book Antiqua" w:hAnsi="Book Antiqua" w:cs="Arial"/>
          <w:lang w:val="en-US"/>
        </w:rPr>
        <w:t>As noted in section 2.4, t</w:t>
      </w:r>
      <w:r w:rsidR="00351F2C" w:rsidRPr="000F0314">
        <w:rPr>
          <w:rFonts w:ascii="Book Antiqua" w:hAnsi="Book Antiqua" w:cs="Arial"/>
          <w:lang w:val="en-US"/>
        </w:rPr>
        <w:t>he Forest Protection and Development Fund (FPDF) was conceived as a novel public-private partnership with the intention of mobilizing available resources in the society for the protection and development of forest resources and improve forest protection and development on the part of people who benefit directly from the forest and those whose actions may have direct impacts on forest resources. There was also the aim of enhancing the efficiency of forest management, utilization and protection.</w:t>
      </w:r>
    </w:p>
    <w:p w:rsidR="00FE38DF" w:rsidRDefault="00FE38DF" w:rsidP="007C38DB">
      <w:pPr>
        <w:spacing w:after="0" w:line="300" w:lineRule="exact"/>
        <w:jc w:val="both"/>
        <w:rPr>
          <w:rFonts w:ascii="Book Antiqua" w:hAnsi="Book Antiqua" w:cs="Arial"/>
          <w:lang w:val="en-US"/>
        </w:rPr>
      </w:pPr>
    </w:p>
    <w:p w:rsidR="00FE38DF" w:rsidRPr="00445F77" w:rsidRDefault="00FE38DF" w:rsidP="00FE38DF">
      <w:pPr>
        <w:pStyle w:val="Heading3"/>
        <w:spacing w:before="0" w:after="0"/>
        <w:rPr>
          <w:rFonts w:ascii="Arial" w:hAnsi="Arial" w:cs="Arial"/>
          <w:lang w:val="en-US"/>
        </w:rPr>
      </w:pPr>
      <w:bookmarkStart w:id="178" w:name="_Toc249079534"/>
      <w:r w:rsidRPr="00445F77">
        <w:rPr>
          <w:rFonts w:ascii="Arial" w:hAnsi="Arial" w:cs="Arial"/>
          <w:lang w:val="en-US"/>
        </w:rPr>
        <w:t>National-level coordination of donor projects and the Trust Fund for Forests</w:t>
      </w:r>
      <w:bookmarkEnd w:id="178"/>
    </w:p>
    <w:p w:rsidR="00FE38DF" w:rsidRPr="000F0314" w:rsidRDefault="00FE38DF" w:rsidP="00FE38DF">
      <w:pPr>
        <w:spacing w:after="0" w:line="300" w:lineRule="atLeast"/>
        <w:jc w:val="both"/>
        <w:rPr>
          <w:rFonts w:ascii="Book Antiqua" w:hAnsi="Book Antiqua" w:cs="Arial"/>
          <w:lang w:val="en-US"/>
        </w:rPr>
      </w:pPr>
      <w:r w:rsidRPr="000F0314">
        <w:rPr>
          <w:rFonts w:ascii="Book Antiqua" w:hAnsi="Book Antiqua" w:cs="Arial"/>
        </w:rPr>
        <w:t xml:space="preserve">Most support from international donors to </w:t>
      </w:r>
      <w:smartTag w:uri="urn:schemas-microsoft-com:office:smarttags" w:element="country-region">
        <w:smartTag w:uri="urn:schemas-microsoft-com:office:smarttags" w:element="place">
          <w:r w:rsidRPr="000F0314">
            <w:rPr>
              <w:rFonts w:ascii="Book Antiqua" w:hAnsi="Book Antiqua" w:cs="Arial"/>
            </w:rPr>
            <w:t>Viet Nam</w:t>
          </w:r>
        </w:smartTag>
      </w:smartTag>
      <w:r w:rsidRPr="000F0314">
        <w:rPr>
          <w:rFonts w:ascii="Book Antiqua" w:hAnsi="Book Antiqua" w:cs="Arial"/>
        </w:rPr>
        <w:t xml:space="preserve">’s forestry sector is now channelled through the FSSP, set up in November 2001 better focus international support to the needs of the forestry sector. The idea has been widely supported with a key aspect being greater harmonization of policies and </w:t>
      </w:r>
      <w:r>
        <w:rPr>
          <w:rFonts w:ascii="Book Antiqua" w:hAnsi="Book Antiqua" w:cs="Arial"/>
        </w:rPr>
        <w:t>programme</w:t>
      </w:r>
      <w:r w:rsidRPr="000F0314">
        <w:rPr>
          <w:rFonts w:ascii="Book Antiqua" w:hAnsi="Book Antiqua" w:cs="Arial"/>
        </w:rPr>
        <w:t xml:space="preserve">s for the sector. The FSSP oversees the TFF that </w:t>
      </w:r>
      <w:r w:rsidRPr="000F0314">
        <w:rPr>
          <w:rFonts w:ascii="Book Antiqua" w:hAnsi="Book Antiqua" w:cs="Arial"/>
          <w:bCs/>
          <w:iCs/>
        </w:rPr>
        <w:t xml:space="preserve">was established in June 2004. This is financing mechanism, pools funds from four donors to address priorities of the forestry sector with regard to pro-poor sustainable forest management in line with a move towards a sector wide approach, reduction of transaction costs, and aligning with administration and planning systems of the </w:t>
      </w:r>
      <w:r>
        <w:rPr>
          <w:rFonts w:ascii="Book Antiqua" w:hAnsi="Book Antiqua" w:cs="Arial"/>
          <w:bCs/>
          <w:iCs/>
        </w:rPr>
        <w:t>GoV</w:t>
      </w:r>
      <w:r w:rsidRPr="000F0314">
        <w:rPr>
          <w:rFonts w:ascii="Book Antiqua" w:hAnsi="Book Antiqua" w:cs="Arial"/>
          <w:bCs/>
          <w:iCs/>
        </w:rPr>
        <w:t xml:space="preserve">. </w:t>
      </w:r>
    </w:p>
    <w:p w:rsidR="00FE38DF" w:rsidRPr="00445F77" w:rsidRDefault="00FE38DF" w:rsidP="00FE38DF">
      <w:pPr>
        <w:pStyle w:val="Heading3"/>
        <w:spacing w:before="0" w:after="0" w:line="300" w:lineRule="exact"/>
        <w:rPr>
          <w:rFonts w:ascii="Arial" w:hAnsi="Arial" w:cs="Arial"/>
          <w:lang w:val="en-US"/>
        </w:rPr>
      </w:pPr>
    </w:p>
    <w:p w:rsidR="00FE38DF" w:rsidRDefault="00FE38DF" w:rsidP="007C38DB">
      <w:pPr>
        <w:spacing w:after="0" w:line="300" w:lineRule="exact"/>
        <w:jc w:val="both"/>
        <w:rPr>
          <w:rFonts w:ascii="Book Antiqua" w:hAnsi="Book Antiqua" w:cs="Arial"/>
          <w:lang w:val="en-US"/>
        </w:rPr>
      </w:pPr>
    </w:p>
    <w:p w:rsidR="00FE38DF" w:rsidRDefault="00FE38DF" w:rsidP="007C38DB">
      <w:pPr>
        <w:spacing w:after="0" w:line="300" w:lineRule="exact"/>
        <w:jc w:val="both"/>
        <w:rPr>
          <w:rFonts w:ascii="Book Antiqua" w:hAnsi="Book Antiqua" w:cs="Arial"/>
          <w:lang w:val="en-US"/>
        </w:rPr>
        <w:sectPr w:rsidR="00FE38DF" w:rsidSect="00F524A3">
          <w:pgSz w:w="11907" w:h="16840" w:code="9"/>
          <w:pgMar w:top="1440" w:right="1418" w:bottom="1440" w:left="1701" w:header="720" w:footer="720" w:gutter="0"/>
          <w:cols w:space="720"/>
          <w:docGrid w:linePitch="360"/>
        </w:sectPr>
      </w:pPr>
    </w:p>
    <w:p w:rsidR="00FE38DF" w:rsidRPr="000F0314" w:rsidRDefault="00FE38DF" w:rsidP="00FE38DF">
      <w:pPr>
        <w:pStyle w:val="Caption"/>
        <w:spacing w:after="0" w:line="240" w:lineRule="auto"/>
        <w:jc w:val="center"/>
        <w:rPr>
          <w:rFonts w:ascii="Book Antiqua" w:hAnsi="Book Antiqua" w:cs="Arial"/>
          <w:sz w:val="22"/>
          <w:szCs w:val="22"/>
          <w:u w:val="single"/>
        </w:rPr>
      </w:pPr>
      <w:bookmarkStart w:id="179" w:name="_Ref243390706"/>
      <w:bookmarkStart w:id="180" w:name="_Toc243930080"/>
      <w:r w:rsidRPr="000F0314">
        <w:rPr>
          <w:rFonts w:ascii="Book Antiqua" w:hAnsi="Book Antiqua" w:cs="Arial"/>
          <w:sz w:val="22"/>
          <w:szCs w:val="22"/>
        </w:rPr>
        <w:lastRenderedPageBreak/>
        <w:t>Table 4</w:t>
      </w:r>
      <w:r w:rsidRPr="000F0314">
        <w:rPr>
          <w:rFonts w:ascii="Book Antiqua" w:hAnsi="Book Antiqua" w:cs="Arial"/>
          <w:sz w:val="22"/>
          <w:szCs w:val="22"/>
        </w:rPr>
        <w:noBreakHyphen/>
      </w:r>
      <w:r w:rsidR="00C47C3B" w:rsidRPr="000F0314">
        <w:rPr>
          <w:rFonts w:ascii="Book Antiqua" w:hAnsi="Book Antiqua" w:cs="Arial"/>
          <w:sz w:val="22"/>
          <w:szCs w:val="22"/>
        </w:rPr>
        <w:fldChar w:fldCharType="begin"/>
      </w:r>
      <w:r w:rsidRPr="000F0314">
        <w:rPr>
          <w:rFonts w:ascii="Book Antiqua" w:hAnsi="Book Antiqua" w:cs="Arial"/>
          <w:sz w:val="22"/>
          <w:szCs w:val="22"/>
        </w:rPr>
        <w:instrText xml:space="preserve"> SEQ Table \* ARABIC \s 1 </w:instrText>
      </w:r>
      <w:r w:rsidR="00C47C3B" w:rsidRPr="000F0314">
        <w:rPr>
          <w:rFonts w:ascii="Book Antiqua" w:hAnsi="Book Antiqua" w:cs="Arial"/>
          <w:sz w:val="22"/>
          <w:szCs w:val="22"/>
        </w:rPr>
        <w:fldChar w:fldCharType="separate"/>
      </w:r>
      <w:r w:rsidR="00B4351F">
        <w:rPr>
          <w:rFonts w:ascii="Book Antiqua" w:hAnsi="Book Antiqua" w:cs="Arial"/>
          <w:noProof/>
          <w:sz w:val="22"/>
          <w:szCs w:val="22"/>
        </w:rPr>
        <w:t>2</w:t>
      </w:r>
      <w:r w:rsidR="00C47C3B" w:rsidRPr="000F0314">
        <w:rPr>
          <w:rFonts w:ascii="Book Antiqua" w:hAnsi="Book Antiqua" w:cs="Arial"/>
          <w:sz w:val="22"/>
          <w:szCs w:val="22"/>
        </w:rPr>
        <w:fldChar w:fldCharType="end"/>
      </w:r>
      <w:bookmarkEnd w:id="179"/>
      <w:r w:rsidRPr="000F0314">
        <w:rPr>
          <w:rFonts w:ascii="Book Antiqua" w:hAnsi="Book Antiqua" w:cs="Arial"/>
          <w:sz w:val="22"/>
          <w:szCs w:val="22"/>
        </w:rPr>
        <w:t>: Areas of forest under different groups of actors in 2008</w:t>
      </w:r>
      <w:bookmarkEnd w:id="180"/>
    </w:p>
    <w:p w:rsidR="00FE38DF" w:rsidRPr="000F0314" w:rsidRDefault="00FE38DF" w:rsidP="00FE38DF">
      <w:pPr>
        <w:spacing w:after="0"/>
        <w:jc w:val="right"/>
        <w:rPr>
          <w:rFonts w:ascii="Book Antiqua" w:hAnsi="Book Antiqua" w:cs="Arial"/>
          <w:sz w:val="20"/>
          <w:szCs w:val="20"/>
        </w:rPr>
      </w:pPr>
      <w:r w:rsidRPr="000F0314">
        <w:rPr>
          <w:rFonts w:ascii="Book Antiqua" w:hAnsi="Book Antiqua" w:cs="Arial"/>
          <w:sz w:val="20"/>
          <w:szCs w:val="20"/>
        </w:rPr>
        <w:t>Unit: hectare (ha)</w:t>
      </w:r>
    </w:p>
    <w:tbl>
      <w:tblPr>
        <w:tblW w:w="138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628"/>
        <w:gridCol w:w="1260"/>
        <w:gridCol w:w="1350"/>
        <w:gridCol w:w="1170"/>
        <w:gridCol w:w="1363"/>
        <w:gridCol w:w="1427"/>
        <w:gridCol w:w="1260"/>
        <w:gridCol w:w="1033"/>
        <w:gridCol w:w="1200"/>
        <w:gridCol w:w="1200"/>
      </w:tblGrid>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95B3D7"/>
            <w:noWrap/>
          </w:tcPr>
          <w:p w:rsidR="00FE38DF" w:rsidRPr="00B641CE" w:rsidRDefault="00FE38DF" w:rsidP="00C95C17">
            <w:pPr>
              <w:spacing w:before="100" w:after="100"/>
              <w:jc w:val="center"/>
              <w:rPr>
                <w:rFonts w:ascii="Arial" w:hAnsi="Arial" w:cs="Arial"/>
                <w:sz w:val="20"/>
                <w:szCs w:val="20"/>
              </w:rPr>
            </w:pPr>
          </w:p>
        </w:tc>
        <w:tc>
          <w:tcPr>
            <w:tcW w:w="1260" w:type="dxa"/>
            <w:tcBorders>
              <w:top w:val="single" w:sz="4" w:space="0" w:color="FFFFFF"/>
              <w:left w:val="single" w:sz="4" w:space="0" w:color="FFFFFF"/>
              <w:bottom w:val="single" w:sz="4" w:space="0" w:color="FFFFFF"/>
              <w:right w:val="single" w:sz="4" w:space="0" w:color="FFFFFF"/>
            </w:tcBorders>
            <w:shd w:val="clear" w:color="auto" w:fill="95B3D7"/>
            <w:noWrap/>
          </w:tcPr>
          <w:p w:rsidR="00FE38DF" w:rsidRPr="000F0314" w:rsidRDefault="00FE38DF" w:rsidP="00C95C17">
            <w:pPr>
              <w:spacing w:after="0" w:line="240" w:lineRule="auto"/>
              <w:jc w:val="center"/>
              <w:rPr>
                <w:rFonts w:ascii="Book Antiqua" w:hAnsi="Book Antiqua" w:cs="Arial"/>
                <w:sz w:val="20"/>
                <w:szCs w:val="20"/>
              </w:rPr>
            </w:pPr>
            <w:r w:rsidRPr="000F0314">
              <w:rPr>
                <w:rFonts w:ascii="Book Antiqua" w:hAnsi="Book Antiqua" w:cs="Arial"/>
                <w:sz w:val="20"/>
                <w:szCs w:val="20"/>
              </w:rPr>
              <w:t>State companies</w:t>
            </w:r>
          </w:p>
        </w:tc>
        <w:tc>
          <w:tcPr>
            <w:tcW w:w="1350" w:type="dxa"/>
            <w:tcBorders>
              <w:top w:val="single" w:sz="4" w:space="0" w:color="FFFFFF"/>
              <w:left w:val="single" w:sz="4" w:space="0" w:color="FFFFFF"/>
              <w:bottom w:val="single" w:sz="4" w:space="0" w:color="FFFFFF"/>
              <w:right w:val="single" w:sz="4" w:space="0" w:color="FFFFFF"/>
            </w:tcBorders>
            <w:shd w:val="clear" w:color="auto" w:fill="95B3D7"/>
            <w:noWrap/>
          </w:tcPr>
          <w:p w:rsidR="00FE38DF" w:rsidRPr="000F0314" w:rsidRDefault="00FE38DF" w:rsidP="00C95C17">
            <w:pPr>
              <w:spacing w:after="0" w:line="240" w:lineRule="auto"/>
              <w:jc w:val="center"/>
              <w:rPr>
                <w:rFonts w:ascii="Book Antiqua" w:hAnsi="Book Antiqua" w:cs="Arial"/>
                <w:sz w:val="20"/>
                <w:szCs w:val="20"/>
              </w:rPr>
            </w:pPr>
            <w:r w:rsidRPr="000F0314">
              <w:rPr>
                <w:rFonts w:ascii="Book Antiqua" w:hAnsi="Book Antiqua" w:cs="Arial"/>
                <w:sz w:val="20"/>
                <w:szCs w:val="20"/>
              </w:rPr>
              <w:t>PAMBs</w:t>
            </w:r>
          </w:p>
        </w:tc>
        <w:tc>
          <w:tcPr>
            <w:tcW w:w="1170" w:type="dxa"/>
            <w:tcBorders>
              <w:top w:val="single" w:sz="4" w:space="0" w:color="FFFFFF"/>
              <w:left w:val="single" w:sz="4" w:space="0" w:color="FFFFFF"/>
              <w:bottom w:val="single" w:sz="4" w:space="0" w:color="FFFFFF"/>
              <w:right w:val="single" w:sz="4" w:space="0" w:color="FFFFFF"/>
            </w:tcBorders>
            <w:shd w:val="clear" w:color="auto" w:fill="95B3D7"/>
            <w:noWrap/>
          </w:tcPr>
          <w:p w:rsidR="00FE38DF" w:rsidRPr="000F0314" w:rsidRDefault="00FE38DF" w:rsidP="00C95C17">
            <w:pPr>
              <w:spacing w:after="0" w:line="240" w:lineRule="auto"/>
              <w:jc w:val="center"/>
              <w:rPr>
                <w:rFonts w:ascii="Book Antiqua" w:hAnsi="Book Antiqua" w:cs="Arial"/>
                <w:sz w:val="20"/>
                <w:szCs w:val="20"/>
              </w:rPr>
            </w:pPr>
            <w:r w:rsidRPr="000F0314">
              <w:rPr>
                <w:rFonts w:ascii="Book Antiqua" w:hAnsi="Book Antiqua" w:cs="Arial"/>
                <w:sz w:val="20"/>
                <w:szCs w:val="20"/>
              </w:rPr>
              <w:t>Other economic entities</w:t>
            </w:r>
          </w:p>
        </w:tc>
        <w:tc>
          <w:tcPr>
            <w:tcW w:w="1363" w:type="dxa"/>
            <w:tcBorders>
              <w:top w:val="single" w:sz="4" w:space="0" w:color="FFFFFF"/>
              <w:left w:val="single" w:sz="4" w:space="0" w:color="FFFFFF"/>
              <w:bottom w:val="single" w:sz="4" w:space="0" w:color="FFFFFF"/>
              <w:right w:val="single" w:sz="4" w:space="0" w:color="FFFFFF"/>
            </w:tcBorders>
            <w:shd w:val="clear" w:color="auto" w:fill="95B3D7"/>
            <w:noWrap/>
          </w:tcPr>
          <w:p w:rsidR="00FE38DF" w:rsidRPr="000F0314" w:rsidRDefault="00FE38DF" w:rsidP="00C95C17">
            <w:pPr>
              <w:spacing w:after="0" w:line="240" w:lineRule="auto"/>
              <w:jc w:val="center"/>
              <w:rPr>
                <w:rFonts w:ascii="Book Antiqua" w:hAnsi="Book Antiqua" w:cs="Arial"/>
                <w:sz w:val="20"/>
                <w:szCs w:val="20"/>
              </w:rPr>
            </w:pPr>
            <w:r w:rsidRPr="000F0314">
              <w:rPr>
                <w:rFonts w:ascii="Book Antiqua" w:hAnsi="Book Antiqua" w:cs="Arial"/>
                <w:sz w:val="20"/>
                <w:szCs w:val="20"/>
              </w:rPr>
              <w:t>Households</w:t>
            </w:r>
          </w:p>
        </w:tc>
        <w:tc>
          <w:tcPr>
            <w:tcW w:w="1427" w:type="dxa"/>
            <w:tcBorders>
              <w:top w:val="single" w:sz="4" w:space="0" w:color="FFFFFF"/>
              <w:left w:val="single" w:sz="4" w:space="0" w:color="FFFFFF"/>
              <w:bottom w:val="single" w:sz="4" w:space="0" w:color="FFFFFF"/>
              <w:right w:val="single" w:sz="4" w:space="0" w:color="FFFFFF"/>
            </w:tcBorders>
            <w:shd w:val="clear" w:color="auto" w:fill="95B3D7"/>
            <w:noWrap/>
          </w:tcPr>
          <w:p w:rsidR="00FE38DF" w:rsidRPr="000F0314" w:rsidRDefault="00FE38DF" w:rsidP="00C95C17">
            <w:pPr>
              <w:spacing w:after="0" w:line="240" w:lineRule="auto"/>
              <w:jc w:val="center"/>
              <w:rPr>
                <w:rFonts w:ascii="Book Antiqua" w:hAnsi="Book Antiqua" w:cs="Arial"/>
                <w:sz w:val="20"/>
                <w:szCs w:val="20"/>
              </w:rPr>
            </w:pPr>
            <w:r w:rsidRPr="000F0314">
              <w:rPr>
                <w:rFonts w:ascii="Book Antiqua" w:hAnsi="Book Antiqua" w:cs="Arial"/>
                <w:sz w:val="20"/>
                <w:szCs w:val="20"/>
              </w:rPr>
              <w:t>Communities</w:t>
            </w:r>
          </w:p>
        </w:tc>
        <w:tc>
          <w:tcPr>
            <w:tcW w:w="1260" w:type="dxa"/>
            <w:tcBorders>
              <w:top w:val="single" w:sz="4" w:space="0" w:color="FFFFFF"/>
              <w:left w:val="single" w:sz="4" w:space="0" w:color="FFFFFF"/>
              <w:bottom w:val="single" w:sz="4" w:space="0" w:color="FFFFFF"/>
              <w:right w:val="single" w:sz="4" w:space="0" w:color="FFFFFF"/>
            </w:tcBorders>
            <w:shd w:val="clear" w:color="auto" w:fill="95B3D7"/>
            <w:noWrap/>
          </w:tcPr>
          <w:p w:rsidR="00FE38DF" w:rsidRPr="000F0314" w:rsidRDefault="00FE38DF" w:rsidP="00C95C17">
            <w:pPr>
              <w:spacing w:after="0" w:line="240" w:lineRule="auto"/>
              <w:jc w:val="center"/>
              <w:rPr>
                <w:rFonts w:ascii="Book Antiqua" w:hAnsi="Book Antiqua" w:cs="Arial"/>
                <w:sz w:val="20"/>
                <w:szCs w:val="20"/>
              </w:rPr>
            </w:pPr>
            <w:r w:rsidRPr="000F0314">
              <w:rPr>
                <w:rFonts w:ascii="Book Antiqua" w:hAnsi="Book Antiqua" w:cs="Arial"/>
                <w:sz w:val="20"/>
                <w:szCs w:val="20"/>
              </w:rPr>
              <w:t>Other org.</w:t>
            </w:r>
          </w:p>
        </w:tc>
        <w:tc>
          <w:tcPr>
            <w:tcW w:w="1033" w:type="dxa"/>
            <w:tcBorders>
              <w:top w:val="single" w:sz="4" w:space="0" w:color="FFFFFF"/>
              <w:left w:val="single" w:sz="4" w:space="0" w:color="FFFFFF"/>
              <w:bottom w:val="single" w:sz="4" w:space="0" w:color="FFFFFF"/>
              <w:right w:val="single" w:sz="4" w:space="0" w:color="FFFFFF"/>
            </w:tcBorders>
            <w:shd w:val="clear" w:color="auto" w:fill="95B3D7"/>
            <w:noWrap/>
          </w:tcPr>
          <w:p w:rsidR="00FE38DF" w:rsidRPr="000F0314" w:rsidRDefault="00FE38DF" w:rsidP="00C95C17">
            <w:pPr>
              <w:spacing w:after="0" w:line="240" w:lineRule="auto"/>
              <w:jc w:val="center"/>
              <w:rPr>
                <w:rFonts w:ascii="Book Antiqua" w:hAnsi="Book Antiqua" w:cs="Arial"/>
                <w:sz w:val="20"/>
                <w:szCs w:val="20"/>
              </w:rPr>
            </w:pPr>
            <w:r w:rsidRPr="000F0314">
              <w:rPr>
                <w:rFonts w:ascii="Book Antiqua" w:hAnsi="Book Antiqua" w:cs="Arial"/>
                <w:sz w:val="20"/>
                <w:szCs w:val="20"/>
              </w:rPr>
              <w:t>Army</w:t>
            </w:r>
          </w:p>
        </w:tc>
        <w:tc>
          <w:tcPr>
            <w:tcW w:w="1200" w:type="dxa"/>
            <w:tcBorders>
              <w:top w:val="single" w:sz="4" w:space="0" w:color="FFFFFF"/>
              <w:left w:val="single" w:sz="4" w:space="0" w:color="FFFFFF"/>
              <w:bottom w:val="single" w:sz="4" w:space="0" w:color="FFFFFF"/>
              <w:right w:val="single" w:sz="4" w:space="0" w:color="FFFFFF"/>
            </w:tcBorders>
            <w:shd w:val="clear" w:color="auto" w:fill="95B3D7"/>
            <w:noWrap/>
          </w:tcPr>
          <w:p w:rsidR="00FE38DF" w:rsidRPr="000F0314" w:rsidRDefault="00FE38DF" w:rsidP="00C95C17">
            <w:pPr>
              <w:spacing w:after="0" w:line="240" w:lineRule="auto"/>
              <w:jc w:val="center"/>
              <w:rPr>
                <w:rFonts w:ascii="Book Antiqua" w:hAnsi="Book Antiqua" w:cs="Arial"/>
                <w:sz w:val="20"/>
                <w:szCs w:val="20"/>
              </w:rPr>
            </w:pPr>
            <w:r w:rsidRPr="000F0314">
              <w:rPr>
                <w:rFonts w:ascii="Book Antiqua" w:hAnsi="Book Antiqua" w:cs="Arial"/>
                <w:sz w:val="20"/>
                <w:szCs w:val="20"/>
              </w:rPr>
              <w:t>CPC (not allocated)</w:t>
            </w:r>
          </w:p>
        </w:tc>
        <w:tc>
          <w:tcPr>
            <w:tcW w:w="1200" w:type="dxa"/>
            <w:tcBorders>
              <w:top w:val="single" w:sz="4" w:space="0" w:color="FFFFFF"/>
              <w:left w:val="single" w:sz="4" w:space="0" w:color="FFFFFF"/>
              <w:bottom w:val="single" w:sz="4" w:space="0" w:color="FFFFFF"/>
              <w:right w:val="single" w:sz="4" w:space="0" w:color="FFFFFF"/>
            </w:tcBorders>
            <w:shd w:val="clear" w:color="auto" w:fill="95B3D7"/>
          </w:tcPr>
          <w:p w:rsidR="00FE38DF" w:rsidRPr="000F0314" w:rsidRDefault="00FE38DF" w:rsidP="00C95C17">
            <w:pPr>
              <w:spacing w:after="0" w:line="240" w:lineRule="auto"/>
              <w:jc w:val="center"/>
              <w:rPr>
                <w:rFonts w:ascii="Book Antiqua" w:hAnsi="Book Antiqua" w:cs="Arial"/>
                <w:sz w:val="20"/>
                <w:szCs w:val="20"/>
              </w:rPr>
            </w:pPr>
            <w:r w:rsidRPr="000F0314">
              <w:rPr>
                <w:rFonts w:ascii="Book Antiqua" w:hAnsi="Book Antiqua" w:cs="Arial"/>
                <w:sz w:val="20"/>
                <w:szCs w:val="20"/>
              </w:rPr>
              <w:t>Total</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spacing w:before="100" w:after="100"/>
              <w:ind w:firstLineChars="6" w:firstLine="12"/>
              <w:rPr>
                <w:rFonts w:ascii="Book Antiqua" w:hAnsi="Book Antiqua" w:cs="Arial"/>
                <w:i/>
                <w:iCs/>
                <w:sz w:val="20"/>
                <w:szCs w:val="20"/>
              </w:rPr>
            </w:pPr>
            <w:r w:rsidRPr="000F0314">
              <w:rPr>
                <w:rFonts w:ascii="Book Antiqua" w:hAnsi="Book Antiqua" w:cs="Arial"/>
                <w:i/>
                <w:iCs/>
                <w:sz w:val="20"/>
                <w:szCs w:val="20"/>
              </w:rPr>
              <w:t>A. Natural forest</w:t>
            </w:r>
          </w:p>
        </w:tc>
        <w:tc>
          <w:tcPr>
            <w:tcW w:w="126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left="-108" w:right="161"/>
              <w:jc w:val="right"/>
              <w:rPr>
                <w:rFonts w:ascii="Book Antiqua" w:hAnsi="Book Antiqua" w:cs="Arial"/>
                <w:i/>
                <w:iCs/>
                <w:sz w:val="18"/>
                <w:szCs w:val="18"/>
              </w:rPr>
            </w:pPr>
            <w:r w:rsidRPr="000F0314">
              <w:rPr>
                <w:rFonts w:ascii="Book Antiqua" w:hAnsi="Book Antiqua" w:cs="Arial"/>
                <w:i/>
                <w:iCs/>
                <w:sz w:val="18"/>
                <w:szCs w:val="18"/>
              </w:rPr>
              <w:t>1,634,848</w:t>
            </w:r>
          </w:p>
        </w:tc>
        <w:tc>
          <w:tcPr>
            <w:tcW w:w="135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left="-108" w:right="161"/>
              <w:jc w:val="right"/>
              <w:rPr>
                <w:rFonts w:ascii="Book Antiqua" w:hAnsi="Book Antiqua" w:cs="Arial"/>
                <w:i/>
                <w:iCs/>
                <w:sz w:val="18"/>
                <w:szCs w:val="18"/>
              </w:rPr>
            </w:pPr>
            <w:r w:rsidRPr="000F0314">
              <w:rPr>
                <w:rFonts w:ascii="Book Antiqua" w:hAnsi="Book Antiqua" w:cs="Arial"/>
                <w:i/>
                <w:iCs/>
                <w:sz w:val="18"/>
                <w:szCs w:val="18"/>
              </w:rPr>
              <w:t>3,900,012</w:t>
            </w:r>
          </w:p>
        </w:tc>
        <w:tc>
          <w:tcPr>
            <w:tcW w:w="117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24,451</w:t>
            </w:r>
          </w:p>
        </w:tc>
        <w:tc>
          <w:tcPr>
            <w:tcW w:w="1363"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1,902,771</w:t>
            </w:r>
          </w:p>
        </w:tc>
        <w:tc>
          <w:tcPr>
            <w:tcW w:w="1427"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112,489</w:t>
            </w:r>
          </w:p>
        </w:tc>
        <w:tc>
          <w:tcPr>
            <w:tcW w:w="126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414,944</w:t>
            </w:r>
          </w:p>
        </w:tc>
        <w:tc>
          <w:tcPr>
            <w:tcW w:w="1033"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196,458</w:t>
            </w:r>
          </w:p>
        </w:tc>
        <w:tc>
          <w:tcPr>
            <w:tcW w:w="120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2,162,619</w:t>
            </w:r>
          </w:p>
        </w:tc>
        <w:tc>
          <w:tcPr>
            <w:tcW w:w="1200" w:type="dxa"/>
            <w:tcBorders>
              <w:top w:val="single" w:sz="4" w:space="0" w:color="FFFFFF"/>
              <w:left w:val="single" w:sz="4" w:space="0" w:color="FFFFFF"/>
              <w:bottom w:val="single" w:sz="4" w:space="0" w:color="FFFFFF"/>
              <w:right w:val="single" w:sz="4" w:space="0" w:color="FFFFFF"/>
            </w:tcBorders>
            <w:shd w:val="clear" w:color="auto" w:fill="D9D9D9"/>
          </w:tcPr>
          <w:p w:rsidR="00FE38DF" w:rsidRPr="000F0314" w:rsidRDefault="00FE38DF" w:rsidP="00C95C17">
            <w:pPr>
              <w:tabs>
                <w:tab w:val="left" w:pos="972"/>
              </w:tabs>
              <w:spacing w:before="100" w:after="100"/>
              <w:ind w:left="-108" w:right="161"/>
              <w:jc w:val="right"/>
              <w:rPr>
                <w:rFonts w:ascii="Book Antiqua" w:hAnsi="Book Antiqua" w:cs="Arial"/>
                <w:i/>
                <w:iCs/>
                <w:sz w:val="18"/>
                <w:szCs w:val="18"/>
              </w:rPr>
            </w:pPr>
            <w:r w:rsidRPr="000F0314">
              <w:rPr>
                <w:rFonts w:ascii="Book Antiqua" w:hAnsi="Book Antiqua" w:cs="Arial"/>
                <w:i/>
                <w:iCs/>
                <w:sz w:val="18"/>
                <w:szCs w:val="18"/>
              </w:rPr>
              <w:t>10,348,591</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numPr>
                <w:ilvl w:val="0"/>
                <w:numId w:val="12"/>
              </w:numPr>
              <w:spacing w:before="100" w:after="100" w:line="240" w:lineRule="auto"/>
              <w:ind w:hanging="240"/>
              <w:rPr>
                <w:rFonts w:ascii="Book Antiqua" w:hAnsi="Book Antiqua" w:cs="Arial"/>
                <w:sz w:val="20"/>
                <w:szCs w:val="20"/>
              </w:rPr>
            </w:pPr>
            <w:r w:rsidRPr="000F0314">
              <w:rPr>
                <w:rFonts w:ascii="Book Antiqua" w:hAnsi="Book Antiqua" w:cs="Arial"/>
                <w:sz w:val="20"/>
                <w:szCs w:val="20"/>
              </w:rPr>
              <w:t>Timber forest</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left="-108" w:right="161"/>
              <w:jc w:val="right"/>
              <w:rPr>
                <w:rFonts w:ascii="Book Antiqua" w:hAnsi="Book Antiqua" w:cs="Arial"/>
                <w:sz w:val="18"/>
                <w:szCs w:val="18"/>
              </w:rPr>
            </w:pPr>
            <w:r w:rsidRPr="000F0314">
              <w:rPr>
                <w:rFonts w:ascii="Book Antiqua" w:hAnsi="Book Antiqua" w:cs="Arial"/>
                <w:sz w:val="18"/>
                <w:szCs w:val="18"/>
              </w:rPr>
              <w:t>1,348,265</w:t>
            </w:r>
          </w:p>
        </w:tc>
        <w:tc>
          <w:tcPr>
            <w:tcW w:w="135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left="-108" w:right="161"/>
              <w:jc w:val="right"/>
              <w:rPr>
                <w:rFonts w:ascii="Book Antiqua" w:hAnsi="Book Antiqua" w:cs="Arial"/>
                <w:sz w:val="18"/>
                <w:szCs w:val="18"/>
              </w:rPr>
            </w:pPr>
            <w:r w:rsidRPr="000F0314">
              <w:rPr>
                <w:rFonts w:ascii="Book Antiqua" w:hAnsi="Book Antiqua" w:cs="Arial"/>
                <w:sz w:val="18"/>
                <w:szCs w:val="18"/>
              </w:rPr>
              <w:t>3,169,753</w:t>
            </w:r>
          </w:p>
        </w:tc>
        <w:tc>
          <w:tcPr>
            <w:tcW w:w="117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16,195</w:t>
            </w:r>
          </w:p>
        </w:tc>
        <w:tc>
          <w:tcPr>
            <w:tcW w:w="136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1,370,891</w:t>
            </w:r>
          </w:p>
        </w:tc>
        <w:tc>
          <w:tcPr>
            <w:tcW w:w="1427"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95,766</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308,129</w:t>
            </w:r>
          </w:p>
        </w:tc>
        <w:tc>
          <w:tcPr>
            <w:tcW w:w="103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146,319</w:t>
            </w:r>
          </w:p>
        </w:tc>
        <w:tc>
          <w:tcPr>
            <w:tcW w:w="120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1,765,846</w:t>
            </w:r>
          </w:p>
        </w:tc>
        <w:tc>
          <w:tcPr>
            <w:tcW w:w="1200" w:type="dxa"/>
            <w:tcBorders>
              <w:top w:val="single" w:sz="4" w:space="0" w:color="FFFFFF"/>
              <w:left w:val="single" w:sz="4" w:space="0" w:color="FFFFFF"/>
              <w:bottom w:val="single" w:sz="4" w:space="0" w:color="FFFFFF"/>
              <w:right w:val="single" w:sz="4" w:space="0" w:color="FFFFFF"/>
            </w:tcBorders>
            <w:shd w:val="clear" w:color="auto" w:fill="DBE5F1"/>
          </w:tcPr>
          <w:p w:rsidR="00FE38DF" w:rsidRPr="000F0314" w:rsidRDefault="00FE38DF" w:rsidP="00C95C17">
            <w:pPr>
              <w:tabs>
                <w:tab w:val="left" w:pos="972"/>
              </w:tabs>
              <w:spacing w:before="100" w:after="100"/>
              <w:ind w:left="-108" w:right="161"/>
              <w:jc w:val="right"/>
              <w:rPr>
                <w:rFonts w:ascii="Book Antiqua" w:hAnsi="Book Antiqua" w:cs="Arial"/>
                <w:sz w:val="18"/>
                <w:szCs w:val="18"/>
              </w:rPr>
            </w:pPr>
            <w:r w:rsidRPr="000F0314">
              <w:rPr>
                <w:rFonts w:ascii="Book Antiqua" w:hAnsi="Book Antiqua" w:cs="Arial"/>
                <w:sz w:val="18"/>
                <w:szCs w:val="18"/>
              </w:rPr>
              <w:t>8,221,164</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numPr>
                <w:ilvl w:val="0"/>
                <w:numId w:val="12"/>
              </w:numPr>
              <w:spacing w:before="100" w:after="100" w:line="240" w:lineRule="auto"/>
              <w:ind w:hanging="240"/>
              <w:rPr>
                <w:rFonts w:ascii="Book Antiqua" w:hAnsi="Book Antiqua" w:cs="Arial"/>
                <w:sz w:val="20"/>
                <w:szCs w:val="20"/>
              </w:rPr>
            </w:pPr>
            <w:r w:rsidRPr="000F0314">
              <w:rPr>
                <w:rFonts w:ascii="Book Antiqua" w:hAnsi="Book Antiqua" w:cs="Arial"/>
                <w:sz w:val="20"/>
                <w:szCs w:val="20"/>
              </w:rPr>
              <w:t>Bamboo forest</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123,674</w:t>
            </w:r>
          </w:p>
        </w:tc>
        <w:tc>
          <w:tcPr>
            <w:tcW w:w="135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155,525</w:t>
            </w:r>
          </w:p>
        </w:tc>
        <w:tc>
          <w:tcPr>
            <w:tcW w:w="117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3,281</w:t>
            </w:r>
          </w:p>
        </w:tc>
        <w:tc>
          <w:tcPr>
            <w:tcW w:w="136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170,965</w:t>
            </w:r>
          </w:p>
        </w:tc>
        <w:tc>
          <w:tcPr>
            <w:tcW w:w="1427"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5,901</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30,704</w:t>
            </w:r>
          </w:p>
        </w:tc>
        <w:tc>
          <w:tcPr>
            <w:tcW w:w="103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11,232</w:t>
            </w:r>
          </w:p>
        </w:tc>
        <w:tc>
          <w:tcPr>
            <w:tcW w:w="120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140,048</w:t>
            </w:r>
          </w:p>
        </w:tc>
        <w:tc>
          <w:tcPr>
            <w:tcW w:w="1200" w:type="dxa"/>
            <w:tcBorders>
              <w:top w:val="single" w:sz="4" w:space="0" w:color="FFFFFF"/>
              <w:left w:val="single" w:sz="4" w:space="0" w:color="FFFFFF"/>
              <w:bottom w:val="single" w:sz="4" w:space="0" w:color="FFFFFF"/>
              <w:right w:val="single" w:sz="4" w:space="0" w:color="FFFFFF"/>
            </w:tcBorders>
            <w:shd w:val="clear" w:color="auto" w:fill="DBE5F1"/>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641,331</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numPr>
                <w:ilvl w:val="0"/>
                <w:numId w:val="12"/>
              </w:numPr>
              <w:spacing w:before="100" w:after="100" w:line="240" w:lineRule="auto"/>
              <w:ind w:hanging="240"/>
              <w:rPr>
                <w:rFonts w:ascii="Book Antiqua" w:hAnsi="Book Antiqua" w:cs="Arial"/>
                <w:sz w:val="20"/>
                <w:szCs w:val="20"/>
              </w:rPr>
            </w:pPr>
            <w:r w:rsidRPr="000F0314">
              <w:rPr>
                <w:rFonts w:ascii="Book Antiqua" w:hAnsi="Book Antiqua" w:cs="Arial"/>
                <w:sz w:val="20"/>
                <w:szCs w:val="20"/>
              </w:rPr>
              <w:t>Mixed timber-bamboo forest</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143,281</w:t>
            </w:r>
          </w:p>
        </w:tc>
        <w:tc>
          <w:tcPr>
            <w:tcW w:w="135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255,082</w:t>
            </w:r>
          </w:p>
        </w:tc>
        <w:tc>
          <w:tcPr>
            <w:tcW w:w="117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4,829</w:t>
            </w:r>
          </w:p>
        </w:tc>
        <w:tc>
          <w:tcPr>
            <w:tcW w:w="136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112,727</w:t>
            </w:r>
          </w:p>
        </w:tc>
        <w:tc>
          <w:tcPr>
            <w:tcW w:w="1427"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5,078</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8,876</w:t>
            </w:r>
          </w:p>
        </w:tc>
        <w:tc>
          <w:tcPr>
            <w:tcW w:w="103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36,687</w:t>
            </w:r>
          </w:p>
        </w:tc>
        <w:tc>
          <w:tcPr>
            <w:tcW w:w="120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120,522</w:t>
            </w:r>
          </w:p>
        </w:tc>
        <w:tc>
          <w:tcPr>
            <w:tcW w:w="1200" w:type="dxa"/>
            <w:tcBorders>
              <w:top w:val="single" w:sz="4" w:space="0" w:color="FFFFFF"/>
              <w:left w:val="single" w:sz="4" w:space="0" w:color="FFFFFF"/>
              <w:bottom w:val="single" w:sz="4" w:space="0" w:color="FFFFFF"/>
              <w:right w:val="single" w:sz="4" w:space="0" w:color="FFFFFF"/>
            </w:tcBorders>
            <w:shd w:val="clear" w:color="auto" w:fill="DBE5F1"/>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687,080</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numPr>
                <w:ilvl w:val="0"/>
                <w:numId w:val="12"/>
              </w:numPr>
              <w:spacing w:before="100" w:after="100" w:line="240" w:lineRule="auto"/>
              <w:ind w:hanging="240"/>
              <w:rPr>
                <w:rFonts w:ascii="Book Antiqua" w:hAnsi="Book Antiqua" w:cs="Arial"/>
                <w:sz w:val="20"/>
                <w:szCs w:val="20"/>
              </w:rPr>
            </w:pPr>
            <w:r w:rsidRPr="000F0314">
              <w:rPr>
                <w:rFonts w:ascii="Book Antiqua" w:hAnsi="Book Antiqua" w:cs="Arial"/>
                <w:sz w:val="20"/>
                <w:szCs w:val="20"/>
              </w:rPr>
              <w:t>Mangrove forest</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9,610</w:t>
            </w:r>
          </w:p>
        </w:tc>
        <w:tc>
          <w:tcPr>
            <w:tcW w:w="135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32,719</w:t>
            </w:r>
          </w:p>
        </w:tc>
        <w:tc>
          <w:tcPr>
            <w:tcW w:w="117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w:t>
            </w:r>
          </w:p>
        </w:tc>
        <w:tc>
          <w:tcPr>
            <w:tcW w:w="136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3,580</w:t>
            </w:r>
          </w:p>
        </w:tc>
        <w:tc>
          <w:tcPr>
            <w:tcW w:w="1427"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1,673</w:t>
            </w:r>
          </w:p>
        </w:tc>
        <w:tc>
          <w:tcPr>
            <w:tcW w:w="103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302</w:t>
            </w:r>
          </w:p>
        </w:tc>
        <w:tc>
          <w:tcPr>
            <w:tcW w:w="120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11,877</w:t>
            </w:r>
          </w:p>
        </w:tc>
        <w:tc>
          <w:tcPr>
            <w:tcW w:w="1200" w:type="dxa"/>
            <w:tcBorders>
              <w:top w:val="single" w:sz="4" w:space="0" w:color="FFFFFF"/>
              <w:left w:val="single" w:sz="4" w:space="0" w:color="FFFFFF"/>
              <w:bottom w:val="single" w:sz="4" w:space="0" w:color="FFFFFF"/>
              <w:right w:val="single" w:sz="4" w:space="0" w:color="FFFFFF"/>
            </w:tcBorders>
            <w:shd w:val="clear" w:color="auto" w:fill="DBE5F1"/>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59,760</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numPr>
                <w:ilvl w:val="0"/>
                <w:numId w:val="12"/>
              </w:numPr>
              <w:spacing w:before="100" w:after="100" w:line="240" w:lineRule="auto"/>
              <w:ind w:hanging="240"/>
              <w:rPr>
                <w:rFonts w:ascii="Book Antiqua" w:hAnsi="Book Antiqua" w:cs="Arial"/>
                <w:sz w:val="20"/>
                <w:szCs w:val="20"/>
              </w:rPr>
            </w:pPr>
            <w:r w:rsidRPr="000F0314">
              <w:rPr>
                <w:rFonts w:ascii="Book Antiqua" w:hAnsi="Book Antiqua" w:cs="Arial"/>
                <w:sz w:val="20"/>
                <w:szCs w:val="20"/>
              </w:rPr>
              <w:t>Rocky mountain forest</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10,018</w:t>
            </w:r>
          </w:p>
        </w:tc>
        <w:tc>
          <w:tcPr>
            <w:tcW w:w="135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286,933</w:t>
            </w:r>
          </w:p>
        </w:tc>
        <w:tc>
          <w:tcPr>
            <w:tcW w:w="117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145</w:t>
            </w:r>
          </w:p>
        </w:tc>
        <w:tc>
          <w:tcPr>
            <w:tcW w:w="136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244,608</w:t>
            </w:r>
          </w:p>
        </w:tc>
        <w:tc>
          <w:tcPr>
            <w:tcW w:w="1427"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5,744</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65,563</w:t>
            </w:r>
          </w:p>
        </w:tc>
        <w:tc>
          <w:tcPr>
            <w:tcW w:w="103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1,918</w:t>
            </w:r>
          </w:p>
        </w:tc>
        <w:tc>
          <w:tcPr>
            <w:tcW w:w="120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124,325</w:t>
            </w:r>
          </w:p>
        </w:tc>
        <w:tc>
          <w:tcPr>
            <w:tcW w:w="1200" w:type="dxa"/>
            <w:tcBorders>
              <w:top w:val="single" w:sz="4" w:space="0" w:color="FFFFFF"/>
              <w:left w:val="single" w:sz="4" w:space="0" w:color="FFFFFF"/>
              <w:bottom w:val="single" w:sz="4" w:space="0" w:color="FFFFFF"/>
              <w:right w:val="single" w:sz="4" w:space="0" w:color="FFFFFF"/>
            </w:tcBorders>
            <w:shd w:val="clear" w:color="auto" w:fill="DBE5F1"/>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739,255</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spacing w:before="100" w:after="100"/>
              <w:ind w:firstLineChars="6" w:firstLine="12"/>
              <w:rPr>
                <w:rFonts w:ascii="Book Antiqua" w:hAnsi="Book Antiqua" w:cs="Arial"/>
                <w:i/>
                <w:iCs/>
                <w:sz w:val="20"/>
                <w:szCs w:val="20"/>
              </w:rPr>
            </w:pPr>
            <w:r w:rsidRPr="000F0314">
              <w:rPr>
                <w:rFonts w:ascii="Book Antiqua" w:hAnsi="Book Antiqua" w:cs="Arial"/>
                <w:i/>
                <w:iCs/>
                <w:sz w:val="20"/>
                <w:szCs w:val="20"/>
              </w:rPr>
              <w:t>B. Plantation forest</w:t>
            </w:r>
          </w:p>
        </w:tc>
        <w:tc>
          <w:tcPr>
            <w:tcW w:w="126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470,814</w:t>
            </w:r>
          </w:p>
        </w:tc>
        <w:tc>
          <w:tcPr>
            <w:tcW w:w="135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498,699</w:t>
            </w:r>
          </w:p>
        </w:tc>
        <w:tc>
          <w:tcPr>
            <w:tcW w:w="117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61,054</w:t>
            </w:r>
          </w:p>
        </w:tc>
        <w:tc>
          <w:tcPr>
            <w:tcW w:w="1363"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1,247,679</w:t>
            </w:r>
          </w:p>
        </w:tc>
        <w:tc>
          <w:tcPr>
            <w:tcW w:w="1427"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28,159</w:t>
            </w:r>
          </w:p>
        </w:tc>
        <w:tc>
          <w:tcPr>
            <w:tcW w:w="126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44,865</w:t>
            </w:r>
          </w:p>
        </w:tc>
        <w:tc>
          <w:tcPr>
            <w:tcW w:w="1033"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44,090</w:t>
            </w:r>
          </w:p>
        </w:tc>
        <w:tc>
          <w:tcPr>
            <w:tcW w:w="120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374,823</w:t>
            </w:r>
          </w:p>
        </w:tc>
        <w:tc>
          <w:tcPr>
            <w:tcW w:w="1200" w:type="dxa"/>
            <w:tcBorders>
              <w:top w:val="single" w:sz="4" w:space="0" w:color="FFFFFF"/>
              <w:left w:val="single" w:sz="4" w:space="0" w:color="FFFFFF"/>
              <w:bottom w:val="single" w:sz="4" w:space="0" w:color="FFFFFF"/>
              <w:right w:val="single" w:sz="4" w:space="0" w:color="FFFFFF"/>
            </w:tcBorders>
            <w:shd w:val="clear" w:color="auto" w:fill="D9D9D9"/>
          </w:tcPr>
          <w:p w:rsidR="00FE38DF" w:rsidRPr="000F0314" w:rsidRDefault="00FE38DF" w:rsidP="00C95C17">
            <w:pPr>
              <w:tabs>
                <w:tab w:val="left" w:pos="972"/>
              </w:tabs>
              <w:spacing w:before="100" w:after="100"/>
              <w:ind w:right="161"/>
              <w:jc w:val="right"/>
              <w:rPr>
                <w:rFonts w:ascii="Book Antiqua" w:hAnsi="Book Antiqua" w:cs="Arial"/>
                <w:i/>
                <w:iCs/>
                <w:sz w:val="18"/>
                <w:szCs w:val="18"/>
              </w:rPr>
            </w:pPr>
            <w:r w:rsidRPr="000F0314">
              <w:rPr>
                <w:rFonts w:ascii="Book Antiqua" w:hAnsi="Book Antiqua" w:cs="Arial"/>
                <w:i/>
                <w:iCs/>
                <w:sz w:val="18"/>
                <w:szCs w:val="18"/>
              </w:rPr>
              <w:t>2,770,182</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numPr>
                <w:ilvl w:val="0"/>
                <w:numId w:val="12"/>
              </w:numPr>
              <w:spacing w:before="100" w:after="100" w:line="240" w:lineRule="auto"/>
              <w:ind w:hanging="240"/>
              <w:rPr>
                <w:rFonts w:ascii="Book Antiqua" w:hAnsi="Book Antiqua" w:cs="Arial"/>
                <w:sz w:val="20"/>
                <w:szCs w:val="20"/>
              </w:rPr>
            </w:pPr>
            <w:smartTag w:uri="urn:schemas-microsoft-com:office:smarttags" w:element="City">
              <w:smartTag w:uri="urn:schemas-microsoft-com:office:smarttags" w:element="place">
                <w:r w:rsidRPr="000F0314">
                  <w:rPr>
                    <w:rFonts w:ascii="Book Antiqua" w:hAnsi="Book Antiqua" w:cs="Arial"/>
                    <w:sz w:val="20"/>
                    <w:szCs w:val="20"/>
                  </w:rPr>
                  <w:t>Plantation</w:t>
                </w:r>
              </w:smartTag>
            </w:smartTag>
            <w:r w:rsidRPr="000F0314">
              <w:rPr>
                <w:rFonts w:ascii="Book Antiqua" w:hAnsi="Book Antiqua" w:cs="Arial"/>
                <w:sz w:val="20"/>
                <w:szCs w:val="20"/>
              </w:rPr>
              <w:t xml:space="preserve"> with timber stand</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242,353</w:t>
            </w:r>
          </w:p>
        </w:tc>
        <w:tc>
          <w:tcPr>
            <w:tcW w:w="135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295,546</w:t>
            </w:r>
          </w:p>
        </w:tc>
        <w:tc>
          <w:tcPr>
            <w:tcW w:w="117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32,884</w:t>
            </w:r>
          </w:p>
        </w:tc>
        <w:tc>
          <w:tcPr>
            <w:tcW w:w="136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494,135</w:t>
            </w:r>
          </w:p>
        </w:tc>
        <w:tc>
          <w:tcPr>
            <w:tcW w:w="1427"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19,599</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23,881</w:t>
            </w:r>
          </w:p>
        </w:tc>
        <w:tc>
          <w:tcPr>
            <w:tcW w:w="103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22,539</w:t>
            </w:r>
          </w:p>
        </w:tc>
        <w:tc>
          <w:tcPr>
            <w:tcW w:w="120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174,235</w:t>
            </w:r>
          </w:p>
        </w:tc>
        <w:tc>
          <w:tcPr>
            <w:tcW w:w="1200" w:type="dxa"/>
            <w:tcBorders>
              <w:top w:val="single" w:sz="4" w:space="0" w:color="FFFFFF"/>
              <w:left w:val="single" w:sz="4" w:space="0" w:color="FFFFFF"/>
              <w:bottom w:val="single" w:sz="4" w:space="0" w:color="FFFFFF"/>
              <w:right w:val="single" w:sz="4" w:space="0" w:color="FFFFFF"/>
            </w:tcBorders>
            <w:shd w:val="clear" w:color="auto" w:fill="DBE5F1"/>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1,305,172</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numPr>
                <w:ilvl w:val="0"/>
                <w:numId w:val="12"/>
              </w:numPr>
              <w:spacing w:before="100" w:after="100" w:line="240" w:lineRule="auto"/>
              <w:ind w:hanging="240"/>
              <w:rPr>
                <w:rFonts w:ascii="Book Antiqua" w:hAnsi="Book Antiqua" w:cs="Arial"/>
                <w:sz w:val="20"/>
                <w:szCs w:val="20"/>
              </w:rPr>
            </w:pPr>
            <w:smartTag w:uri="urn:schemas-microsoft-com:office:smarttags" w:element="City">
              <w:smartTag w:uri="urn:schemas-microsoft-com:office:smarttags" w:element="place">
                <w:r w:rsidRPr="000F0314">
                  <w:rPr>
                    <w:rFonts w:ascii="Book Antiqua" w:hAnsi="Book Antiqua" w:cs="Arial"/>
                    <w:sz w:val="20"/>
                    <w:szCs w:val="20"/>
                  </w:rPr>
                  <w:t>Plantation</w:t>
                </w:r>
              </w:smartTag>
            </w:smartTag>
            <w:r w:rsidRPr="000F0314">
              <w:rPr>
                <w:rFonts w:ascii="Book Antiqua" w:hAnsi="Book Antiqua" w:cs="Arial"/>
                <w:sz w:val="20"/>
                <w:szCs w:val="20"/>
              </w:rPr>
              <w:t xml:space="preserve"> w/o timber stand</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203,855</w:t>
            </w:r>
          </w:p>
        </w:tc>
        <w:tc>
          <w:tcPr>
            <w:tcW w:w="135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167,731</w:t>
            </w:r>
          </w:p>
        </w:tc>
        <w:tc>
          <w:tcPr>
            <w:tcW w:w="117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24,045</w:t>
            </w:r>
          </w:p>
        </w:tc>
        <w:tc>
          <w:tcPr>
            <w:tcW w:w="136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559,489</w:t>
            </w:r>
          </w:p>
        </w:tc>
        <w:tc>
          <w:tcPr>
            <w:tcW w:w="1427"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8,002</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18,097</w:t>
            </w:r>
          </w:p>
        </w:tc>
        <w:tc>
          <w:tcPr>
            <w:tcW w:w="103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20,704</w:t>
            </w:r>
          </w:p>
        </w:tc>
        <w:tc>
          <w:tcPr>
            <w:tcW w:w="120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153,208</w:t>
            </w:r>
          </w:p>
        </w:tc>
        <w:tc>
          <w:tcPr>
            <w:tcW w:w="1200" w:type="dxa"/>
            <w:tcBorders>
              <w:top w:val="single" w:sz="4" w:space="0" w:color="FFFFFF"/>
              <w:left w:val="single" w:sz="4" w:space="0" w:color="FFFFFF"/>
              <w:bottom w:val="single" w:sz="4" w:space="0" w:color="FFFFFF"/>
              <w:right w:val="single" w:sz="4" w:space="0" w:color="FFFFFF"/>
            </w:tcBorders>
            <w:shd w:val="clear" w:color="auto" w:fill="DBE5F1"/>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1,155,132</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numPr>
                <w:ilvl w:val="0"/>
                <w:numId w:val="12"/>
              </w:numPr>
              <w:spacing w:before="100" w:after="100" w:line="240" w:lineRule="auto"/>
              <w:ind w:hanging="240"/>
              <w:rPr>
                <w:rFonts w:ascii="Book Antiqua" w:hAnsi="Book Antiqua" w:cs="Arial"/>
                <w:sz w:val="20"/>
                <w:szCs w:val="20"/>
              </w:rPr>
            </w:pPr>
            <w:r w:rsidRPr="000F0314">
              <w:rPr>
                <w:rFonts w:ascii="Book Antiqua" w:hAnsi="Book Antiqua" w:cs="Arial"/>
                <w:sz w:val="20"/>
                <w:szCs w:val="20"/>
              </w:rPr>
              <w:t>Bamboo</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3,733</w:t>
            </w:r>
          </w:p>
        </w:tc>
        <w:tc>
          <w:tcPr>
            <w:tcW w:w="135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1,793</w:t>
            </w:r>
          </w:p>
        </w:tc>
        <w:tc>
          <w:tcPr>
            <w:tcW w:w="117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1,270</w:t>
            </w:r>
          </w:p>
        </w:tc>
        <w:tc>
          <w:tcPr>
            <w:tcW w:w="136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78,896</w:t>
            </w:r>
          </w:p>
        </w:tc>
        <w:tc>
          <w:tcPr>
            <w:tcW w:w="1427"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724</w:t>
            </w:r>
          </w:p>
        </w:tc>
        <w:tc>
          <w:tcPr>
            <w:tcW w:w="103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90</w:t>
            </w:r>
          </w:p>
        </w:tc>
        <w:tc>
          <w:tcPr>
            <w:tcW w:w="120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3,342</w:t>
            </w:r>
          </w:p>
        </w:tc>
        <w:tc>
          <w:tcPr>
            <w:tcW w:w="1200" w:type="dxa"/>
            <w:tcBorders>
              <w:top w:val="single" w:sz="4" w:space="0" w:color="FFFFFF"/>
              <w:left w:val="single" w:sz="4" w:space="0" w:color="FFFFFF"/>
              <w:bottom w:val="single" w:sz="4" w:space="0" w:color="FFFFFF"/>
              <w:right w:val="single" w:sz="4" w:space="0" w:color="FFFFFF"/>
            </w:tcBorders>
            <w:shd w:val="clear" w:color="auto" w:fill="DBE5F1"/>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89,847</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numPr>
                <w:ilvl w:val="0"/>
                <w:numId w:val="12"/>
              </w:numPr>
              <w:spacing w:before="100" w:after="100" w:line="240" w:lineRule="auto"/>
              <w:ind w:hanging="240"/>
              <w:rPr>
                <w:rFonts w:ascii="Book Antiqua" w:hAnsi="Book Antiqua" w:cs="Arial"/>
                <w:sz w:val="20"/>
                <w:szCs w:val="20"/>
              </w:rPr>
            </w:pPr>
            <w:smartTag w:uri="urn:schemas-microsoft-com:office:smarttags" w:element="City">
              <w:smartTag w:uri="urn:schemas-microsoft-com:office:smarttags" w:element="place">
                <w:r w:rsidRPr="000F0314">
                  <w:rPr>
                    <w:rFonts w:ascii="Book Antiqua" w:hAnsi="Book Antiqua" w:cs="Arial"/>
                    <w:sz w:val="20"/>
                    <w:szCs w:val="20"/>
                  </w:rPr>
                  <w:t>Plantation</w:t>
                </w:r>
              </w:smartTag>
            </w:smartTag>
            <w:r w:rsidRPr="000F0314">
              <w:rPr>
                <w:rFonts w:ascii="Book Antiqua" w:hAnsi="Book Antiqua" w:cs="Arial"/>
                <w:sz w:val="20"/>
                <w:szCs w:val="20"/>
              </w:rPr>
              <w:t xml:space="preserve"> for special products</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19,202</w:t>
            </w:r>
          </w:p>
        </w:tc>
        <w:tc>
          <w:tcPr>
            <w:tcW w:w="135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32,467</w:t>
            </w:r>
          </w:p>
        </w:tc>
        <w:tc>
          <w:tcPr>
            <w:tcW w:w="117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2,854</w:t>
            </w:r>
          </w:p>
        </w:tc>
        <w:tc>
          <w:tcPr>
            <w:tcW w:w="136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109,342</w:t>
            </w:r>
          </w:p>
        </w:tc>
        <w:tc>
          <w:tcPr>
            <w:tcW w:w="1427"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558</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2,007</w:t>
            </w:r>
          </w:p>
        </w:tc>
        <w:tc>
          <w:tcPr>
            <w:tcW w:w="103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481</w:t>
            </w:r>
          </w:p>
        </w:tc>
        <w:tc>
          <w:tcPr>
            <w:tcW w:w="120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40,211</w:t>
            </w:r>
          </w:p>
        </w:tc>
        <w:tc>
          <w:tcPr>
            <w:tcW w:w="1200" w:type="dxa"/>
            <w:tcBorders>
              <w:top w:val="single" w:sz="4" w:space="0" w:color="FFFFFF"/>
              <w:left w:val="single" w:sz="4" w:space="0" w:color="FFFFFF"/>
              <w:bottom w:val="single" w:sz="4" w:space="0" w:color="FFFFFF"/>
              <w:right w:val="single" w:sz="4" w:space="0" w:color="FFFFFF"/>
            </w:tcBorders>
            <w:shd w:val="clear" w:color="auto" w:fill="DBE5F1"/>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207,122</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numPr>
                <w:ilvl w:val="0"/>
                <w:numId w:val="12"/>
              </w:numPr>
              <w:spacing w:before="100" w:after="100" w:line="240" w:lineRule="auto"/>
              <w:ind w:hanging="240"/>
              <w:rPr>
                <w:rFonts w:ascii="Book Antiqua" w:hAnsi="Book Antiqua" w:cs="Arial"/>
                <w:sz w:val="20"/>
                <w:szCs w:val="20"/>
              </w:rPr>
            </w:pPr>
            <w:r w:rsidRPr="000F0314">
              <w:rPr>
                <w:rFonts w:ascii="Book Antiqua" w:hAnsi="Book Antiqua" w:cs="Arial"/>
                <w:sz w:val="20"/>
                <w:szCs w:val="20"/>
              </w:rPr>
              <w:t>Mangrove</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1,672</w:t>
            </w:r>
          </w:p>
        </w:tc>
        <w:tc>
          <w:tcPr>
            <w:tcW w:w="135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1,161</w:t>
            </w:r>
          </w:p>
        </w:tc>
        <w:tc>
          <w:tcPr>
            <w:tcW w:w="117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w:t>
            </w:r>
          </w:p>
        </w:tc>
        <w:tc>
          <w:tcPr>
            <w:tcW w:w="136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5,817</w:t>
            </w:r>
          </w:p>
        </w:tc>
        <w:tc>
          <w:tcPr>
            <w:tcW w:w="1427"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w:t>
            </w:r>
          </w:p>
        </w:tc>
        <w:tc>
          <w:tcPr>
            <w:tcW w:w="126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156</w:t>
            </w:r>
          </w:p>
        </w:tc>
        <w:tc>
          <w:tcPr>
            <w:tcW w:w="1033"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276</w:t>
            </w:r>
          </w:p>
        </w:tc>
        <w:tc>
          <w:tcPr>
            <w:tcW w:w="1200" w:type="dxa"/>
            <w:tcBorders>
              <w:top w:val="single" w:sz="4" w:space="0" w:color="FFFFFF"/>
              <w:left w:val="single" w:sz="4" w:space="0" w:color="FFFFFF"/>
              <w:bottom w:val="single" w:sz="4" w:space="0" w:color="FFFFFF"/>
              <w:right w:val="single" w:sz="4" w:space="0" w:color="FFFFFF"/>
            </w:tcBorders>
            <w:shd w:val="clear" w:color="auto" w:fill="DBE5F1"/>
            <w:noWrap/>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3,827</w:t>
            </w:r>
          </w:p>
        </w:tc>
        <w:tc>
          <w:tcPr>
            <w:tcW w:w="1200" w:type="dxa"/>
            <w:tcBorders>
              <w:top w:val="single" w:sz="4" w:space="0" w:color="FFFFFF"/>
              <w:left w:val="single" w:sz="4" w:space="0" w:color="FFFFFF"/>
              <w:bottom w:val="single" w:sz="4" w:space="0" w:color="FFFFFF"/>
              <w:right w:val="single" w:sz="4" w:space="0" w:color="FFFFFF"/>
            </w:tcBorders>
            <w:shd w:val="clear" w:color="auto" w:fill="DBE5F1"/>
          </w:tcPr>
          <w:p w:rsidR="00FE38DF" w:rsidRPr="000F0314" w:rsidRDefault="00FE38DF" w:rsidP="00C95C17">
            <w:pPr>
              <w:tabs>
                <w:tab w:val="left" w:pos="972"/>
              </w:tabs>
              <w:spacing w:before="100" w:after="100"/>
              <w:ind w:right="161"/>
              <w:jc w:val="right"/>
              <w:rPr>
                <w:rFonts w:ascii="Book Antiqua" w:hAnsi="Book Antiqua" w:cs="Arial"/>
                <w:sz w:val="18"/>
                <w:szCs w:val="18"/>
              </w:rPr>
            </w:pPr>
            <w:r w:rsidRPr="000F0314">
              <w:rPr>
                <w:rFonts w:ascii="Book Antiqua" w:hAnsi="Book Antiqua" w:cs="Arial"/>
                <w:sz w:val="18"/>
                <w:szCs w:val="18"/>
              </w:rPr>
              <w:t>12,909</w:t>
            </w:r>
          </w:p>
        </w:tc>
      </w:tr>
      <w:tr w:rsidR="00FE38DF" w:rsidRPr="00445F77">
        <w:trPr>
          <w:trHeight w:val="264"/>
        </w:trPr>
        <w:tc>
          <w:tcPr>
            <w:tcW w:w="2628"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spacing w:before="100" w:after="100"/>
              <w:rPr>
                <w:rFonts w:ascii="Book Antiqua" w:hAnsi="Book Antiqua" w:cs="Arial"/>
                <w:b/>
                <w:bCs/>
                <w:i/>
                <w:iCs/>
                <w:sz w:val="20"/>
                <w:szCs w:val="20"/>
              </w:rPr>
            </w:pPr>
            <w:r w:rsidRPr="000F0314">
              <w:rPr>
                <w:rFonts w:ascii="Book Antiqua" w:hAnsi="Book Antiqua" w:cs="Arial"/>
                <w:b/>
                <w:bCs/>
                <w:i/>
                <w:iCs/>
                <w:sz w:val="20"/>
                <w:szCs w:val="20"/>
              </w:rPr>
              <w:t>Total (A+B)</w:t>
            </w:r>
          </w:p>
        </w:tc>
        <w:tc>
          <w:tcPr>
            <w:tcW w:w="126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left="-108" w:right="161"/>
              <w:jc w:val="right"/>
              <w:rPr>
                <w:rFonts w:ascii="Book Antiqua" w:hAnsi="Book Antiqua" w:cs="Arial"/>
                <w:b/>
                <w:bCs/>
                <w:i/>
                <w:iCs/>
                <w:sz w:val="18"/>
                <w:szCs w:val="18"/>
              </w:rPr>
            </w:pPr>
            <w:r w:rsidRPr="000F0314">
              <w:rPr>
                <w:rFonts w:ascii="Book Antiqua" w:hAnsi="Book Antiqua" w:cs="Arial"/>
                <w:b/>
                <w:bCs/>
                <w:i/>
                <w:iCs/>
                <w:sz w:val="18"/>
                <w:szCs w:val="18"/>
              </w:rPr>
              <w:t>2,105,662</w:t>
            </w:r>
          </w:p>
        </w:tc>
        <w:tc>
          <w:tcPr>
            <w:tcW w:w="135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left="-108" w:right="161"/>
              <w:jc w:val="right"/>
              <w:rPr>
                <w:rFonts w:ascii="Book Antiqua" w:hAnsi="Book Antiqua" w:cs="Arial"/>
                <w:b/>
                <w:bCs/>
                <w:i/>
                <w:iCs/>
                <w:sz w:val="18"/>
                <w:szCs w:val="18"/>
              </w:rPr>
            </w:pPr>
            <w:r w:rsidRPr="000F0314">
              <w:rPr>
                <w:rFonts w:ascii="Book Antiqua" w:hAnsi="Book Antiqua" w:cs="Arial"/>
                <w:b/>
                <w:bCs/>
                <w:i/>
                <w:iCs/>
                <w:sz w:val="18"/>
                <w:szCs w:val="18"/>
              </w:rPr>
              <w:t>4,398,711</w:t>
            </w:r>
          </w:p>
        </w:tc>
        <w:tc>
          <w:tcPr>
            <w:tcW w:w="117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left="-108" w:right="161"/>
              <w:jc w:val="right"/>
              <w:rPr>
                <w:rFonts w:ascii="Book Antiqua" w:hAnsi="Book Antiqua" w:cs="Arial"/>
                <w:b/>
                <w:bCs/>
                <w:i/>
                <w:iCs/>
                <w:sz w:val="18"/>
                <w:szCs w:val="18"/>
              </w:rPr>
            </w:pPr>
            <w:r w:rsidRPr="000F0314">
              <w:rPr>
                <w:rFonts w:ascii="Book Antiqua" w:hAnsi="Book Antiqua" w:cs="Arial"/>
                <w:b/>
                <w:bCs/>
                <w:i/>
                <w:iCs/>
                <w:sz w:val="18"/>
                <w:szCs w:val="18"/>
              </w:rPr>
              <w:t>85,505</w:t>
            </w:r>
          </w:p>
        </w:tc>
        <w:tc>
          <w:tcPr>
            <w:tcW w:w="1363"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left="-108" w:right="161"/>
              <w:jc w:val="right"/>
              <w:rPr>
                <w:rFonts w:ascii="Book Antiqua" w:hAnsi="Book Antiqua" w:cs="Arial"/>
                <w:b/>
                <w:bCs/>
                <w:i/>
                <w:iCs/>
                <w:sz w:val="18"/>
                <w:szCs w:val="18"/>
              </w:rPr>
            </w:pPr>
            <w:r w:rsidRPr="000F0314">
              <w:rPr>
                <w:rFonts w:ascii="Book Antiqua" w:hAnsi="Book Antiqua" w:cs="Arial"/>
                <w:b/>
                <w:bCs/>
                <w:i/>
                <w:iCs/>
                <w:sz w:val="18"/>
                <w:szCs w:val="18"/>
              </w:rPr>
              <w:t>3,150,450</w:t>
            </w:r>
          </w:p>
        </w:tc>
        <w:tc>
          <w:tcPr>
            <w:tcW w:w="1427"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left="-108" w:right="161"/>
              <w:jc w:val="right"/>
              <w:rPr>
                <w:rFonts w:ascii="Book Antiqua" w:hAnsi="Book Antiqua" w:cs="Arial"/>
                <w:b/>
                <w:bCs/>
                <w:i/>
                <w:iCs/>
                <w:sz w:val="18"/>
                <w:szCs w:val="18"/>
              </w:rPr>
            </w:pPr>
            <w:r w:rsidRPr="000F0314">
              <w:rPr>
                <w:rFonts w:ascii="Book Antiqua" w:hAnsi="Book Antiqua" w:cs="Arial"/>
                <w:b/>
                <w:bCs/>
                <w:i/>
                <w:iCs/>
                <w:sz w:val="18"/>
                <w:szCs w:val="18"/>
              </w:rPr>
              <w:t>140,648</w:t>
            </w:r>
          </w:p>
        </w:tc>
        <w:tc>
          <w:tcPr>
            <w:tcW w:w="126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left="-108" w:right="161"/>
              <w:jc w:val="right"/>
              <w:rPr>
                <w:rFonts w:ascii="Book Antiqua" w:hAnsi="Book Antiqua" w:cs="Arial"/>
                <w:b/>
                <w:bCs/>
                <w:i/>
                <w:iCs/>
                <w:sz w:val="18"/>
                <w:szCs w:val="18"/>
              </w:rPr>
            </w:pPr>
            <w:r w:rsidRPr="000F0314">
              <w:rPr>
                <w:rFonts w:ascii="Book Antiqua" w:hAnsi="Book Antiqua" w:cs="Arial"/>
                <w:b/>
                <w:bCs/>
                <w:i/>
                <w:iCs/>
                <w:sz w:val="18"/>
                <w:szCs w:val="18"/>
              </w:rPr>
              <w:t>459,809</w:t>
            </w:r>
          </w:p>
        </w:tc>
        <w:tc>
          <w:tcPr>
            <w:tcW w:w="1033"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left="-108" w:right="161"/>
              <w:jc w:val="right"/>
              <w:rPr>
                <w:rFonts w:ascii="Book Antiqua" w:hAnsi="Book Antiqua" w:cs="Arial"/>
                <w:b/>
                <w:bCs/>
                <w:i/>
                <w:iCs/>
                <w:sz w:val="18"/>
                <w:szCs w:val="18"/>
              </w:rPr>
            </w:pPr>
            <w:r w:rsidRPr="000F0314">
              <w:rPr>
                <w:rFonts w:ascii="Book Antiqua" w:hAnsi="Book Antiqua" w:cs="Arial"/>
                <w:b/>
                <w:bCs/>
                <w:i/>
                <w:iCs/>
                <w:sz w:val="18"/>
                <w:szCs w:val="18"/>
              </w:rPr>
              <w:t>240,548</w:t>
            </w:r>
          </w:p>
        </w:tc>
        <w:tc>
          <w:tcPr>
            <w:tcW w:w="1200" w:type="dxa"/>
            <w:tcBorders>
              <w:top w:val="single" w:sz="4" w:space="0" w:color="FFFFFF"/>
              <w:left w:val="single" w:sz="4" w:space="0" w:color="FFFFFF"/>
              <w:bottom w:val="single" w:sz="4" w:space="0" w:color="FFFFFF"/>
              <w:right w:val="single" w:sz="4" w:space="0" w:color="FFFFFF"/>
            </w:tcBorders>
            <w:shd w:val="clear" w:color="auto" w:fill="D9D9D9"/>
            <w:noWrap/>
          </w:tcPr>
          <w:p w:rsidR="00FE38DF" w:rsidRPr="000F0314" w:rsidRDefault="00FE38DF" w:rsidP="00C95C17">
            <w:pPr>
              <w:tabs>
                <w:tab w:val="left" w:pos="972"/>
              </w:tabs>
              <w:spacing w:before="100" w:after="100"/>
              <w:ind w:left="-108" w:right="161"/>
              <w:jc w:val="right"/>
              <w:rPr>
                <w:rFonts w:ascii="Book Antiqua" w:hAnsi="Book Antiqua" w:cs="Arial"/>
                <w:b/>
                <w:bCs/>
                <w:i/>
                <w:iCs/>
                <w:sz w:val="18"/>
                <w:szCs w:val="18"/>
              </w:rPr>
            </w:pPr>
            <w:r w:rsidRPr="000F0314">
              <w:rPr>
                <w:rFonts w:ascii="Book Antiqua" w:hAnsi="Book Antiqua" w:cs="Arial"/>
                <w:b/>
                <w:bCs/>
                <w:i/>
                <w:iCs/>
                <w:sz w:val="18"/>
                <w:szCs w:val="18"/>
              </w:rPr>
              <w:t>2,537,441</w:t>
            </w:r>
          </w:p>
        </w:tc>
        <w:tc>
          <w:tcPr>
            <w:tcW w:w="1200" w:type="dxa"/>
            <w:tcBorders>
              <w:top w:val="single" w:sz="4" w:space="0" w:color="FFFFFF"/>
              <w:left w:val="single" w:sz="4" w:space="0" w:color="FFFFFF"/>
              <w:bottom w:val="single" w:sz="4" w:space="0" w:color="FFFFFF"/>
              <w:right w:val="single" w:sz="4" w:space="0" w:color="FFFFFF"/>
            </w:tcBorders>
            <w:shd w:val="clear" w:color="auto" w:fill="D9D9D9"/>
          </w:tcPr>
          <w:p w:rsidR="00FE38DF" w:rsidRPr="000F0314" w:rsidRDefault="00FE38DF" w:rsidP="00C95C17">
            <w:pPr>
              <w:tabs>
                <w:tab w:val="left" w:pos="972"/>
              </w:tabs>
              <w:spacing w:before="100" w:after="100"/>
              <w:ind w:left="-108" w:right="161"/>
              <w:jc w:val="right"/>
              <w:rPr>
                <w:rFonts w:ascii="Book Antiqua" w:hAnsi="Book Antiqua" w:cs="Arial"/>
                <w:b/>
                <w:bCs/>
                <w:i/>
                <w:iCs/>
                <w:sz w:val="18"/>
                <w:szCs w:val="18"/>
              </w:rPr>
            </w:pPr>
            <w:r w:rsidRPr="000F0314">
              <w:rPr>
                <w:rFonts w:ascii="Book Antiqua" w:hAnsi="Book Antiqua" w:cs="Arial"/>
                <w:b/>
                <w:bCs/>
                <w:i/>
                <w:iCs/>
                <w:sz w:val="18"/>
                <w:szCs w:val="18"/>
              </w:rPr>
              <w:t>13,118,773</w:t>
            </w:r>
          </w:p>
        </w:tc>
      </w:tr>
    </w:tbl>
    <w:p w:rsidR="00FE38DF" w:rsidRPr="000F0314" w:rsidRDefault="00FE38DF" w:rsidP="00FE38DF">
      <w:pPr>
        <w:spacing w:before="120" w:after="120"/>
        <w:rPr>
          <w:rFonts w:ascii="Book Antiqua" w:hAnsi="Book Antiqua" w:cs="Arial"/>
          <w:sz w:val="18"/>
          <w:szCs w:val="18"/>
          <w:lang w:val="en-US"/>
        </w:rPr>
      </w:pPr>
      <w:r w:rsidRPr="000F0314">
        <w:rPr>
          <w:rFonts w:ascii="Book Antiqua" w:hAnsi="Book Antiqua" w:cs="Arial"/>
          <w:sz w:val="18"/>
          <w:szCs w:val="18"/>
        </w:rPr>
        <w:t>Source: www.kiemlam.org.vn</w:t>
      </w:r>
    </w:p>
    <w:p w:rsidR="00FE38DF" w:rsidRDefault="00FE38DF" w:rsidP="007C38DB">
      <w:pPr>
        <w:spacing w:after="0" w:line="300" w:lineRule="exact"/>
        <w:jc w:val="both"/>
        <w:rPr>
          <w:rFonts w:ascii="Book Antiqua" w:hAnsi="Book Antiqua" w:cs="Arial"/>
          <w:lang w:val="en-US"/>
        </w:rPr>
        <w:sectPr w:rsidR="00FE38DF" w:rsidSect="00FE38DF">
          <w:pgSz w:w="16840" w:h="11907" w:orient="landscape" w:code="9"/>
          <w:pgMar w:top="1701" w:right="1440" w:bottom="1418" w:left="1440" w:header="720" w:footer="720" w:gutter="0"/>
          <w:cols w:space="720"/>
          <w:docGrid w:linePitch="360"/>
        </w:sectPr>
      </w:pPr>
    </w:p>
    <w:p w:rsidR="00FE38DF" w:rsidRDefault="00FE38DF" w:rsidP="007C38DB">
      <w:pPr>
        <w:spacing w:after="0" w:line="300" w:lineRule="exact"/>
        <w:jc w:val="both"/>
        <w:rPr>
          <w:rFonts w:ascii="Book Antiqua" w:hAnsi="Book Antiqua" w:cs="Arial"/>
          <w:lang w:val="en-US"/>
        </w:rPr>
      </w:pPr>
    </w:p>
    <w:p w:rsidR="00351F2C" w:rsidRPr="00445F77" w:rsidRDefault="00D213B1" w:rsidP="007C38DB">
      <w:pPr>
        <w:pStyle w:val="Heading2"/>
        <w:tabs>
          <w:tab w:val="left" w:pos="180"/>
          <w:tab w:val="left" w:pos="450"/>
        </w:tabs>
        <w:spacing w:before="0" w:after="0"/>
        <w:rPr>
          <w:rFonts w:ascii="Arial" w:hAnsi="Arial" w:cs="Arial"/>
          <w:sz w:val="24"/>
          <w:szCs w:val="24"/>
          <w:lang w:val="en-US"/>
        </w:rPr>
      </w:pPr>
      <w:bookmarkStart w:id="181" w:name="_Toc244586167"/>
      <w:bookmarkStart w:id="182" w:name="_Toc252354734"/>
      <w:r w:rsidRPr="00445F77">
        <w:rPr>
          <w:rFonts w:ascii="Arial" w:hAnsi="Arial" w:cs="Arial"/>
          <w:sz w:val="24"/>
          <w:szCs w:val="24"/>
          <w:lang w:val="en-US"/>
        </w:rPr>
        <w:t>4.</w:t>
      </w:r>
      <w:r w:rsidR="004C7E6C">
        <w:rPr>
          <w:rFonts w:ascii="Arial" w:hAnsi="Arial" w:cs="Arial"/>
          <w:sz w:val="24"/>
          <w:szCs w:val="24"/>
          <w:lang w:val="en-US"/>
        </w:rPr>
        <w:t>2</w:t>
      </w:r>
      <w:r w:rsidR="004C7E6C" w:rsidRPr="00445F77">
        <w:rPr>
          <w:rFonts w:ascii="Arial" w:hAnsi="Arial" w:cs="Arial"/>
          <w:sz w:val="24"/>
          <w:szCs w:val="24"/>
          <w:lang w:val="en-US"/>
        </w:rPr>
        <w:t xml:space="preserve"> </w:t>
      </w:r>
      <w:r w:rsidR="00351F2C" w:rsidRPr="00445F77">
        <w:rPr>
          <w:rFonts w:ascii="Arial" w:hAnsi="Arial" w:cs="Arial"/>
          <w:sz w:val="24"/>
          <w:szCs w:val="24"/>
          <w:lang w:val="en-US"/>
        </w:rPr>
        <w:t>National-level finance mechanisms for ecosystem services: international experiences</w:t>
      </w:r>
      <w:bookmarkEnd w:id="181"/>
      <w:bookmarkEnd w:id="182"/>
    </w:p>
    <w:p w:rsidR="00351F2C" w:rsidRPr="000F0314" w:rsidRDefault="00351F2C" w:rsidP="007C38DB">
      <w:pPr>
        <w:spacing w:after="0"/>
        <w:jc w:val="both"/>
        <w:rPr>
          <w:rFonts w:ascii="Book Antiqua" w:hAnsi="Book Antiqua" w:cs="Arial"/>
          <w:lang w:val="en-US"/>
        </w:rPr>
      </w:pPr>
      <w:r w:rsidRPr="000F0314">
        <w:rPr>
          <w:rFonts w:ascii="Book Antiqua" w:hAnsi="Book Antiqua" w:cs="Arial"/>
          <w:lang w:val="en-US"/>
        </w:rPr>
        <w:t xml:space="preserve">Corresponding with the preceding review of experience from </w:t>
      </w:r>
      <w:smartTag w:uri="urn:schemas-microsoft-com:office:smarttags" w:element="country-region">
        <w:smartTag w:uri="urn:schemas-microsoft-com:office:smarttags" w:element="place">
          <w:r w:rsidRPr="000F0314">
            <w:rPr>
              <w:rFonts w:ascii="Book Antiqua" w:hAnsi="Book Antiqua" w:cs="Arial"/>
              <w:lang w:val="en-US"/>
            </w:rPr>
            <w:t>Viet Nam</w:t>
          </w:r>
        </w:smartTag>
      </w:smartTag>
      <w:r w:rsidRPr="000F0314">
        <w:rPr>
          <w:rFonts w:ascii="Book Antiqua" w:hAnsi="Book Antiqua" w:cs="Arial"/>
          <w:lang w:val="en-US"/>
        </w:rPr>
        <w:t>, one can also identify three basic types of national-level finance mechanisms for ecosystem services at the international level.  These include those operating through the regular government budget, the use of targeted funds, and decentralized structures with a national ‘tax’.</w:t>
      </w:r>
    </w:p>
    <w:p w:rsidR="00351F2C" w:rsidRPr="00445F77" w:rsidRDefault="00351F2C" w:rsidP="007C38DB">
      <w:pPr>
        <w:pStyle w:val="Heading3"/>
        <w:spacing w:before="0" w:after="0"/>
        <w:rPr>
          <w:rFonts w:ascii="Arial" w:hAnsi="Arial" w:cs="Arial"/>
          <w:lang w:val="en-US"/>
        </w:rPr>
      </w:pPr>
      <w:bookmarkStart w:id="183" w:name="_Toc243929945"/>
    </w:p>
    <w:p w:rsidR="00351F2C" w:rsidRPr="00445F77" w:rsidRDefault="00351F2C" w:rsidP="007C38DB">
      <w:pPr>
        <w:pStyle w:val="Heading3"/>
        <w:spacing w:before="0" w:after="0"/>
        <w:rPr>
          <w:rFonts w:ascii="Arial" w:hAnsi="Arial" w:cs="Arial"/>
          <w:lang w:val="en-US"/>
        </w:rPr>
      </w:pPr>
      <w:bookmarkStart w:id="184" w:name="_Toc243984128"/>
      <w:bookmarkStart w:id="185" w:name="_Toc244327654"/>
      <w:bookmarkStart w:id="186" w:name="_Toc244327903"/>
      <w:bookmarkStart w:id="187" w:name="_Toc244586168"/>
      <w:bookmarkStart w:id="188" w:name="_Toc249079536"/>
      <w:r w:rsidRPr="00445F77">
        <w:rPr>
          <w:rFonts w:ascii="Arial" w:hAnsi="Arial" w:cs="Arial"/>
          <w:lang w:val="en-US"/>
        </w:rPr>
        <w:t>Government budget</w:t>
      </w:r>
      <w:bookmarkEnd w:id="183"/>
      <w:bookmarkEnd w:id="184"/>
      <w:bookmarkEnd w:id="185"/>
      <w:bookmarkEnd w:id="186"/>
      <w:bookmarkEnd w:id="187"/>
      <w:bookmarkEnd w:id="188"/>
    </w:p>
    <w:p w:rsidR="00351F2C" w:rsidRPr="000F0314" w:rsidRDefault="00351F2C" w:rsidP="007C38DB">
      <w:pPr>
        <w:spacing w:after="0"/>
        <w:jc w:val="both"/>
        <w:rPr>
          <w:rFonts w:ascii="Book Antiqua" w:hAnsi="Book Antiqua" w:cs="Arial"/>
          <w:lang w:val="en-US"/>
        </w:rPr>
      </w:pPr>
      <w:r w:rsidRPr="000F0314">
        <w:rPr>
          <w:rFonts w:ascii="Book Antiqua" w:hAnsi="Book Antiqua" w:cs="Arial"/>
          <w:lang w:val="en-US"/>
        </w:rPr>
        <w:t>Some BDSs operate through the regular system of inter-governmental fiscal transfers.  Payments to central agencies and from the central government to sub-national units take the form of allocations and transfers within the regular government budget.</w:t>
      </w:r>
    </w:p>
    <w:p w:rsidR="00351F2C" w:rsidRPr="000F0314" w:rsidRDefault="00351F2C" w:rsidP="00C724C9">
      <w:pPr>
        <w:spacing w:after="0"/>
        <w:jc w:val="both"/>
        <w:rPr>
          <w:rFonts w:ascii="Book Antiqua" w:hAnsi="Book Antiqua" w:cs="Arial"/>
          <w:lang w:val="en-US"/>
        </w:rPr>
      </w:pPr>
    </w:p>
    <w:p w:rsidR="00351F2C" w:rsidRPr="000F0314" w:rsidRDefault="00351F2C" w:rsidP="00C724C9">
      <w:pPr>
        <w:spacing w:after="0"/>
        <w:jc w:val="both"/>
        <w:rPr>
          <w:rFonts w:ascii="Book Antiqua" w:hAnsi="Book Antiqua" w:cs="Arial"/>
          <w:lang w:val="en-US"/>
        </w:rPr>
      </w:pPr>
      <w:r w:rsidRPr="000F0314">
        <w:rPr>
          <w:rFonts w:ascii="Book Antiqua" w:hAnsi="Book Antiqua" w:cs="Arial"/>
          <w:lang w:val="en-US"/>
        </w:rPr>
        <w:t xml:space="preserve">It is possible to distinguish two types of national payment distribution mechanisms operating through the regular government budgetary system.  The first takes a </w:t>
      </w:r>
      <w:r w:rsidR="00480D3D">
        <w:rPr>
          <w:rFonts w:ascii="Book Antiqua" w:hAnsi="Book Antiqua" w:cs="Arial"/>
          <w:u w:val="single"/>
          <w:lang w:val="en-US"/>
        </w:rPr>
        <w:t>programme</w:t>
      </w:r>
      <w:r w:rsidRPr="000F0314">
        <w:rPr>
          <w:rFonts w:ascii="Book Antiqua" w:hAnsi="Book Antiqua" w:cs="Arial"/>
          <w:u w:val="single"/>
          <w:lang w:val="en-US"/>
        </w:rPr>
        <w:t xml:space="preserve"> approach</w:t>
      </w:r>
      <w:r w:rsidRPr="000F0314">
        <w:rPr>
          <w:rFonts w:ascii="Book Antiqua" w:hAnsi="Book Antiqua" w:cs="Arial"/>
          <w:lang w:val="en-US"/>
        </w:rPr>
        <w:t xml:space="preserve">, as a central agency receives an allocation within its regular annual budget and then distributes the available funding to sub-national entities.  Prominent examples of this type are the agri-environmental and commodity production-linked payments to farmers in the European Union.  The required financing is handled within the regular budgetary procedures of the member states and system of intergovernmental fiscal transfers between the member states and the EU.  In </w:t>
      </w:r>
      <w:smartTag w:uri="urn:schemas-microsoft-com:office:smarttags" w:element="country-region">
        <w:smartTag w:uri="urn:schemas-microsoft-com:office:smarttags" w:element="place">
          <w:r w:rsidRPr="000F0314">
            <w:rPr>
              <w:rFonts w:ascii="Book Antiqua" w:hAnsi="Book Antiqua" w:cs="Arial"/>
              <w:lang w:val="en-US"/>
            </w:rPr>
            <w:t>Germany</w:t>
          </w:r>
        </w:smartTag>
      </w:smartTag>
      <w:r w:rsidRPr="000F0314">
        <w:rPr>
          <w:rFonts w:ascii="Book Antiqua" w:hAnsi="Book Antiqua" w:cs="Arial"/>
          <w:lang w:val="en-US"/>
        </w:rPr>
        <w:t>, for example, funds are managed by state-level agricultural ministries, combining their own budgetary resources with contributions from the European Union.</w:t>
      </w:r>
    </w:p>
    <w:p w:rsidR="00351F2C" w:rsidRPr="000F0314" w:rsidRDefault="00351F2C" w:rsidP="00C724C9">
      <w:pPr>
        <w:spacing w:after="0"/>
        <w:jc w:val="both"/>
        <w:rPr>
          <w:rFonts w:ascii="Book Antiqua" w:hAnsi="Book Antiqua" w:cs="Arial"/>
          <w:lang w:val="en-US"/>
        </w:rPr>
      </w:pPr>
    </w:p>
    <w:p w:rsidR="00351F2C" w:rsidRPr="000F0314" w:rsidRDefault="00351F2C" w:rsidP="007C38DB">
      <w:pPr>
        <w:spacing w:after="0"/>
        <w:jc w:val="both"/>
        <w:rPr>
          <w:rFonts w:ascii="Book Antiqua" w:hAnsi="Book Antiqua" w:cs="Arial"/>
          <w:lang w:val="en-US"/>
        </w:rPr>
      </w:pPr>
      <w:r w:rsidRPr="000F0314">
        <w:rPr>
          <w:rFonts w:ascii="Book Antiqua" w:hAnsi="Book Antiqua" w:cs="Arial"/>
          <w:lang w:val="en-US"/>
        </w:rPr>
        <w:t xml:space="preserve">Another type of finance mechanism operating through the regular governmental budgeting procedures takes the form of an </w:t>
      </w:r>
      <w:r w:rsidRPr="000F0314">
        <w:rPr>
          <w:rFonts w:ascii="Book Antiqua" w:hAnsi="Book Antiqua" w:cs="Arial"/>
          <w:u w:val="single"/>
          <w:lang w:val="en-US"/>
        </w:rPr>
        <w:t>ecological tax</w:t>
      </w:r>
      <w:r w:rsidRPr="000F0314">
        <w:rPr>
          <w:rFonts w:ascii="Book Antiqua" w:hAnsi="Book Antiqua" w:cs="Arial"/>
          <w:lang w:val="en-US"/>
        </w:rPr>
        <w:t xml:space="preserve">.  In this case, funding allocations are not decided by the central government but depend on the actual performance of sub-national units in achieving certain environmental objectives.  A good example of this type is the ecological value added tax (ICMS-Ecológico) in </w:t>
      </w:r>
      <w:smartTag w:uri="urn:schemas-microsoft-com:office:smarttags" w:element="country-region">
        <w:smartTag w:uri="urn:schemas-microsoft-com:office:smarttags" w:element="place">
          <w:r w:rsidRPr="000F0314">
            <w:rPr>
              <w:rFonts w:ascii="Book Antiqua" w:hAnsi="Book Antiqua" w:cs="Arial"/>
              <w:lang w:val="en-US"/>
            </w:rPr>
            <w:t>Brazil</w:t>
          </w:r>
        </w:smartTag>
      </w:smartTag>
      <w:r w:rsidRPr="000F0314">
        <w:rPr>
          <w:rFonts w:ascii="Book Antiqua" w:hAnsi="Book Antiqua" w:cs="Arial"/>
          <w:lang w:val="en-US"/>
        </w:rPr>
        <w:t xml:space="preserve">, even though it was not implemented at the national but at state levels.  During the early 1990s, the state of </w:t>
      </w:r>
      <w:smartTag w:uri="urn:schemas-microsoft-com:office:smarttags" w:element="City">
        <w:smartTag w:uri="urn:schemas-microsoft-com:office:smarttags" w:element="place">
          <w:r w:rsidRPr="000F0314">
            <w:rPr>
              <w:rFonts w:ascii="Book Antiqua" w:hAnsi="Book Antiqua" w:cs="Arial"/>
              <w:lang w:val="en-US"/>
            </w:rPr>
            <w:t>Parana</w:t>
          </w:r>
        </w:smartTag>
      </w:smartTag>
      <w:r w:rsidRPr="000F0314">
        <w:rPr>
          <w:rFonts w:ascii="Book Antiqua" w:hAnsi="Book Antiqua" w:cs="Arial"/>
          <w:lang w:val="en-US"/>
        </w:rPr>
        <w:t xml:space="preserve"> introduced ecological indicators alongside other indicators, such as population, geographical area or economic production, for the distribution of tax revenues.  The state administration took advantage of its power to decide about the distribution of one quarter of all revenues from the value-added tax to local municipalities.  It has since used ‘conservation units’ as an ecological indicator, which refers to the total land area in a municipality put under some protection status.  By now, many states have adopted this model.  The ICMS-Ecológico has been found to encourage the creation of new protected areas (Ring 2008).</w:t>
      </w:r>
    </w:p>
    <w:p w:rsidR="00351F2C" w:rsidRPr="00445F77" w:rsidRDefault="00351F2C" w:rsidP="007C38DB">
      <w:pPr>
        <w:pStyle w:val="Heading3"/>
        <w:spacing w:before="0" w:after="0"/>
        <w:rPr>
          <w:rFonts w:ascii="Arial" w:hAnsi="Arial" w:cs="Arial"/>
          <w:lang w:val="en-US"/>
        </w:rPr>
      </w:pPr>
      <w:bookmarkStart w:id="189" w:name="_Toc243929946"/>
    </w:p>
    <w:p w:rsidR="00351F2C" w:rsidRPr="00445F77" w:rsidRDefault="00351F2C" w:rsidP="007C38DB">
      <w:pPr>
        <w:pStyle w:val="Heading3"/>
        <w:spacing w:before="0" w:after="0"/>
        <w:rPr>
          <w:rFonts w:ascii="Arial" w:hAnsi="Arial" w:cs="Arial"/>
          <w:lang w:val="en-US"/>
        </w:rPr>
      </w:pPr>
      <w:bookmarkStart w:id="190" w:name="_Toc243984129"/>
      <w:bookmarkStart w:id="191" w:name="_Toc244327655"/>
      <w:bookmarkStart w:id="192" w:name="_Toc244327904"/>
      <w:bookmarkStart w:id="193" w:name="_Toc244586169"/>
      <w:bookmarkStart w:id="194" w:name="_Toc249079537"/>
      <w:r w:rsidRPr="00445F77">
        <w:rPr>
          <w:rFonts w:ascii="Arial" w:hAnsi="Arial" w:cs="Arial"/>
          <w:lang w:val="en-US"/>
        </w:rPr>
        <w:t>Targeted funds</w:t>
      </w:r>
      <w:bookmarkEnd w:id="189"/>
      <w:bookmarkEnd w:id="190"/>
      <w:bookmarkEnd w:id="191"/>
      <w:bookmarkEnd w:id="192"/>
      <w:bookmarkEnd w:id="193"/>
      <w:bookmarkEnd w:id="194"/>
    </w:p>
    <w:p w:rsidR="00351F2C" w:rsidRPr="00EC1298" w:rsidRDefault="00351F2C" w:rsidP="007C38DB">
      <w:pPr>
        <w:autoSpaceDE w:val="0"/>
        <w:autoSpaceDN w:val="0"/>
        <w:adjustRightInd w:val="0"/>
        <w:spacing w:after="0" w:line="300" w:lineRule="exact"/>
        <w:jc w:val="both"/>
        <w:rPr>
          <w:rFonts w:ascii="Book Antiqua" w:hAnsi="Book Antiqua" w:cs="Arial"/>
          <w:color w:val="000000"/>
          <w:lang w:val="en-US"/>
        </w:rPr>
      </w:pPr>
      <w:r w:rsidRPr="00EC1298">
        <w:rPr>
          <w:rFonts w:ascii="Book Antiqua" w:hAnsi="Book Antiqua" w:cs="Arial"/>
          <w:color w:val="000000"/>
          <w:lang w:val="en-US"/>
        </w:rPr>
        <w:t xml:space="preserve">Other BDSs use a targeted fund as the primary mechanism to allocate funds at the national level and distribute them to sub-national entities.  Fund-based mechanisms are different from those operating through the regular governmental budgeting procedures, as they are much less dependent on the annual budgeting process and enjoy relative </w:t>
      </w:r>
      <w:r w:rsidRPr="00EC1298">
        <w:rPr>
          <w:rFonts w:ascii="Book Antiqua" w:hAnsi="Book Antiqua" w:cs="Arial"/>
          <w:color w:val="000000"/>
          <w:lang w:val="en-US"/>
        </w:rPr>
        <w:lastRenderedPageBreak/>
        <w:t xml:space="preserve">autonomy in their financial operations.  They may still be wholly government-owned, but they may also possess a public or semi-private status.  </w:t>
      </w:r>
      <w:r w:rsidR="00CB7E26" w:rsidRPr="00EC1298">
        <w:rPr>
          <w:rFonts w:ascii="Book Antiqua" w:hAnsi="Book Antiqua" w:cs="Arial"/>
          <w:color w:val="000000"/>
          <w:lang w:val="en-US"/>
        </w:rPr>
        <w:t>Examples of such funds are those</w:t>
      </w:r>
      <w:r w:rsidRPr="00EC1298">
        <w:rPr>
          <w:rFonts w:ascii="Book Antiqua" w:hAnsi="Book Antiqua" w:cs="Arial"/>
          <w:color w:val="000000"/>
          <w:lang w:val="en-US"/>
        </w:rPr>
        <w:t xml:space="preserve"> instituted by the Costa Rican and Mexican governments </w:t>
      </w:r>
      <w:r w:rsidR="00CB7E26" w:rsidRPr="00EC1298">
        <w:rPr>
          <w:rFonts w:ascii="Book Antiqua" w:hAnsi="Book Antiqua" w:cs="Arial"/>
          <w:color w:val="000000"/>
          <w:lang w:val="en-US"/>
        </w:rPr>
        <w:t>as part of</w:t>
      </w:r>
      <w:r w:rsidRPr="00EC1298">
        <w:rPr>
          <w:rFonts w:ascii="Book Antiqua" w:hAnsi="Book Antiqua" w:cs="Arial"/>
          <w:color w:val="000000"/>
          <w:lang w:val="en-US"/>
        </w:rPr>
        <w:t xml:space="preserve"> their nation-wide PES </w:t>
      </w:r>
      <w:r w:rsidR="00480D3D">
        <w:rPr>
          <w:rFonts w:ascii="Book Antiqua" w:hAnsi="Book Antiqua" w:cs="Arial"/>
          <w:color w:val="000000"/>
          <w:lang w:val="en-US"/>
        </w:rPr>
        <w:t>programme</w:t>
      </w:r>
      <w:r w:rsidRPr="00EC1298">
        <w:rPr>
          <w:rFonts w:ascii="Book Antiqua" w:hAnsi="Book Antiqua" w:cs="Arial"/>
          <w:color w:val="000000"/>
          <w:lang w:val="en-US"/>
        </w:rPr>
        <w:t xml:space="preserve">s, the </w:t>
      </w:r>
      <w:r w:rsidRPr="0055505A">
        <w:rPr>
          <w:rFonts w:ascii="Book Antiqua" w:hAnsi="Book Antiqua" w:cs="Arial"/>
          <w:color w:val="000000"/>
          <w:lang w:val="en-US"/>
        </w:rPr>
        <w:t>Amazon Fund, and the Sustainable Amazonas Foundation.</w:t>
      </w:r>
      <w:r w:rsidR="00CB7E26" w:rsidRPr="0055505A">
        <w:rPr>
          <w:rFonts w:ascii="Book Antiqua" w:hAnsi="Book Antiqua" w:cs="Arial"/>
          <w:color w:val="000000"/>
          <w:lang w:val="en-US"/>
        </w:rPr>
        <w:t xml:space="preserve">  </w:t>
      </w:r>
      <w:r w:rsidR="00CB7E26" w:rsidRPr="0055505A">
        <w:rPr>
          <w:rFonts w:ascii="Book Antiqua" w:hAnsi="Book Antiqua" w:cs="MyriadPro-BoldCond"/>
          <w:bCs/>
          <w:color w:val="000000"/>
          <w:lang w:val="en-US"/>
        </w:rPr>
        <w:t xml:space="preserve">Conservation trust funds may serve as a useful model for </w:t>
      </w:r>
      <w:r w:rsidR="001B6D90" w:rsidRPr="0055505A">
        <w:rPr>
          <w:rFonts w:ascii="Book Antiqua" w:hAnsi="Book Antiqua" w:cs="MyriadPro-BoldCond"/>
          <w:bCs/>
          <w:color w:val="000000"/>
          <w:lang w:val="en-US"/>
        </w:rPr>
        <w:t>REDD+</w:t>
      </w:r>
      <w:r w:rsidR="00CB7E26" w:rsidRPr="0055505A">
        <w:rPr>
          <w:rFonts w:ascii="Book Antiqua" w:hAnsi="Book Antiqua" w:cs="MyriadPro-BoldCond"/>
          <w:bCs/>
          <w:color w:val="000000"/>
          <w:lang w:val="en-US"/>
        </w:rPr>
        <w:t xml:space="preserve"> national financing (Spergel and Wells, 2009).  More than 50 such funds have been established worldwide during the last 20 years, especially in </w:t>
      </w:r>
      <w:smartTag w:uri="urn:schemas-microsoft-com:office:smarttags" w:element="place">
        <w:r w:rsidR="00CB7E26" w:rsidRPr="0055505A">
          <w:rPr>
            <w:rFonts w:ascii="Book Antiqua" w:hAnsi="Book Antiqua" w:cs="MyriadPro-BoldCond"/>
            <w:bCs/>
            <w:color w:val="000000"/>
            <w:lang w:val="en-US"/>
          </w:rPr>
          <w:t>Latin America</w:t>
        </w:r>
      </w:smartTag>
      <w:r w:rsidR="00CB7E26" w:rsidRPr="0055505A">
        <w:rPr>
          <w:rFonts w:ascii="Book Antiqua" w:hAnsi="Book Antiqua" w:cs="MyriadPro-BoldCond"/>
          <w:bCs/>
          <w:color w:val="000000"/>
          <w:lang w:val="en-US"/>
        </w:rPr>
        <w:t>, and of these, one of the most successful is considered</w:t>
      </w:r>
      <w:r w:rsidR="00CB7E26" w:rsidRPr="00EC1298">
        <w:rPr>
          <w:rFonts w:ascii="Book Antiqua" w:hAnsi="Book Antiqua" w:cs="MyriadPro-BoldCond"/>
          <w:bCs/>
          <w:color w:val="000000"/>
          <w:lang w:val="en-US"/>
        </w:rPr>
        <w:t xml:space="preserve"> to be the </w:t>
      </w:r>
      <w:r w:rsidR="00CB7E26" w:rsidRPr="00EC1298">
        <w:rPr>
          <w:rFonts w:ascii="Book Antiqua" w:hAnsi="Book Antiqua" w:cs="AGaramondPro-Regular"/>
          <w:lang w:val="en-US"/>
        </w:rPr>
        <w:t>Mexican Nature Conservation Fund</w:t>
      </w:r>
      <w:r w:rsidR="00B67A54" w:rsidRPr="00EC1298">
        <w:rPr>
          <w:rFonts w:ascii="Book Antiqua" w:hAnsi="Book Antiqua" w:cs="AGaramondPro-Regular"/>
          <w:lang w:val="en-US"/>
        </w:rPr>
        <w:t xml:space="preserve">, which </w:t>
      </w:r>
      <w:r w:rsidR="00CB7E26" w:rsidRPr="00EC1298">
        <w:rPr>
          <w:rFonts w:ascii="Book Antiqua" w:hAnsi="Book Antiqua" w:cs="AGaramondPro-Regular"/>
          <w:lang w:val="en-US"/>
        </w:rPr>
        <w:t xml:space="preserve">allocates funds to each protected area based on performance against goals and work plans </w:t>
      </w:r>
      <w:r w:rsidR="00CB7E26" w:rsidRPr="00EC1298">
        <w:rPr>
          <w:rFonts w:ascii="Book Antiqua" w:hAnsi="Book Antiqua" w:cs="MyriadPro-BoldCond"/>
          <w:bCs/>
          <w:color w:val="000000"/>
          <w:lang w:val="en-US"/>
        </w:rPr>
        <w:t>(Spergel and Wells, 2009).</w:t>
      </w:r>
    </w:p>
    <w:p w:rsidR="00351F2C" w:rsidRPr="00EC1298" w:rsidRDefault="00351F2C" w:rsidP="007C38DB">
      <w:pPr>
        <w:spacing w:after="0" w:line="300" w:lineRule="exact"/>
        <w:jc w:val="both"/>
        <w:rPr>
          <w:rFonts w:ascii="Book Antiqua" w:hAnsi="Book Antiqua" w:cs="Arial"/>
          <w:lang w:val="en-US"/>
        </w:rPr>
      </w:pPr>
    </w:p>
    <w:p w:rsidR="00351F2C" w:rsidRPr="00EC1298" w:rsidRDefault="00351F2C" w:rsidP="007C38DB">
      <w:pPr>
        <w:spacing w:after="0" w:line="300" w:lineRule="exact"/>
        <w:jc w:val="both"/>
        <w:rPr>
          <w:rFonts w:ascii="Book Antiqua" w:hAnsi="Book Antiqua" w:cs="Arial"/>
          <w:lang w:val="en-US"/>
        </w:rPr>
      </w:pPr>
      <w:smartTag w:uri="urn:schemas-microsoft-com:office:smarttags" w:element="country-region">
        <w:smartTag w:uri="urn:schemas-microsoft-com:office:smarttags" w:element="place">
          <w:r w:rsidRPr="00EC1298">
            <w:rPr>
              <w:rFonts w:ascii="Book Antiqua" w:hAnsi="Book Antiqua" w:cs="Arial"/>
              <w:lang w:val="en-US"/>
            </w:rPr>
            <w:t>Mexico</w:t>
          </w:r>
        </w:smartTag>
      </w:smartTag>
      <w:r w:rsidRPr="00EC1298">
        <w:rPr>
          <w:rFonts w:ascii="Book Antiqua" w:hAnsi="Book Antiqua" w:cs="Arial"/>
          <w:lang w:val="en-US"/>
        </w:rPr>
        <w:t xml:space="preserve"> </w:t>
      </w:r>
      <w:r w:rsidR="00CB7E26" w:rsidRPr="00EC1298">
        <w:rPr>
          <w:rFonts w:ascii="Book Antiqua" w:hAnsi="Book Antiqua" w:cs="Arial"/>
          <w:lang w:val="en-US"/>
        </w:rPr>
        <w:t xml:space="preserve">also </w:t>
      </w:r>
      <w:r w:rsidRPr="00EC1298">
        <w:rPr>
          <w:rFonts w:ascii="Book Antiqua" w:hAnsi="Book Antiqua" w:cs="Arial"/>
          <w:lang w:val="en-US"/>
        </w:rPr>
        <w:t xml:space="preserve">established </w:t>
      </w:r>
      <w:r w:rsidR="00CB7E26" w:rsidRPr="00EC1298">
        <w:rPr>
          <w:rFonts w:ascii="Book Antiqua" w:hAnsi="Book Antiqua" w:cs="Arial"/>
          <w:lang w:val="en-US"/>
        </w:rPr>
        <w:t>a</w:t>
      </w:r>
      <w:r w:rsidRPr="00EC1298">
        <w:rPr>
          <w:rFonts w:ascii="Book Antiqua" w:hAnsi="Book Antiqua" w:cs="Arial"/>
          <w:lang w:val="en-US"/>
        </w:rPr>
        <w:t xml:space="preserve"> Payment for Environmental Hydrological Services </w:t>
      </w:r>
      <w:r w:rsidR="00480D3D">
        <w:rPr>
          <w:rFonts w:ascii="Book Antiqua" w:hAnsi="Book Antiqua" w:cs="Arial"/>
          <w:lang w:val="en-US"/>
        </w:rPr>
        <w:t>programme</w:t>
      </w:r>
      <w:r w:rsidRPr="00EC1298">
        <w:rPr>
          <w:rFonts w:ascii="Book Antiqua" w:hAnsi="Book Antiqua" w:cs="Arial"/>
          <w:lang w:val="en-US"/>
        </w:rPr>
        <w:t xml:space="preserve"> in connection with the Mexican Forestry Fund.  Funding for PEHS originally came exclusively from a fee charged to federal water users, in effect earmarking a fixed annual allocation from the federal budget.  Later on, the budgetary allocation was supplemented by a loan from the </w:t>
      </w:r>
      <w:r w:rsidR="00D7117B">
        <w:rPr>
          <w:rFonts w:ascii="Book Antiqua" w:hAnsi="Book Antiqua" w:cs="Arial"/>
          <w:lang w:val="en-US"/>
        </w:rPr>
        <w:t>WB</w:t>
      </w:r>
      <w:r w:rsidRPr="00EC1298">
        <w:rPr>
          <w:rFonts w:ascii="Book Antiqua" w:hAnsi="Book Antiqua" w:cs="Arial"/>
          <w:lang w:val="en-US"/>
        </w:rPr>
        <w:t xml:space="preserve"> and a grant from GEF.  Neither the PEHS </w:t>
      </w:r>
      <w:r w:rsidR="00480D3D">
        <w:rPr>
          <w:rFonts w:ascii="Book Antiqua" w:hAnsi="Book Antiqua" w:cs="Arial"/>
          <w:lang w:val="en-US"/>
        </w:rPr>
        <w:t>programme</w:t>
      </w:r>
      <w:r w:rsidRPr="00EC1298">
        <w:rPr>
          <w:rFonts w:ascii="Book Antiqua" w:hAnsi="Book Antiqua" w:cs="Arial"/>
          <w:lang w:val="en-US"/>
        </w:rPr>
        <w:t xml:space="preserve"> nor the Fund have their own operational structures but operate through the National Forestry Commission, which has offices at the national and regional levels.  Most recently, the </w:t>
      </w:r>
      <w:r w:rsidR="00480D3D">
        <w:rPr>
          <w:rFonts w:ascii="Book Antiqua" w:hAnsi="Book Antiqua" w:cs="Arial"/>
          <w:lang w:val="en-US"/>
        </w:rPr>
        <w:t>programme</w:t>
      </w:r>
      <w:r w:rsidRPr="00EC1298">
        <w:rPr>
          <w:rFonts w:ascii="Book Antiqua" w:hAnsi="Book Antiqua" w:cs="Arial"/>
          <w:lang w:val="en-US"/>
        </w:rPr>
        <w:t xml:space="preserve"> has incorporated additional entities at the local level as intermediaries between service users and service providers (Karousakis 2007: 24-25, 29).</w:t>
      </w:r>
    </w:p>
    <w:p w:rsidR="00351F2C" w:rsidRPr="00EC1298" w:rsidRDefault="00351F2C" w:rsidP="007C38DB">
      <w:pPr>
        <w:spacing w:after="0" w:line="300" w:lineRule="exact"/>
        <w:jc w:val="both"/>
        <w:rPr>
          <w:rFonts w:ascii="Book Antiqua" w:hAnsi="Book Antiqua" w:cs="Arial"/>
          <w:lang w:val="en-US"/>
        </w:rPr>
      </w:pPr>
    </w:p>
    <w:p w:rsidR="00CB7E26" w:rsidRPr="00EC1298" w:rsidRDefault="00CB7E26" w:rsidP="007C38DB">
      <w:pPr>
        <w:spacing w:after="0" w:line="300" w:lineRule="exact"/>
        <w:jc w:val="both"/>
        <w:rPr>
          <w:rFonts w:ascii="Book Antiqua" w:hAnsi="Book Antiqua" w:cs="Arial"/>
          <w:lang w:val="en-US"/>
        </w:rPr>
      </w:pPr>
      <w:smartTag w:uri="urn:schemas-microsoft-com:office:smarttags" w:element="country-region">
        <w:smartTag w:uri="urn:schemas-microsoft-com:office:smarttags" w:element="place">
          <w:r w:rsidRPr="00EC1298">
            <w:rPr>
              <w:rFonts w:ascii="Book Antiqua" w:hAnsi="Book Antiqua" w:cs="Arial"/>
              <w:lang w:val="en-US"/>
            </w:rPr>
            <w:t>Costa Rica</w:t>
          </w:r>
        </w:smartTag>
      </w:smartTag>
      <w:r w:rsidRPr="00EC1298">
        <w:rPr>
          <w:rFonts w:ascii="Book Antiqua" w:hAnsi="Book Antiqua" w:cs="Arial"/>
          <w:lang w:val="en-US"/>
        </w:rPr>
        <w:t xml:space="preserve"> introduced a nation-wide PES scheme in 1997.  The major financial mechanism at the national level is the National Forestry Financing Fund (FONAFIFO), which was set up to guarantee the scheme’s financial sustainability.  The Fund has received contributions from the ordinary government budget, international donors, and the private sector.  The contributions from the government budget derive from a fuel tax on the consumption of crude-oil derivatives and a conservation fee included in the water tariff.  The </w:t>
      </w:r>
      <w:r w:rsidR="00D7117B">
        <w:rPr>
          <w:rFonts w:ascii="Book Antiqua" w:hAnsi="Book Antiqua" w:cs="Arial"/>
          <w:lang w:val="en-US"/>
        </w:rPr>
        <w:t>WB</w:t>
      </w:r>
      <w:r w:rsidRPr="00EC1298">
        <w:rPr>
          <w:rFonts w:ascii="Book Antiqua" w:hAnsi="Book Antiqua" w:cs="Arial"/>
          <w:lang w:val="en-US"/>
        </w:rPr>
        <w:t xml:space="preserve"> and KfW contribute </w:t>
      </w:r>
      <w:r w:rsidR="00F82223">
        <w:rPr>
          <w:rFonts w:ascii="Book Antiqua" w:hAnsi="Book Antiqua" w:cs="Arial"/>
          <w:lang w:val="en-US"/>
        </w:rPr>
        <w:t xml:space="preserve">to </w:t>
      </w:r>
      <w:r w:rsidRPr="00EC1298">
        <w:rPr>
          <w:rFonts w:ascii="Book Antiqua" w:hAnsi="Book Antiqua" w:cs="Arial"/>
          <w:lang w:val="en-US"/>
        </w:rPr>
        <w:t>both grants and a loan.  The private sector purchases ‘environmental service certificates’ on a voluntary basis, in addition to direct agreements between FONAFIFO and primarily hydroelectric companies and agribusiness.  FONAFIFO holds solely responsibility for the operation of the PES scheme, running offices at the national and regional levels.  It is overseen by a governing board composed of three central government officials and two private sector representatives (Karousakis 2007).</w:t>
      </w:r>
    </w:p>
    <w:p w:rsidR="00CB7E26" w:rsidRPr="00EC1298" w:rsidRDefault="00CB7E26" w:rsidP="007C38DB">
      <w:pPr>
        <w:spacing w:after="0" w:line="300" w:lineRule="exact"/>
        <w:jc w:val="both"/>
        <w:rPr>
          <w:rFonts w:ascii="Book Antiqua" w:hAnsi="Book Antiqua" w:cs="Arial"/>
          <w:lang w:val="en-US"/>
        </w:rPr>
      </w:pPr>
    </w:p>
    <w:p w:rsidR="00351F2C" w:rsidRPr="00EC1298" w:rsidRDefault="00351F2C" w:rsidP="007C38DB">
      <w:pPr>
        <w:spacing w:after="0" w:line="300" w:lineRule="exact"/>
        <w:jc w:val="both"/>
        <w:rPr>
          <w:rFonts w:ascii="Book Antiqua" w:hAnsi="Book Antiqua" w:cs="Arial"/>
          <w:lang w:val="en-US"/>
        </w:rPr>
      </w:pPr>
      <w:smartTag w:uri="urn:schemas-microsoft-com:office:smarttags" w:element="country-region">
        <w:smartTag w:uri="urn:schemas-microsoft-com:office:smarttags" w:element="place">
          <w:r w:rsidRPr="00EC1298">
            <w:rPr>
              <w:rFonts w:ascii="Book Antiqua" w:hAnsi="Book Antiqua" w:cs="Arial"/>
              <w:lang w:val="en-US"/>
            </w:rPr>
            <w:t>Brazil</w:t>
          </w:r>
        </w:smartTag>
      </w:smartTag>
      <w:r w:rsidRPr="00EC1298">
        <w:rPr>
          <w:rFonts w:ascii="Book Antiqua" w:hAnsi="Book Antiqua" w:cs="Arial"/>
          <w:lang w:val="en-US"/>
        </w:rPr>
        <w:t xml:space="preserve"> established the Amazon Fund in 2008 as a mechanism to receive funds from developed countries and the private sector for forest protection in the Amazon.  Most recently, it has signed an agreement with </w:t>
      </w:r>
      <w:smartTag w:uri="urn:schemas-microsoft-com:office:smarttags" w:element="country-region">
        <w:smartTag w:uri="urn:schemas-microsoft-com:office:smarttags" w:element="place">
          <w:r w:rsidRPr="00EC1298">
            <w:rPr>
              <w:rFonts w:ascii="Book Antiqua" w:hAnsi="Book Antiqua" w:cs="Arial"/>
              <w:lang w:val="en-US"/>
            </w:rPr>
            <w:t>Norway</w:t>
          </w:r>
        </w:smartTag>
      </w:smartTag>
      <w:r w:rsidRPr="00EC1298">
        <w:rPr>
          <w:rFonts w:ascii="Book Antiqua" w:hAnsi="Book Antiqua" w:cs="Arial"/>
          <w:lang w:val="en-US"/>
        </w:rPr>
        <w:t xml:space="preserve"> to provide around US$100 million a year, or up to US$ 1 billion until 2015.  The National Bank for Economic and Social Development (BNDES), a large bank that disbursed some US$ 40 billion in 2008, manages the funds.  The Amazon Fund Guidance Committee exercises limited oversight of the Fund and includes representatives from the Brazilian Development Bank, national ministries, local governments, indigenous peoples, civil society organizations, industry, and farmers (Covington and Baker McKenzie 2009: 51).</w:t>
      </w:r>
    </w:p>
    <w:p w:rsidR="00351F2C" w:rsidRPr="00EC1298" w:rsidRDefault="00351F2C" w:rsidP="007C38DB">
      <w:pPr>
        <w:spacing w:after="0" w:line="300" w:lineRule="exact"/>
        <w:jc w:val="both"/>
        <w:rPr>
          <w:rFonts w:ascii="Book Antiqua" w:hAnsi="Book Antiqua" w:cs="Arial"/>
          <w:lang w:val="en-US"/>
        </w:rPr>
      </w:pPr>
    </w:p>
    <w:p w:rsidR="00351F2C" w:rsidRPr="00EC1298" w:rsidRDefault="00351F2C" w:rsidP="007C38DB">
      <w:pPr>
        <w:spacing w:after="0" w:line="300" w:lineRule="exact"/>
        <w:jc w:val="both"/>
        <w:rPr>
          <w:rFonts w:ascii="Book Antiqua" w:hAnsi="Book Antiqua" w:cs="Arial"/>
          <w:lang w:val="en-US"/>
        </w:rPr>
      </w:pPr>
      <w:r w:rsidRPr="00EC1298">
        <w:rPr>
          <w:rFonts w:ascii="Book Antiqua" w:hAnsi="Book Antiqua" w:cs="Arial"/>
          <w:lang w:val="en-US"/>
        </w:rPr>
        <w:lastRenderedPageBreak/>
        <w:t xml:space="preserve">The State of </w:t>
      </w:r>
      <w:smartTag w:uri="urn:schemas-microsoft-com:office:smarttags" w:element="State">
        <w:smartTag w:uri="urn:schemas-microsoft-com:office:smarttags" w:element="place">
          <w:r w:rsidRPr="00EC1298">
            <w:rPr>
              <w:rFonts w:ascii="Book Antiqua" w:hAnsi="Book Antiqua" w:cs="Arial"/>
              <w:lang w:val="en-US"/>
            </w:rPr>
            <w:t>Amazonas</w:t>
          </w:r>
        </w:smartTag>
      </w:smartTag>
      <w:r w:rsidRPr="00EC1298">
        <w:rPr>
          <w:rFonts w:ascii="Book Antiqua" w:hAnsi="Book Antiqua" w:cs="Arial"/>
          <w:lang w:val="en-US"/>
        </w:rPr>
        <w:t xml:space="preserve"> has set up the Sustainable Amazonas Foundation in 2007.  Its mandate is to finance the provision of environmental services from state-managed protected areas.  It operates the Bolsa Floresta </w:t>
      </w:r>
      <w:r w:rsidR="00480D3D">
        <w:rPr>
          <w:rFonts w:ascii="Book Antiqua" w:hAnsi="Book Antiqua" w:cs="Arial"/>
          <w:lang w:val="en-US"/>
        </w:rPr>
        <w:t>programme</w:t>
      </w:r>
      <w:r w:rsidRPr="00EC1298">
        <w:rPr>
          <w:rFonts w:ascii="Book Antiqua" w:hAnsi="Book Antiqua" w:cs="Arial"/>
          <w:lang w:val="en-US"/>
        </w:rPr>
        <w:t xml:space="preserve">, which is currently its primary task.  Its structure includes a Scientific Committee, a Monitoring Group and Working Groups, in which more than twenty government and non-governmental institutions participate (Viana 2008).  The State government currently explores the possibility that the Foundation will hold credits for carbon conservation and other environmental services originating from state-managed protected areas in the future.  It will sell those on behalf of the State of </w:t>
      </w:r>
      <w:smartTag w:uri="urn:schemas-microsoft-com:office:smarttags" w:element="State">
        <w:smartTag w:uri="urn:schemas-microsoft-com:office:smarttags" w:element="place">
          <w:r w:rsidRPr="00EC1298">
            <w:rPr>
              <w:rFonts w:ascii="Book Antiqua" w:hAnsi="Book Antiqua" w:cs="Arial"/>
              <w:lang w:val="en-US"/>
            </w:rPr>
            <w:t>Amazonas</w:t>
          </w:r>
        </w:smartTag>
      </w:smartTag>
      <w:r w:rsidRPr="00EC1298">
        <w:rPr>
          <w:rFonts w:ascii="Book Antiqua" w:hAnsi="Book Antiqua" w:cs="Arial"/>
          <w:lang w:val="en-US"/>
        </w:rPr>
        <w:t xml:space="preserve"> to carbon investors and reinvest the financial receipts into the management of protected areas.  It will be overseen by an Executive Body reporting to the state government (Secretariat for Environment and Sustainable Development 2009).</w:t>
      </w:r>
    </w:p>
    <w:p w:rsidR="00351F2C" w:rsidRPr="00445F77" w:rsidRDefault="00351F2C" w:rsidP="007C38DB">
      <w:pPr>
        <w:pStyle w:val="Heading3"/>
        <w:spacing w:before="0" w:after="0" w:line="300" w:lineRule="exact"/>
        <w:rPr>
          <w:rFonts w:ascii="Arial" w:hAnsi="Arial" w:cs="Arial"/>
          <w:lang w:val="en-US"/>
        </w:rPr>
      </w:pPr>
      <w:bookmarkStart w:id="195" w:name="_Toc243929947"/>
      <w:bookmarkStart w:id="196" w:name="_Toc243984130"/>
      <w:bookmarkStart w:id="197" w:name="_Toc244327656"/>
      <w:bookmarkStart w:id="198" w:name="_Toc244327905"/>
    </w:p>
    <w:p w:rsidR="00351F2C" w:rsidRPr="00445F77" w:rsidRDefault="00351F2C" w:rsidP="00B90816">
      <w:pPr>
        <w:pStyle w:val="Heading3"/>
        <w:spacing w:before="0" w:after="0"/>
        <w:rPr>
          <w:rFonts w:ascii="Arial" w:hAnsi="Arial" w:cs="Arial"/>
          <w:lang w:val="en-US"/>
        </w:rPr>
      </w:pPr>
      <w:bookmarkStart w:id="199" w:name="_Toc244586170"/>
      <w:bookmarkStart w:id="200" w:name="_Toc249079538"/>
      <w:r w:rsidRPr="00445F77">
        <w:rPr>
          <w:rFonts w:ascii="Arial" w:hAnsi="Arial" w:cs="Arial"/>
          <w:lang w:val="en-US"/>
        </w:rPr>
        <w:t>Decentralized mechanism with national ‘tax’</w:t>
      </w:r>
      <w:bookmarkEnd w:id="195"/>
      <w:bookmarkEnd w:id="196"/>
      <w:bookmarkEnd w:id="197"/>
      <w:bookmarkEnd w:id="198"/>
      <w:bookmarkEnd w:id="199"/>
      <w:bookmarkEnd w:id="200"/>
    </w:p>
    <w:p w:rsidR="00351F2C" w:rsidRPr="00EC1298" w:rsidRDefault="00351F2C" w:rsidP="00B90816">
      <w:pPr>
        <w:spacing w:after="0"/>
        <w:jc w:val="both"/>
        <w:rPr>
          <w:rFonts w:ascii="Book Antiqua" w:hAnsi="Book Antiqua" w:cs="Arial"/>
          <w:lang w:val="en-US"/>
        </w:rPr>
      </w:pPr>
      <w:r w:rsidRPr="00EC1298">
        <w:rPr>
          <w:rFonts w:ascii="Book Antiqua" w:hAnsi="Book Antiqua" w:cs="Arial"/>
          <w:lang w:val="en-US"/>
        </w:rPr>
        <w:t>A BDS may also take a more decentralized structure and limit the financial involvement of central governments to a tax levy on transactions made between sub-national and international entities.  Such a BDS grants sub-national units significant autonomy and assigns more of a regulatory role to the central government.  It may seek to coordinate the dealings of sub-national units, demand compliance with certain standards, or approve project proposals but does not require that all funding is channeled through the central government.  Sub-national governments may actively participate in the development of projects through contracts with international entities, charge a fee on projects falling under the jurisdiction, or not get involved with the projects at all.</w:t>
      </w:r>
    </w:p>
    <w:p w:rsidR="00351F2C" w:rsidRPr="00EC1298" w:rsidRDefault="00351F2C" w:rsidP="00C724C9">
      <w:pPr>
        <w:spacing w:after="0"/>
        <w:jc w:val="both"/>
        <w:rPr>
          <w:rFonts w:ascii="Book Antiqua" w:hAnsi="Book Antiqua" w:cs="Arial"/>
          <w:lang w:val="en-US"/>
        </w:rPr>
      </w:pPr>
    </w:p>
    <w:p w:rsidR="00351F2C" w:rsidRPr="00EC1298" w:rsidRDefault="00351F2C" w:rsidP="00C724C9">
      <w:pPr>
        <w:spacing w:after="0"/>
        <w:jc w:val="both"/>
        <w:rPr>
          <w:rFonts w:ascii="Book Antiqua" w:hAnsi="Book Antiqua" w:cs="Arial"/>
          <w:lang w:val="en-US"/>
        </w:rPr>
      </w:pPr>
      <w:r w:rsidRPr="00EC1298">
        <w:rPr>
          <w:rFonts w:ascii="Book Antiqua" w:hAnsi="Book Antiqua" w:cs="Arial"/>
          <w:lang w:val="en-US"/>
        </w:rPr>
        <w:t xml:space="preserve">Indonesia’s emerging </w:t>
      </w:r>
      <w:r w:rsidR="004C7E6C">
        <w:rPr>
          <w:rFonts w:ascii="Book Antiqua" w:hAnsi="Book Antiqua" w:cs="Arial"/>
          <w:lang w:val="en-US"/>
        </w:rPr>
        <w:t>carbon conservation</w:t>
      </w:r>
      <w:r w:rsidRPr="00EC1298">
        <w:rPr>
          <w:rFonts w:ascii="Book Antiqua" w:hAnsi="Book Antiqua" w:cs="Arial"/>
          <w:lang w:val="en-US"/>
        </w:rPr>
        <w:t xml:space="preserve"> architecture, comprising elements of national legal regime for the implementation of </w:t>
      </w:r>
      <w:r w:rsidR="00AC12C1">
        <w:rPr>
          <w:rFonts w:ascii="Book Antiqua" w:hAnsi="Book Antiqua" w:cs="Arial"/>
          <w:lang w:val="en-US"/>
        </w:rPr>
        <w:t>carbon conservation</w:t>
      </w:r>
      <w:r w:rsidRPr="00EC1298">
        <w:rPr>
          <w:rFonts w:ascii="Book Antiqua" w:hAnsi="Book Antiqua" w:cs="Arial"/>
          <w:lang w:val="en-US"/>
        </w:rPr>
        <w:t xml:space="preserve"> projects promulgated by the Ministry of Forestry, illustrates how such a decentralized finance mechanism may look.  The legislation currently being put in place foresees that domestic entities can directly deal with international entities.  Proposals for </w:t>
      </w:r>
      <w:r w:rsidR="007C38DB">
        <w:rPr>
          <w:rFonts w:ascii="Book Antiqua" w:hAnsi="Book Antiqua" w:cs="Arial"/>
          <w:lang w:val="en-US"/>
        </w:rPr>
        <w:t>carbon conservation</w:t>
      </w:r>
      <w:r w:rsidRPr="00EC1298">
        <w:rPr>
          <w:rFonts w:ascii="Book Antiqua" w:hAnsi="Book Antiqua" w:cs="Arial"/>
          <w:lang w:val="en-US"/>
        </w:rPr>
        <w:t xml:space="preserve"> projects </w:t>
      </w:r>
      <w:r w:rsidR="007C38DB">
        <w:rPr>
          <w:rFonts w:ascii="Book Antiqua" w:hAnsi="Book Antiqua" w:cs="Arial"/>
          <w:lang w:val="en-US"/>
        </w:rPr>
        <w:t xml:space="preserve">targeting the voluntary market </w:t>
      </w:r>
      <w:r w:rsidRPr="00EC1298">
        <w:rPr>
          <w:rFonts w:ascii="Book Antiqua" w:hAnsi="Book Antiqua" w:cs="Arial"/>
          <w:lang w:val="en-US"/>
        </w:rPr>
        <w:t xml:space="preserve">need to be submitted to the Ministry of Forestry for </w:t>
      </w:r>
      <w:r w:rsidR="00F82223">
        <w:rPr>
          <w:rFonts w:ascii="Book Antiqua" w:hAnsi="Book Antiqua" w:cs="Arial"/>
          <w:lang w:val="en-US"/>
        </w:rPr>
        <w:t>a</w:t>
      </w:r>
      <w:r w:rsidRPr="00EC1298">
        <w:rPr>
          <w:rFonts w:ascii="Book Antiqua" w:hAnsi="Book Antiqua" w:cs="Arial"/>
          <w:lang w:val="en-US"/>
        </w:rPr>
        <w:t xml:space="preserve">pproval.  They need to include at least a national entity and an international entity.  The national entity is either the holder of an ‘environmental services concession’ from the central government or, where concessions do not apply, the entity designated in </w:t>
      </w:r>
      <w:r w:rsidR="007C38DB">
        <w:rPr>
          <w:rFonts w:ascii="Book Antiqua" w:hAnsi="Book Antiqua" w:cs="Arial"/>
          <w:lang w:val="en-US"/>
        </w:rPr>
        <w:t>the</w:t>
      </w:r>
      <w:r w:rsidRPr="00EC1298">
        <w:rPr>
          <w:rFonts w:ascii="Book Antiqua" w:hAnsi="Book Antiqua" w:cs="Arial"/>
          <w:lang w:val="en-US"/>
        </w:rPr>
        <w:t xml:space="preserve"> regulations.  The international entity may be a foreign government, private company, international organization, or individual.  In this way, the regulation explicitly acknowledges that funding for Indonesian </w:t>
      </w:r>
      <w:r w:rsidR="00896FCD">
        <w:rPr>
          <w:rFonts w:ascii="Book Antiqua" w:hAnsi="Book Antiqua" w:cs="Arial"/>
          <w:lang w:val="en-US"/>
        </w:rPr>
        <w:t>carbon conservation</w:t>
      </w:r>
      <w:r w:rsidRPr="00EC1298">
        <w:rPr>
          <w:rFonts w:ascii="Book Antiqua" w:hAnsi="Book Antiqua" w:cs="Arial"/>
          <w:lang w:val="en-US"/>
        </w:rPr>
        <w:t xml:space="preserve"> projects will come directly from foreign sources (</w:t>
      </w:r>
      <w:smartTag w:uri="urn:schemas-microsoft-com:office:smarttags" w:element="City">
        <w:smartTag w:uri="urn:schemas-microsoft-com:office:smarttags" w:element="place">
          <w:r w:rsidRPr="00EC1298">
            <w:rPr>
              <w:rFonts w:ascii="Book Antiqua" w:hAnsi="Book Antiqua" w:cs="Arial"/>
              <w:lang w:val="en-US"/>
            </w:rPr>
            <w:t>Covington</w:t>
          </w:r>
        </w:smartTag>
      </w:smartTag>
      <w:r w:rsidRPr="00EC1298">
        <w:rPr>
          <w:rFonts w:ascii="Book Antiqua" w:hAnsi="Book Antiqua" w:cs="Arial"/>
          <w:lang w:val="en-US"/>
        </w:rPr>
        <w:t xml:space="preserve"> and Baker McKenzie 2009).</w:t>
      </w:r>
    </w:p>
    <w:p w:rsidR="00351F2C" w:rsidRPr="00EC1298" w:rsidRDefault="00351F2C" w:rsidP="00C724C9">
      <w:pPr>
        <w:spacing w:after="0"/>
        <w:jc w:val="both"/>
        <w:rPr>
          <w:rFonts w:ascii="Book Antiqua" w:hAnsi="Book Antiqua" w:cs="Arial"/>
          <w:lang w:val="en-US"/>
        </w:rPr>
      </w:pPr>
    </w:p>
    <w:p w:rsidR="00351F2C" w:rsidRPr="00EC1298" w:rsidRDefault="00351F2C" w:rsidP="00A256CB">
      <w:pPr>
        <w:spacing w:after="0"/>
        <w:jc w:val="both"/>
        <w:rPr>
          <w:rFonts w:ascii="Book Antiqua" w:hAnsi="Book Antiqua" w:cs="Arial"/>
          <w:lang w:val="en-US"/>
        </w:rPr>
      </w:pPr>
      <w:r w:rsidRPr="00EC1298">
        <w:rPr>
          <w:rFonts w:ascii="Book Antiqua" w:hAnsi="Book Antiqua" w:cs="Arial"/>
          <w:lang w:val="en-US"/>
        </w:rPr>
        <w:t xml:space="preserve">Indonesia’s </w:t>
      </w:r>
      <w:r w:rsidR="00AC12C1">
        <w:rPr>
          <w:rFonts w:ascii="Book Antiqua" w:hAnsi="Book Antiqua" w:cs="Arial"/>
          <w:lang w:val="en-US"/>
        </w:rPr>
        <w:t>carbon conservation</w:t>
      </w:r>
      <w:r w:rsidRPr="00EC1298">
        <w:rPr>
          <w:rFonts w:ascii="Book Antiqua" w:hAnsi="Book Antiqua" w:cs="Arial"/>
          <w:lang w:val="en-US"/>
        </w:rPr>
        <w:t xml:space="preserve"> architecture</w:t>
      </w:r>
      <w:r w:rsidR="00AC12C1">
        <w:rPr>
          <w:rFonts w:ascii="Book Antiqua" w:hAnsi="Book Antiqua" w:cs="Arial"/>
          <w:lang w:val="en-US"/>
        </w:rPr>
        <w:t xml:space="preserve"> is currently largely focused on voluntary market projects.  For such projects,</w:t>
      </w:r>
      <w:r w:rsidRPr="00EC1298">
        <w:rPr>
          <w:rFonts w:ascii="Book Antiqua" w:hAnsi="Book Antiqua" w:cs="Arial"/>
          <w:lang w:val="en-US"/>
        </w:rPr>
        <w:t xml:space="preserve"> a portion of international </w:t>
      </w:r>
      <w:r w:rsidR="00896FCD">
        <w:rPr>
          <w:rFonts w:ascii="Book Antiqua" w:hAnsi="Book Antiqua" w:cs="Arial"/>
          <w:lang w:val="en-US"/>
        </w:rPr>
        <w:t>carbon conservation</w:t>
      </w:r>
      <w:r w:rsidRPr="00EC1298">
        <w:rPr>
          <w:rFonts w:ascii="Book Antiqua" w:hAnsi="Book Antiqua" w:cs="Arial"/>
          <w:lang w:val="en-US"/>
        </w:rPr>
        <w:t xml:space="preserve"> funds will go to the </w:t>
      </w:r>
      <w:r w:rsidRPr="00AC12C1">
        <w:rPr>
          <w:rFonts w:ascii="Book Antiqua" w:hAnsi="Book Antiqua" w:cs="Arial"/>
          <w:lang w:val="en-US"/>
        </w:rPr>
        <w:t xml:space="preserve">central government in a form of </w:t>
      </w:r>
      <w:r w:rsidR="00896FCD" w:rsidRPr="00AC12C1">
        <w:rPr>
          <w:rFonts w:ascii="Book Antiqua" w:hAnsi="Book Antiqua" w:cs="Arial"/>
          <w:lang w:val="en-US"/>
        </w:rPr>
        <w:t xml:space="preserve">a </w:t>
      </w:r>
      <w:r w:rsidRPr="00AC12C1">
        <w:rPr>
          <w:rFonts w:ascii="Book Antiqua" w:hAnsi="Book Antiqua" w:cs="Arial"/>
          <w:lang w:val="en-US"/>
        </w:rPr>
        <w:t>‘</w:t>
      </w:r>
      <w:r w:rsidR="00896FCD" w:rsidRPr="00AC12C1">
        <w:rPr>
          <w:rFonts w:ascii="Book Antiqua" w:hAnsi="Book Antiqua" w:cs="Arial"/>
          <w:lang w:val="en-US"/>
        </w:rPr>
        <w:t>carbon conservation</w:t>
      </w:r>
      <w:r w:rsidRPr="00AC12C1">
        <w:rPr>
          <w:rFonts w:ascii="Book Antiqua" w:hAnsi="Book Antiqua" w:cs="Arial"/>
          <w:lang w:val="en-US"/>
        </w:rPr>
        <w:t xml:space="preserve"> tax’.  The exact portion depends on the kind of land tenure on which </w:t>
      </w:r>
      <w:r w:rsidR="00896FCD" w:rsidRPr="00AC12C1">
        <w:rPr>
          <w:rFonts w:ascii="Book Antiqua" w:hAnsi="Book Antiqua" w:cs="Arial"/>
          <w:lang w:val="en-US"/>
        </w:rPr>
        <w:t>carbon conservation</w:t>
      </w:r>
      <w:r w:rsidRPr="00AC12C1">
        <w:rPr>
          <w:rFonts w:ascii="Book Antiqua" w:hAnsi="Book Antiqua" w:cs="Arial"/>
          <w:lang w:val="en-US"/>
        </w:rPr>
        <w:t xml:space="preserve"> projects are developed (see </w:t>
      </w:r>
      <w:fldSimple w:instr=" REF _Ref243886438 \h  \* MERGEFORMAT ">
        <w:r w:rsidR="00B4351F" w:rsidRPr="00EC1298">
          <w:rPr>
            <w:rFonts w:ascii="Book Antiqua" w:hAnsi="Book Antiqua" w:cs="Arial"/>
          </w:rPr>
          <w:t>Table</w:t>
        </w:r>
        <w:r w:rsidR="00B4351F" w:rsidRPr="00EC1298">
          <w:rPr>
            <w:rFonts w:ascii="Book Antiqua" w:hAnsi="Book Antiqua" w:cs="Arial"/>
            <w:noProof/>
          </w:rPr>
          <w:t xml:space="preserve"> </w:t>
        </w:r>
        <w:r w:rsidR="00B4351F" w:rsidRPr="00EC1298">
          <w:rPr>
            <w:rFonts w:ascii="Book Antiqua" w:hAnsi="Book Antiqua" w:cs="Arial"/>
          </w:rPr>
          <w:t>4</w:t>
        </w:r>
        <w:r w:rsidR="00B4351F" w:rsidRPr="00EC1298">
          <w:rPr>
            <w:rFonts w:ascii="Book Antiqua" w:hAnsi="Book Antiqua" w:cs="Arial"/>
          </w:rPr>
          <w:noBreakHyphen/>
        </w:r>
      </w:fldSimple>
      <w:r w:rsidR="00AC12C1" w:rsidRPr="00AC12C1">
        <w:rPr>
          <w:rFonts w:ascii="Book Antiqua" w:hAnsi="Book Antiqua"/>
        </w:rPr>
        <w:t>3</w:t>
      </w:r>
      <w:r w:rsidRPr="00AC12C1">
        <w:rPr>
          <w:rFonts w:ascii="Book Antiqua" w:hAnsi="Book Antiqua" w:cs="Arial"/>
          <w:lang w:val="en-US"/>
        </w:rPr>
        <w:t>).  The Indonesian</w:t>
      </w:r>
      <w:r w:rsidRPr="00EC1298">
        <w:rPr>
          <w:rFonts w:ascii="Book Antiqua" w:hAnsi="Book Antiqua" w:cs="Arial"/>
          <w:lang w:val="en-US"/>
        </w:rPr>
        <w:t xml:space="preserve"> government receives only 10% in the case of forest to which local communities hold legal title.  Its share increases to 50% for state-owned protected forest.  The remaining share is divided between local communities and project developers.</w:t>
      </w:r>
    </w:p>
    <w:p w:rsidR="00351F2C" w:rsidRPr="00445F77" w:rsidRDefault="00351F2C" w:rsidP="00A256CB">
      <w:pPr>
        <w:spacing w:after="0"/>
        <w:jc w:val="both"/>
        <w:rPr>
          <w:rFonts w:ascii="Arial" w:hAnsi="Arial" w:cs="Arial"/>
          <w:sz w:val="24"/>
          <w:szCs w:val="24"/>
          <w:lang w:val="en-US"/>
        </w:rPr>
      </w:pPr>
    </w:p>
    <w:p w:rsidR="00351F2C" w:rsidRPr="00EC1298" w:rsidRDefault="00351F2C" w:rsidP="00A256CB">
      <w:pPr>
        <w:pStyle w:val="Caption"/>
        <w:keepNext/>
        <w:spacing w:after="0"/>
        <w:jc w:val="center"/>
        <w:rPr>
          <w:rFonts w:ascii="Book Antiqua" w:hAnsi="Book Antiqua" w:cs="Arial"/>
          <w:sz w:val="22"/>
          <w:szCs w:val="22"/>
          <w:lang w:val="en-US"/>
        </w:rPr>
      </w:pPr>
      <w:bookmarkStart w:id="201" w:name="_Ref243886438"/>
      <w:bookmarkStart w:id="202" w:name="_Ref243886434"/>
      <w:bookmarkStart w:id="203" w:name="_Toc243930082"/>
      <w:r w:rsidRPr="00EC1298">
        <w:rPr>
          <w:rFonts w:ascii="Book Antiqua" w:hAnsi="Book Antiqua" w:cs="Arial"/>
          <w:sz w:val="22"/>
          <w:szCs w:val="22"/>
        </w:rPr>
        <w:t>Table 4</w:t>
      </w:r>
      <w:r w:rsidRPr="00EC1298">
        <w:rPr>
          <w:rFonts w:ascii="Book Antiqua" w:hAnsi="Book Antiqua" w:cs="Arial"/>
          <w:sz w:val="22"/>
          <w:szCs w:val="22"/>
        </w:rPr>
        <w:noBreakHyphen/>
      </w:r>
      <w:bookmarkEnd w:id="201"/>
      <w:r w:rsidRPr="00EC1298">
        <w:rPr>
          <w:rFonts w:ascii="Book Antiqua" w:hAnsi="Book Antiqua" w:cs="Arial"/>
          <w:sz w:val="22"/>
          <w:szCs w:val="22"/>
        </w:rPr>
        <w:t>3</w:t>
      </w:r>
      <w:r w:rsidRPr="00EC1298">
        <w:rPr>
          <w:rFonts w:ascii="Book Antiqua" w:hAnsi="Book Antiqua" w:cs="Arial"/>
          <w:sz w:val="22"/>
          <w:szCs w:val="22"/>
          <w:lang w:val="en-US"/>
        </w:rPr>
        <w:t xml:space="preserve">: The Indonesian </w:t>
      </w:r>
      <w:r w:rsidR="00896FCD">
        <w:rPr>
          <w:rFonts w:ascii="Book Antiqua" w:hAnsi="Book Antiqua" w:cs="Arial"/>
          <w:sz w:val="22"/>
          <w:szCs w:val="22"/>
          <w:lang w:val="en-US"/>
        </w:rPr>
        <w:t>carbon conservation</w:t>
      </w:r>
      <w:r w:rsidRPr="00EC1298">
        <w:rPr>
          <w:rFonts w:ascii="Book Antiqua" w:hAnsi="Book Antiqua" w:cs="Arial"/>
          <w:sz w:val="22"/>
          <w:szCs w:val="22"/>
          <w:lang w:val="en-US"/>
        </w:rPr>
        <w:t xml:space="preserve"> ‘tax’</w:t>
      </w:r>
      <w:bookmarkEnd w:id="202"/>
      <w:bookmarkEnd w:id="203"/>
      <w:r w:rsidR="00896FCD">
        <w:rPr>
          <w:rFonts w:ascii="Book Antiqua" w:hAnsi="Book Antiqua" w:cs="Arial"/>
          <w:sz w:val="22"/>
          <w:szCs w:val="22"/>
          <w:lang w:val="en-US"/>
        </w:rPr>
        <w:t>: breakdown by stakeholder</w:t>
      </w:r>
    </w:p>
    <w:tbl>
      <w:tblPr>
        <w:tblW w:w="0" w:type="auto"/>
        <w:tblInd w:w="108" w:type="dxa"/>
        <w:tblBorders>
          <w:top w:val="single" w:sz="12" w:space="0" w:color="auto"/>
          <w:bottom w:val="single" w:sz="12" w:space="0" w:color="auto"/>
          <w:insideH w:val="single" w:sz="4" w:space="0" w:color="auto"/>
        </w:tblBorders>
        <w:tblLayout w:type="fixed"/>
        <w:tblCellMar>
          <w:left w:w="0" w:type="dxa"/>
          <w:right w:w="0" w:type="dxa"/>
        </w:tblCellMar>
        <w:tblLook w:val="0000"/>
      </w:tblPr>
      <w:tblGrid>
        <w:gridCol w:w="3870"/>
        <w:gridCol w:w="1650"/>
        <w:gridCol w:w="1500"/>
        <w:gridCol w:w="1740"/>
      </w:tblGrid>
      <w:tr w:rsidR="00351F2C" w:rsidRPr="00EC1298">
        <w:trPr>
          <w:trHeight w:val="428"/>
        </w:trPr>
        <w:tc>
          <w:tcPr>
            <w:tcW w:w="3870" w:type="dxa"/>
            <w:tcBorders>
              <w:top w:val="single" w:sz="4" w:space="0" w:color="FFFFFF"/>
              <w:left w:val="single" w:sz="4" w:space="0" w:color="FFFFFF"/>
              <w:bottom w:val="single" w:sz="4" w:space="0" w:color="FFFFFF"/>
              <w:right w:val="single" w:sz="4" w:space="0" w:color="FFFFFF"/>
            </w:tcBorders>
            <w:shd w:val="clear" w:color="auto" w:fill="95B3D7"/>
            <w:tcMar>
              <w:top w:w="0" w:type="dxa"/>
              <w:left w:w="108" w:type="dxa"/>
              <w:bottom w:w="0" w:type="dxa"/>
              <w:right w:w="108" w:type="dxa"/>
            </w:tcMar>
          </w:tcPr>
          <w:p w:rsidR="00351F2C" w:rsidRPr="00EC1298" w:rsidRDefault="00351F2C" w:rsidP="00896FCD">
            <w:pPr>
              <w:pStyle w:val="xdefault"/>
              <w:spacing w:before="0" w:beforeAutospacing="0" w:after="0" w:afterAutospacing="0"/>
              <w:jc w:val="center"/>
              <w:rPr>
                <w:rFonts w:ascii="Book Antiqua" w:hAnsi="Book Antiqua" w:cs="Arial"/>
                <w:b/>
                <w:sz w:val="22"/>
                <w:szCs w:val="22"/>
              </w:rPr>
            </w:pPr>
            <w:r w:rsidRPr="00EC1298">
              <w:rPr>
                <w:rFonts w:ascii="Book Antiqua" w:hAnsi="Book Antiqua" w:cs="Arial"/>
                <w:b/>
                <w:sz w:val="22"/>
                <w:szCs w:val="22"/>
              </w:rPr>
              <w:t>Type of forest permit</w:t>
            </w:r>
          </w:p>
        </w:tc>
        <w:tc>
          <w:tcPr>
            <w:tcW w:w="1650" w:type="dxa"/>
            <w:tcBorders>
              <w:top w:val="single" w:sz="4" w:space="0" w:color="FFFFFF"/>
              <w:left w:val="single" w:sz="4" w:space="0" w:color="FFFFFF"/>
              <w:bottom w:val="single" w:sz="4" w:space="0" w:color="FFFFFF"/>
              <w:right w:val="single" w:sz="4" w:space="0" w:color="FFFFFF"/>
            </w:tcBorders>
            <w:shd w:val="clear" w:color="auto" w:fill="95B3D7"/>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b/>
                <w:sz w:val="22"/>
                <w:szCs w:val="22"/>
              </w:rPr>
            </w:pPr>
            <w:r w:rsidRPr="00EC1298">
              <w:rPr>
                <w:rFonts w:ascii="Book Antiqua" w:hAnsi="Book Antiqua" w:cs="Arial"/>
                <w:b/>
                <w:sz w:val="22"/>
                <w:szCs w:val="22"/>
              </w:rPr>
              <w:t>Government</w:t>
            </w:r>
          </w:p>
        </w:tc>
        <w:tc>
          <w:tcPr>
            <w:tcW w:w="1500" w:type="dxa"/>
            <w:tcBorders>
              <w:top w:val="single" w:sz="4" w:space="0" w:color="FFFFFF"/>
              <w:left w:val="single" w:sz="4" w:space="0" w:color="FFFFFF"/>
              <w:bottom w:val="single" w:sz="4" w:space="0" w:color="FFFFFF"/>
              <w:right w:val="single" w:sz="4" w:space="0" w:color="FFFFFF"/>
            </w:tcBorders>
            <w:shd w:val="clear" w:color="auto" w:fill="95B3D7"/>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b/>
                <w:sz w:val="22"/>
                <w:szCs w:val="22"/>
              </w:rPr>
            </w:pPr>
            <w:r w:rsidRPr="00EC1298">
              <w:rPr>
                <w:rFonts w:ascii="Book Antiqua" w:hAnsi="Book Antiqua" w:cs="Arial"/>
                <w:b/>
                <w:sz w:val="22"/>
                <w:szCs w:val="22"/>
              </w:rPr>
              <w:t>Community</w:t>
            </w:r>
          </w:p>
        </w:tc>
        <w:tc>
          <w:tcPr>
            <w:tcW w:w="1740" w:type="dxa"/>
            <w:tcBorders>
              <w:top w:val="single" w:sz="4" w:space="0" w:color="FFFFFF"/>
              <w:left w:val="single" w:sz="4" w:space="0" w:color="FFFFFF"/>
              <w:bottom w:val="single" w:sz="4" w:space="0" w:color="FFFFFF"/>
              <w:right w:val="single" w:sz="4" w:space="0" w:color="FFFFFF"/>
            </w:tcBorders>
            <w:shd w:val="clear" w:color="auto" w:fill="95B3D7"/>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b/>
                <w:sz w:val="22"/>
                <w:szCs w:val="22"/>
              </w:rPr>
            </w:pPr>
            <w:r w:rsidRPr="00EC1298">
              <w:rPr>
                <w:rFonts w:ascii="Book Antiqua" w:hAnsi="Book Antiqua" w:cs="Arial"/>
                <w:b/>
                <w:sz w:val="22"/>
                <w:szCs w:val="22"/>
              </w:rPr>
              <w:t>Project Developer</w:t>
            </w:r>
          </w:p>
        </w:tc>
      </w:tr>
      <w:tr w:rsidR="00351F2C" w:rsidRPr="00EC1298">
        <w:trPr>
          <w:trHeight w:val="136"/>
        </w:trPr>
        <w:tc>
          <w:tcPr>
            <w:tcW w:w="387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3E3CBA">
            <w:pPr>
              <w:pStyle w:val="xdefault"/>
              <w:numPr>
                <w:ilvl w:val="0"/>
                <w:numId w:val="19"/>
              </w:numPr>
              <w:spacing w:before="0" w:beforeAutospacing="0" w:after="0" w:afterAutospacing="0"/>
              <w:rPr>
                <w:rFonts w:ascii="Book Antiqua" w:hAnsi="Book Antiqua" w:cs="Arial"/>
                <w:sz w:val="20"/>
                <w:szCs w:val="20"/>
              </w:rPr>
            </w:pPr>
            <w:r w:rsidRPr="00EC1298">
              <w:rPr>
                <w:rFonts w:ascii="Book Antiqua" w:hAnsi="Book Antiqua" w:cs="Arial"/>
                <w:sz w:val="20"/>
                <w:szCs w:val="20"/>
              </w:rPr>
              <w:t xml:space="preserve">Permit for utilization of forest timber products in natural forest </w:t>
            </w:r>
          </w:p>
        </w:tc>
        <w:tc>
          <w:tcPr>
            <w:tcW w:w="16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c>
          <w:tcPr>
            <w:tcW w:w="150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c>
          <w:tcPr>
            <w:tcW w:w="174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60%</w:t>
            </w:r>
          </w:p>
        </w:tc>
      </w:tr>
      <w:tr w:rsidR="00351F2C" w:rsidRPr="00EC1298">
        <w:trPr>
          <w:trHeight w:val="136"/>
        </w:trPr>
        <w:tc>
          <w:tcPr>
            <w:tcW w:w="387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3E3CBA">
            <w:pPr>
              <w:pStyle w:val="xdefault"/>
              <w:numPr>
                <w:ilvl w:val="0"/>
                <w:numId w:val="19"/>
              </w:numPr>
              <w:spacing w:before="0" w:beforeAutospacing="0" w:after="0" w:afterAutospacing="0"/>
              <w:rPr>
                <w:rFonts w:ascii="Book Antiqua" w:hAnsi="Book Antiqua" w:cs="Arial"/>
                <w:sz w:val="20"/>
                <w:szCs w:val="20"/>
              </w:rPr>
            </w:pPr>
            <w:r w:rsidRPr="00EC1298">
              <w:rPr>
                <w:rFonts w:ascii="Book Antiqua" w:hAnsi="Book Antiqua" w:cs="Arial"/>
                <w:sz w:val="20"/>
                <w:szCs w:val="20"/>
              </w:rPr>
              <w:t>Permit for utilization of forest timber products in plantation forest</w:t>
            </w:r>
          </w:p>
        </w:tc>
        <w:tc>
          <w:tcPr>
            <w:tcW w:w="16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c>
          <w:tcPr>
            <w:tcW w:w="150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c>
          <w:tcPr>
            <w:tcW w:w="174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60%</w:t>
            </w:r>
          </w:p>
        </w:tc>
      </w:tr>
      <w:tr w:rsidR="00351F2C" w:rsidRPr="00EC1298">
        <w:trPr>
          <w:trHeight w:val="136"/>
        </w:trPr>
        <w:tc>
          <w:tcPr>
            <w:tcW w:w="387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3E3CBA">
            <w:pPr>
              <w:pStyle w:val="xdefault"/>
              <w:numPr>
                <w:ilvl w:val="0"/>
                <w:numId w:val="19"/>
              </w:numPr>
              <w:spacing w:before="0" w:beforeAutospacing="0" w:after="0" w:afterAutospacing="0"/>
              <w:rPr>
                <w:rFonts w:ascii="Book Antiqua" w:hAnsi="Book Antiqua" w:cs="Arial"/>
                <w:sz w:val="20"/>
                <w:szCs w:val="20"/>
              </w:rPr>
            </w:pPr>
            <w:r w:rsidRPr="00EC1298">
              <w:rPr>
                <w:rFonts w:ascii="Book Antiqua" w:hAnsi="Book Antiqua" w:cs="Arial"/>
                <w:sz w:val="20"/>
                <w:szCs w:val="20"/>
              </w:rPr>
              <w:t xml:space="preserve">Permit for utilization of forest timber products: ecosystem restoration </w:t>
            </w:r>
          </w:p>
        </w:tc>
        <w:tc>
          <w:tcPr>
            <w:tcW w:w="16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c>
          <w:tcPr>
            <w:tcW w:w="150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c>
          <w:tcPr>
            <w:tcW w:w="174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60%</w:t>
            </w:r>
          </w:p>
        </w:tc>
      </w:tr>
      <w:tr w:rsidR="00351F2C" w:rsidRPr="00EC1298">
        <w:trPr>
          <w:trHeight w:val="136"/>
        </w:trPr>
        <w:tc>
          <w:tcPr>
            <w:tcW w:w="387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3E3CBA">
            <w:pPr>
              <w:pStyle w:val="xdefault"/>
              <w:numPr>
                <w:ilvl w:val="0"/>
                <w:numId w:val="19"/>
              </w:numPr>
              <w:spacing w:before="0" w:beforeAutospacing="0" w:after="0" w:afterAutospacing="0"/>
              <w:rPr>
                <w:rFonts w:ascii="Book Antiqua" w:hAnsi="Book Antiqua" w:cs="Arial"/>
                <w:sz w:val="20"/>
                <w:szCs w:val="20"/>
              </w:rPr>
            </w:pPr>
            <w:r w:rsidRPr="00EC1298">
              <w:rPr>
                <w:rFonts w:ascii="Book Antiqua" w:hAnsi="Book Antiqua" w:cs="Arial"/>
                <w:sz w:val="20"/>
                <w:szCs w:val="20"/>
              </w:rPr>
              <w:t xml:space="preserve">Permit for utilization of forest timber products in community plantation forests </w:t>
            </w:r>
          </w:p>
        </w:tc>
        <w:tc>
          <w:tcPr>
            <w:tcW w:w="16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c>
          <w:tcPr>
            <w:tcW w:w="150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50%</w:t>
            </w:r>
          </w:p>
        </w:tc>
        <w:tc>
          <w:tcPr>
            <w:tcW w:w="174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30%</w:t>
            </w:r>
          </w:p>
        </w:tc>
      </w:tr>
      <w:tr w:rsidR="00351F2C" w:rsidRPr="00EC1298">
        <w:trPr>
          <w:trHeight w:val="136"/>
        </w:trPr>
        <w:tc>
          <w:tcPr>
            <w:tcW w:w="387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3E3CBA">
            <w:pPr>
              <w:pStyle w:val="xdefault"/>
              <w:numPr>
                <w:ilvl w:val="0"/>
                <w:numId w:val="19"/>
              </w:numPr>
              <w:spacing w:before="0" w:beforeAutospacing="0" w:after="0" w:afterAutospacing="0"/>
              <w:rPr>
                <w:rFonts w:ascii="Book Antiqua" w:hAnsi="Book Antiqua" w:cs="Arial"/>
                <w:sz w:val="20"/>
                <w:szCs w:val="20"/>
              </w:rPr>
            </w:pPr>
            <w:r w:rsidRPr="00EC1298">
              <w:rPr>
                <w:rFonts w:ascii="Book Antiqua" w:hAnsi="Book Antiqua" w:cs="Arial"/>
                <w:sz w:val="20"/>
                <w:szCs w:val="20"/>
              </w:rPr>
              <w:t>Community planted forest</w:t>
            </w:r>
          </w:p>
        </w:tc>
        <w:tc>
          <w:tcPr>
            <w:tcW w:w="16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10%</w:t>
            </w:r>
          </w:p>
        </w:tc>
        <w:tc>
          <w:tcPr>
            <w:tcW w:w="150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70%</w:t>
            </w:r>
          </w:p>
        </w:tc>
        <w:tc>
          <w:tcPr>
            <w:tcW w:w="174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r>
      <w:tr w:rsidR="00351F2C" w:rsidRPr="00EC1298">
        <w:trPr>
          <w:trHeight w:val="136"/>
        </w:trPr>
        <w:tc>
          <w:tcPr>
            <w:tcW w:w="387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3E3CBA">
            <w:pPr>
              <w:pStyle w:val="xdefault"/>
              <w:numPr>
                <w:ilvl w:val="0"/>
                <w:numId w:val="19"/>
              </w:numPr>
              <w:spacing w:before="0" w:beforeAutospacing="0" w:after="0" w:afterAutospacing="0"/>
              <w:rPr>
                <w:rFonts w:ascii="Book Antiqua" w:hAnsi="Book Antiqua" w:cs="Arial"/>
                <w:sz w:val="20"/>
                <w:szCs w:val="20"/>
              </w:rPr>
            </w:pPr>
            <w:r w:rsidRPr="00EC1298">
              <w:rPr>
                <w:rFonts w:ascii="Book Antiqua" w:hAnsi="Book Antiqua" w:cs="Arial"/>
                <w:sz w:val="20"/>
                <w:szCs w:val="20"/>
              </w:rPr>
              <w:t>Community-managed forest</w:t>
            </w:r>
          </w:p>
        </w:tc>
        <w:tc>
          <w:tcPr>
            <w:tcW w:w="16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c>
          <w:tcPr>
            <w:tcW w:w="150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50%</w:t>
            </w:r>
          </w:p>
        </w:tc>
        <w:tc>
          <w:tcPr>
            <w:tcW w:w="174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30%</w:t>
            </w:r>
          </w:p>
        </w:tc>
      </w:tr>
      <w:tr w:rsidR="00351F2C" w:rsidRPr="00EC1298">
        <w:trPr>
          <w:trHeight w:val="136"/>
        </w:trPr>
        <w:tc>
          <w:tcPr>
            <w:tcW w:w="387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3E3CBA">
            <w:pPr>
              <w:pStyle w:val="xdefault"/>
              <w:numPr>
                <w:ilvl w:val="0"/>
                <w:numId w:val="19"/>
              </w:numPr>
              <w:spacing w:before="0" w:beforeAutospacing="0" w:after="0" w:afterAutospacing="0"/>
              <w:rPr>
                <w:rFonts w:ascii="Book Antiqua" w:hAnsi="Book Antiqua" w:cs="Arial"/>
                <w:sz w:val="20"/>
                <w:szCs w:val="20"/>
              </w:rPr>
            </w:pPr>
            <w:r w:rsidRPr="00EC1298">
              <w:rPr>
                <w:rFonts w:ascii="Book Antiqua" w:hAnsi="Book Antiqua" w:cs="Arial"/>
                <w:sz w:val="20"/>
                <w:szCs w:val="20"/>
              </w:rPr>
              <w:t>Customary forest</w:t>
            </w:r>
          </w:p>
        </w:tc>
        <w:tc>
          <w:tcPr>
            <w:tcW w:w="16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10%</w:t>
            </w:r>
          </w:p>
        </w:tc>
        <w:tc>
          <w:tcPr>
            <w:tcW w:w="150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70%</w:t>
            </w:r>
          </w:p>
        </w:tc>
        <w:tc>
          <w:tcPr>
            <w:tcW w:w="174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r>
      <w:tr w:rsidR="00351F2C" w:rsidRPr="00EC1298">
        <w:trPr>
          <w:trHeight w:val="136"/>
        </w:trPr>
        <w:tc>
          <w:tcPr>
            <w:tcW w:w="387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3E3CBA">
            <w:pPr>
              <w:pStyle w:val="xdefault"/>
              <w:numPr>
                <w:ilvl w:val="0"/>
                <w:numId w:val="19"/>
              </w:numPr>
              <w:spacing w:before="0" w:beforeAutospacing="0" w:after="0" w:afterAutospacing="0"/>
              <w:rPr>
                <w:rFonts w:ascii="Book Antiqua" w:hAnsi="Book Antiqua" w:cs="Arial"/>
                <w:sz w:val="20"/>
                <w:szCs w:val="20"/>
              </w:rPr>
            </w:pPr>
            <w:r w:rsidRPr="00EC1298">
              <w:rPr>
                <w:rFonts w:ascii="Book Antiqua" w:hAnsi="Book Antiqua" w:cs="Arial"/>
                <w:sz w:val="20"/>
                <w:szCs w:val="20"/>
              </w:rPr>
              <w:t xml:space="preserve">Village forest </w:t>
            </w:r>
          </w:p>
        </w:tc>
        <w:tc>
          <w:tcPr>
            <w:tcW w:w="16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c>
          <w:tcPr>
            <w:tcW w:w="150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50%</w:t>
            </w:r>
          </w:p>
        </w:tc>
        <w:tc>
          <w:tcPr>
            <w:tcW w:w="174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30%</w:t>
            </w:r>
          </w:p>
        </w:tc>
      </w:tr>
      <w:tr w:rsidR="00351F2C" w:rsidRPr="00EC1298">
        <w:trPr>
          <w:trHeight w:val="136"/>
        </w:trPr>
        <w:tc>
          <w:tcPr>
            <w:tcW w:w="387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3E3CBA">
            <w:pPr>
              <w:pStyle w:val="xdefault"/>
              <w:numPr>
                <w:ilvl w:val="0"/>
                <w:numId w:val="19"/>
              </w:numPr>
              <w:spacing w:before="0" w:beforeAutospacing="0" w:after="0" w:afterAutospacing="0"/>
              <w:rPr>
                <w:rFonts w:ascii="Book Antiqua" w:hAnsi="Book Antiqua" w:cs="Arial"/>
                <w:sz w:val="20"/>
                <w:szCs w:val="20"/>
              </w:rPr>
            </w:pPr>
            <w:r w:rsidRPr="00EC1298">
              <w:rPr>
                <w:rFonts w:ascii="Book Antiqua" w:hAnsi="Book Antiqua" w:cs="Arial"/>
                <w:sz w:val="20"/>
                <w:szCs w:val="20"/>
              </w:rPr>
              <w:t>Production forest management unit</w:t>
            </w:r>
          </w:p>
        </w:tc>
        <w:tc>
          <w:tcPr>
            <w:tcW w:w="16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30%</w:t>
            </w:r>
          </w:p>
        </w:tc>
        <w:tc>
          <w:tcPr>
            <w:tcW w:w="150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c>
          <w:tcPr>
            <w:tcW w:w="174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50%</w:t>
            </w:r>
          </w:p>
        </w:tc>
      </w:tr>
      <w:tr w:rsidR="00351F2C" w:rsidRPr="00EC1298">
        <w:trPr>
          <w:trHeight w:val="136"/>
        </w:trPr>
        <w:tc>
          <w:tcPr>
            <w:tcW w:w="387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3E3CBA">
            <w:pPr>
              <w:pStyle w:val="xdefault"/>
              <w:numPr>
                <w:ilvl w:val="0"/>
                <w:numId w:val="19"/>
              </w:numPr>
              <w:spacing w:before="0" w:beforeAutospacing="0" w:after="0" w:afterAutospacing="0"/>
              <w:rPr>
                <w:rFonts w:ascii="Book Antiqua" w:hAnsi="Book Antiqua" w:cs="Arial"/>
                <w:sz w:val="20"/>
                <w:szCs w:val="20"/>
              </w:rPr>
            </w:pPr>
            <w:r w:rsidRPr="00EC1298">
              <w:rPr>
                <w:rFonts w:ascii="Book Antiqua" w:hAnsi="Book Antiqua" w:cs="Arial"/>
                <w:sz w:val="20"/>
                <w:szCs w:val="20"/>
              </w:rPr>
              <w:t>Forests for special uses (KHDTK)</w:t>
            </w:r>
          </w:p>
        </w:tc>
        <w:tc>
          <w:tcPr>
            <w:tcW w:w="16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50%</w:t>
            </w:r>
          </w:p>
        </w:tc>
        <w:tc>
          <w:tcPr>
            <w:tcW w:w="150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c>
          <w:tcPr>
            <w:tcW w:w="174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30%</w:t>
            </w:r>
          </w:p>
        </w:tc>
      </w:tr>
      <w:tr w:rsidR="00351F2C" w:rsidRPr="00EC1298">
        <w:trPr>
          <w:trHeight w:val="136"/>
        </w:trPr>
        <w:tc>
          <w:tcPr>
            <w:tcW w:w="387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3E3CBA">
            <w:pPr>
              <w:pStyle w:val="xdefault"/>
              <w:numPr>
                <w:ilvl w:val="0"/>
                <w:numId w:val="19"/>
              </w:numPr>
              <w:spacing w:before="0" w:beforeAutospacing="0" w:after="0" w:afterAutospacing="0"/>
              <w:rPr>
                <w:rFonts w:ascii="Book Antiqua" w:hAnsi="Book Antiqua" w:cs="Arial"/>
                <w:sz w:val="20"/>
                <w:szCs w:val="20"/>
              </w:rPr>
            </w:pPr>
            <w:r w:rsidRPr="00EC1298">
              <w:rPr>
                <w:rFonts w:ascii="Book Antiqua" w:hAnsi="Book Antiqua" w:cs="Arial"/>
                <w:sz w:val="20"/>
                <w:szCs w:val="20"/>
              </w:rPr>
              <w:t xml:space="preserve">Protected forest </w:t>
            </w:r>
          </w:p>
        </w:tc>
        <w:tc>
          <w:tcPr>
            <w:tcW w:w="16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50%</w:t>
            </w:r>
          </w:p>
        </w:tc>
        <w:tc>
          <w:tcPr>
            <w:tcW w:w="150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20%</w:t>
            </w:r>
          </w:p>
        </w:tc>
        <w:tc>
          <w:tcPr>
            <w:tcW w:w="1740" w:type="dxa"/>
            <w:tcBorders>
              <w:top w:val="single" w:sz="4" w:space="0" w:color="FFFFFF"/>
              <w:left w:val="single" w:sz="4" w:space="0" w:color="FFFFFF"/>
              <w:bottom w:val="single" w:sz="4" w:space="0" w:color="FFFFFF"/>
              <w:right w:val="single" w:sz="4" w:space="0" w:color="FFFFFF"/>
            </w:tcBorders>
            <w:shd w:val="clear" w:color="auto" w:fill="DBE5F1"/>
            <w:tcMar>
              <w:top w:w="0" w:type="dxa"/>
              <w:left w:w="108" w:type="dxa"/>
              <w:bottom w:w="0" w:type="dxa"/>
              <w:right w:w="108" w:type="dxa"/>
            </w:tcMar>
          </w:tcPr>
          <w:p w:rsidR="00351F2C" w:rsidRPr="00EC1298" w:rsidRDefault="00351F2C" w:rsidP="00A256CB">
            <w:pPr>
              <w:pStyle w:val="xdefault"/>
              <w:spacing w:before="0" w:beforeAutospacing="0" w:after="0" w:afterAutospacing="0"/>
              <w:jc w:val="center"/>
              <w:rPr>
                <w:rFonts w:ascii="Book Antiqua" w:hAnsi="Book Antiqua" w:cs="Arial"/>
                <w:sz w:val="20"/>
                <w:szCs w:val="20"/>
              </w:rPr>
            </w:pPr>
            <w:r w:rsidRPr="00EC1298">
              <w:rPr>
                <w:rFonts w:ascii="Book Antiqua" w:hAnsi="Book Antiqua" w:cs="Arial"/>
                <w:sz w:val="20"/>
                <w:szCs w:val="20"/>
              </w:rPr>
              <w:t>30%</w:t>
            </w:r>
          </w:p>
        </w:tc>
      </w:tr>
    </w:tbl>
    <w:p w:rsidR="00351F2C" w:rsidRPr="00896FCD" w:rsidRDefault="00351F2C" w:rsidP="00896FCD">
      <w:pPr>
        <w:spacing w:after="0" w:line="240" w:lineRule="auto"/>
        <w:rPr>
          <w:rFonts w:ascii="Book Antiqua" w:hAnsi="Book Antiqua" w:cs="Arial"/>
          <w:sz w:val="20"/>
          <w:szCs w:val="20"/>
          <w:lang w:val="en-US"/>
        </w:rPr>
      </w:pPr>
      <w:r w:rsidRPr="00896FCD">
        <w:rPr>
          <w:rFonts w:ascii="Book Antiqua" w:hAnsi="Book Antiqua" w:cs="Arial"/>
          <w:sz w:val="20"/>
          <w:szCs w:val="20"/>
          <w:lang w:val="en-US"/>
        </w:rPr>
        <w:t>Source: Forestry Ministerial Decree No. 36/2009 (Translation provided by Stibniati Atmadja from Center for International Forestry Research – CIFOR)</w:t>
      </w:r>
    </w:p>
    <w:p w:rsidR="00351F2C" w:rsidRPr="00445F77" w:rsidRDefault="00351F2C" w:rsidP="00896FCD">
      <w:pPr>
        <w:spacing w:after="0"/>
        <w:rPr>
          <w:rFonts w:ascii="Arial" w:hAnsi="Arial" w:cs="Arial"/>
          <w:sz w:val="24"/>
          <w:szCs w:val="24"/>
          <w:lang w:val="en-US"/>
        </w:rPr>
      </w:pPr>
    </w:p>
    <w:p w:rsidR="00351F2C" w:rsidRPr="00445F77" w:rsidRDefault="00D213B1" w:rsidP="008F6D17">
      <w:pPr>
        <w:pStyle w:val="Heading2"/>
        <w:tabs>
          <w:tab w:val="left" w:pos="540"/>
        </w:tabs>
        <w:spacing w:before="0" w:after="0"/>
        <w:rPr>
          <w:rFonts w:ascii="Arial" w:hAnsi="Arial" w:cs="Arial"/>
          <w:sz w:val="24"/>
          <w:szCs w:val="24"/>
          <w:lang w:val="en-US"/>
        </w:rPr>
      </w:pPr>
      <w:bookmarkStart w:id="204" w:name="_Ref242759448"/>
      <w:bookmarkStart w:id="205" w:name="_Toc243929948"/>
      <w:bookmarkStart w:id="206" w:name="_Toc243984131"/>
      <w:bookmarkStart w:id="207" w:name="_Toc244327657"/>
      <w:bookmarkStart w:id="208" w:name="_Toc244327906"/>
      <w:bookmarkStart w:id="209" w:name="_Toc244586171"/>
      <w:bookmarkStart w:id="210" w:name="_Toc252354735"/>
      <w:r w:rsidRPr="00445F77">
        <w:rPr>
          <w:rFonts w:ascii="Arial" w:hAnsi="Arial" w:cs="Arial"/>
          <w:sz w:val="24"/>
          <w:szCs w:val="24"/>
          <w:lang w:val="en-US"/>
        </w:rPr>
        <w:t>4.</w:t>
      </w:r>
      <w:r w:rsidR="004C7E6C">
        <w:rPr>
          <w:rFonts w:ascii="Arial" w:hAnsi="Arial" w:cs="Arial"/>
          <w:sz w:val="24"/>
          <w:szCs w:val="24"/>
          <w:lang w:val="en-US"/>
        </w:rPr>
        <w:t>3</w:t>
      </w:r>
      <w:r w:rsidR="004C7E6C" w:rsidRPr="00445F77">
        <w:rPr>
          <w:rFonts w:ascii="Arial" w:hAnsi="Arial" w:cs="Arial"/>
          <w:sz w:val="24"/>
          <w:szCs w:val="24"/>
          <w:lang w:val="en-US"/>
        </w:rPr>
        <w:t xml:space="preserve"> </w:t>
      </w:r>
      <w:r w:rsidR="00351F2C" w:rsidRPr="00445F77">
        <w:rPr>
          <w:rFonts w:ascii="Arial" w:hAnsi="Arial" w:cs="Arial"/>
          <w:sz w:val="24"/>
          <w:szCs w:val="24"/>
          <w:lang w:val="en-US"/>
        </w:rPr>
        <w:t>Key issues</w:t>
      </w:r>
      <w:bookmarkEnd w:id="204"/>
      <w:r w:rsidR="00351F2C" w:rsidRPr="00445F77">
        <w:rPr>
          <w:rFonts w:ascii="Arial" w:hAnsi="Arial" w:cs="Arial"/>
          <w:sz w:val="24"/>
          <w:szCs w:val="24"/>
          <w:lang w:val="en-US"/>
        </w:rPr>
        <w:t xml:space="preserve"> and recommendations</w:t>
      </w:r>
      <w:bookmarkEnd w:id="205"/>
      <w:bookmarkEnd w:id="206"/>
      <w:bookmarkEnd w:id="207"/>
      <w:bookmarkEnd w:id="208"/>
      <w:bookmarkEnd w:id="209"/>
      <w:bookmarkEnd w:id="210"/>
    </w:p>
    <w:p w:rsidR="00351F2C" w:rsidRPr="00EC1298" w:rsidRDefault="00351F2C" w:rsidP="00896FCD">
      <w:pPr>
        <w:spacing w:after="0" w:line="300" w:lineRule="atLeast"/>
        <w:jc w:val="both"/>
        <w:rPr>
          <w:rFonts w:ascii="Book Antiqua" w:hAnsi="Book Antiqua" w:cs="Arial"/>
          <w:lang w:val="en-US"/>
        </w:rPr>
      </w:pPr>
      <w:r w:rsidRPr="00EC1298">
        <w:rPr>
          <w:rFonts w:ascii="Book Antiqua" w:hAnsi="Book Antiqua" w:cs="Arial"/>
          <w:lang w:val="en-US"/>
        </w:rPr>
        <w:t xml:space="preserve">This section brings together the discussion about the institutional framework for national level structure presented earlier in </w:t>
      </w:r>
      <w:r w:rsidR="00896FCD">
        <w:rPr>
          <w:rFonts w:ascii="Book Antiqua" w:hAnsi="Book Antiqua" w:cs="Arial"/>
          <w:lang w:val="en-US"/>
        </w:rPr>
        <w:t xml:space="preserve">the </w:t>
      </w:r>
      <w:r w:rsidRPr="00EC1298">
        <w:rPr>
          <w:rFonts w:ascii="Book Antiqua" w:hAnsi="Book Antiqua" w:cs="Arial"/>
          <w:lang w:val="en-US"/>
        </w:rPr>
        <w:t xml:space="preserve">Chapter, elaborating recommendations for a national-level finance mechanism for Viet Nam’s future </w:t>
      </w:r>
      <w:r w:rsidR="00480D3D">
        <w:rPr>
          <w:rFonts w:ascii="Book Antiqua" w:hAnsi="Book Antiqua" w:cs="Arial"/>
          <w:lang w:val="en-US"/>
        </w:rPr>
        <w:t>REDD+</w:t>
      </w:r>
      <w:r w:rsidRPr="00EC1298">
        <w:rPr>
          <w:rFonts w:ascii="Book Antiqua" w:hAnsi="Book Antiqua" w:cs="Arial"/>
          <w:lang w:val="en-US"/>
        </w:rPr>
        <w:t xml:space="preserve"> </w:t>
      </w:r>
      <w:r w:rsidR="00480D3D">
        <w:rPr>
          <w:rFonts w:ascii="Book Antiqua" w:hAnsi="Book Antiqua" w:cs="Arial"/>
          <w:lang w:val="en-US"/>
        </w:rPr>
        <w:t>Programme</w:t>
      </w:r>
      <w:r w:rsidRPr="00EC1298">
        <w:rPr>
          <w:rFonts w:ascii="Book Antiqua" w:hAnsi="Book Antiqua" w:cs="Arial"/>
          <w:lang w:val="en-US"/>
        </w:rPr>
        <w:t>, the institutional modifications required and a suggested work plan for implementation. It relates to the following issues:</w:t>
      </w:r>
    </w:p>
    <w:p w:rsidR="00351F2C" w:rsidRPr="00EC1298" w:rsidRDefault="00351F2C" w:rsidP="00C724C9">
      <w:pPr>
        <w:spacing w:after="0" w:line="300" w:lineRule="atLeast"/>
        <w:jc w:val="both"/>
        <w:rPr>
          <w:rFonts w:ascii="Book Antiqua" w:hAnsi="Book Antiqua" w:cs="Arial"/>
          <w:lang w:val="en-US"/>
        </w:rPr>
      </w:pPr>
    </w:p>
    <w:p w:rsidR="00351F2C" w:rsidRPr="00EC1298" w:rsidRDefault="00EC1298" w:rsidP="003E3CBA">
      <w:pPr>
        <w:numPr>
          <w:ilvl w:val="0"/>
          <w:numId w:val="43"/>
        </w:numPr>
        <w:tabs>
          <w:tab w:val="clear" w:pos="1080"/>
          <w:tab w:val="num" w:pos="360"/>
        </w:tabs>
        <w:spacing w:after="0" w:line="300" w:lineRule="atLeast"/>
        <w:ind w:left="360"/>
        <w:jc w:val="both"/>
        <w:rPr>
          <w:rFonts w:ascii="Book Antiqua" w:hAnsi="Book Antiqua" w:cs="Arial"/>
          <w:lang w:val="en-US"/>
        </w:rPr>
      </w:pPr>
      <w:r>
        <w:rPr>
          <w:rFonts w:ascii="Book Antiqua" w:hAnsi="Book Antiqua" w:cs="Arial"/>
          <w:lang w:val="en-US"/>
        </w:rPr>
        <w:t>T</w:t>
      </w:r>
      <w:r w:rsidR="00351F2C" w:rsidRPr="00EC1298">
        <w:rPr>
          <w:rFonts w:ascii="Book Antiqua" w:hAnsi="Book Antiqua" w:cs="Arial"/>
          <w:lang w:val="en-US"/>
        </w:rPr>
        <w:t xml:space="preserve">he most appropriate mechanism for </w:t>
      </w:r>
      <w:r w:rsidR="00480D3D">
        <w:rPr>
          <w:rFonts w:ascii="Book Antiqua" w:hAnsi="Book Antiqua" w:cs="Arial"/>
          <w:lang w:val="en-US"/>
        </w:rPr>
        <w:t>REDD+</w:t>
      </w:r>
      <w:r w:rsidR="00351F2C" w:rsidRPr="00EC1298">
        <w:rPr>
          <w:rFonts w:ascii="Book Antiqua" w:hAnsi="Book Antiqua" w:cs="Arial"/>
          <w:lang w:val="en-US"/>
        </w:rPr>
        <w:t xml:space="preserve"> Fund in </w:t>
      </w:r>
      <w:smartTag w:uri="urn:schemas-microsoft-com:office:smarttags" w:element="country-region">
        <w:smartTag w:uri="urn:schemas-microsoft-com:office:smarttags" w:element="place">
          <w:r w:rsidR="00480D3D">
            <w:rPr>
              <w:rFonts w:ascii="Book Antiqua" w:hAnsi="Book Antiqua" w:cs="Arial"/>
              <w:lang w:val="en-US"/>
            </w:rPr>
            <w:t>Viet Nam</w:t>
          </w:r>
        </w:smartTag>
      </w:smartTag>
    </w:p>
    <w:p w:rsidR="00351F2C" w:rsidRPr="00EC1298" w:rsidRDefault="00EC1298" w:rsidP="003E3CBA">
      <w:pPr>
        <w:numPr>
          <w:ilvl w:val="0"/>
          <w:numId w:val="43"/>
        </w:numPr>
        <w:tabs>
          <w:tab w:val="clear" w:pos="1080"/>
          <w:tab w:val="num" w:pos="360"/>
        </w:tabs>
        <w:spacing w:after="0" w:line="300" w:lineRule="atLeast"/>
        <w:ind w:left="360"/>
        <w:jc w:val="both"/>
        <w:rPr>
          <w:rFonts w:ascii="Book Antiqua" w:hAnsi="Book Antiqua" w:cs="Arial"/>
          <w:lang w:val="en-US"/>
        </w:rPr>
      </w:pPr>
      <w:r>
        <w:rPr>
          <w:rFonts w:ascii="Book Antiqua" w:hAnsi="Book Antiqua" w:cs="Arial"/>
          <w:lang w:val="en-US"/>
        </w:rPr>
        <w:t>T</w:t>
      </w:r>
      <w:r w:rsidR="00351F2C" w:rsidRPr="00EC1298">
        <w:rPr>
          <w:rFonts w:ascii="Book Antiqua" w:hAnsi="Book Antiqua" w:cs="Arial"/>
          <w:lang w:val="en-US"/>
        </w:rPr>
        <w:t xml:space="preserve">he recommended structure for a specialized </w:t>
      </w:r>
      <w:r w:rsidR="00480D3D">
        <w:rPr>
          <w:rFonts w:ascii="Book Antiqua" w:hAnsi="Book Antiqua" w:cs="Arial"/>
          <w:lang w:val="en-US"/>
        </w:rPr>
        <w:t>REDD+</w:t>
      </w:r>
      <w:r w:rsidR="00351F2C" w:rsidRPr="00EC1298">
        <w:rPr>
          <w:rFonts w:ascii="Book Antiqua" w:hAnsi="Book Antiqua" w:cs="Arial"/>
          <w:lang w:val="en-US"/>
        </w:rPr>
        <w:t xml:space="preserve"> Fund</w:t>
      </w:r>
    </w:p>
    <w:p w:rsidR="00351F2C" w:rsidRPr="00EC1298" w:rsidRDefault="00EC1298" w:rsidP="003E3CBA">
      <w:pPr>
        <w:numPr>
          <w:ilvl w:val="0"/>
          <w:numId w:val="43"/>
        </w:numPr>
        <w:tabs>
          <w:tab w:val="clear" w:pos="1080"/>
          <w:tab w:val="num" w:pos="360"/>
        </w:tabs>
        <w:spacing w:after="0" w:line="300" w:lineRule="atLeast"/>
        <w:ind w:left="360"/>
        <w:jc w:val="both"/>
        <w:rPr>
          <w:rFonts w:ascii="Book Antiqua" w:hAnsi="Book Antiqua" w:cs="Arial"/>
          <w:lang w:val="en-US"/>
        </w:rPr>
      </w:pPr>
      <w:r>
        <w:rPr>
          <w:rFonts w:ascii="Book Antiqua" w:hAnsi="Book Antiqua" w:cs="Arial"/>
          <w:lang w:val="en-US"/>
        </w:rPr>
        <w:t>T</w:t>
      </w:r>
      <w:r w:rsidR="00351F2C" w:rsidRPr="00EC1298">
        <w:rPr>
          <w:rFonts w:ascii="Book Antiqua" w:hAnsi="Book Antiqua" w:cs="Arial"/>
          <w:lang w:val="en-US"/>
        </w:rPr>
        <w:t xml:space="preserve">he sub-national levels at which </w:t>
      </w:r>
      <w:r w:rsidR="00480D3D">
        <w:rPr>
          <w:rFonts w:ascii="Book Antiqua" w:hAnsi="Book Antiqua" w:cs="Arial"/>
          <w:lang w:val="en-US"/>
        </w:rPr>
        <w:t>REDD+</w:t>
      </w:r>
      <w:r w:rsidR="00351F2C" w:rsidRPr="00EC1298">
        <w:rPr>
          <w:rFonts w:ascii="Book Antiqua" w:hAnsi="Book Antiqua" w:cs="Arial"/>
          <w:lang w:val="en-US"/>
        </w:rPr>
        <w:t xml:space="preserve"> Fund should be established</w:t>
      </w:r>
    </w:p>
    <w:p w:rsidR="00351F2C" w:rsidRPr="00EC1298" w:rsidRDefault="00EC1298" w:rsidP="003E3CBA">
      <w:pPr>
        <w:numPr>
          <w:ilvl w:val="0"/>
          <w:numId w:val="43"/>
        </w:numPr>
        <w:tabs>
          <w:tab w:val="clear" w:pos="1080"/>
          <w:tab w:val="num" w:pos="360"/>
        </w:tabs>
        <w:spacing w:after="0" w:line="300" w:lineRule="atLeast"/>
        <w:ind w:left="360"/>
        <w:jc w:val="both"/>
        <w:rPr>
          <w:rFonts w:ascii="Book Antiqua" w:hAnsi="Book Antiqua" w:cs="Arial"/>
          <w:lang w:val="en-US"/>
        </w:rPr>
      </w:pPr>
      <w:r>
        <w:rPr>
          <w:rFonts w:ascii="Book Antiqua" w:hAnsi="Book Antiqua" w:cs="Arial"/>
          <w:lang w:val="en-US"/>
        </w:rPr>
        <w:t>P</w:t>
      </w:r>
      <w:r w:rsidR="00351F2C" w:rsidRPr="00EC1298">
        <w:rPr>
          <w:rFonts w:ascii="Book Antiqua" w:hAnsi="Book Antiqua" w:cs="Arial"/>
          <w:lang w:val="en-US"/>
        </w:rPr>
        <w:t xml:space="preserve">hased approach for </w:t>
      </w:r>
      <w:r w:rsidR="00480D3D">
        <w:rPr>
          <w:rFonts w:ascii="Book Antiqua" w:hAnsi="Book Antiqua" w:cs="Arial"/>
          <w:lang w:val="en-US"/>
        </w:rPr>
        <w:t>REDD+</w:t>
      </w:r>
      <w:r w:rsidR="00351F2C" w:rsidRPr="00EC1298">
        <w:rPr>
          <w:rFonts w:ascii="Book Antiqua" w:hAnsi="Book Antiqua" w:cs="Arial"/>
          <w:lang w:val="en-US"/>
        </w:rPr>
        <w:t xml:space="preserve"> in </w:t>
      </w:r>
      <w:smartTag w:uri="urn:schemas-microsoft-com:office:smarttags" w:element="country-region">
        <w:smartTag w:uri="urn:schemas-microsoft-com:office:smarttags" w:element="place">
          <w:r w:rsidR="00480D3D">
            <w:rPr>
              <w:rFonts w:ascii="Book Antiqua" w:hAnsi="Book Antiqua" w:cs="Arial"/>
              <w:lang w:val="en-US"/>
            </w:rPr>
            <w:t>Viet Nam</w:t>
          </w:r>
        </w:smartTag>
      </w:smartTag>
      <w:r w:rsidR="00351F2C" w:rsidRPr="00EC1298">
        <w:rPr>
          <w:rFonts w:ascii="Book Antiqua" w:hAnsi="Book Antiqua" w:cs="Arial"/>
          <w:lang w:val="en-US"/>
        </w:rPr>
        <w:t xml:space="preserve"> </w:t>
      </w:r>
    </w:p>
    <w:p w:rsidR="00EC1298" w:rsidRDefault="00EC1298" w:rsidP="00896FCD">
      <w:pPr>
        <w:pStyle w:val="Heading3"/>
        <w:spacing w:before="0" w:after="0"/>
        <w:rPr>
          <w:rFonts w:ascii="Arial" w:hAnsi="Arial" w:cs="Arial"/>
          <w:lang w:val="en-US"/>
        </w:rPr>
      </w:pPr>
      <w:bookmarkStart w:id="211" w:name="_Toc243929949"/>
      <w:bookmarkStart w:id="212" w:name="_Toc243984132"/>
      <w:bookmarkStart w:id="213" w:name="_Toc244327658"/>
      <w:bookmarkStart w:id="214" w:name="_Toc244327907"/>
      <w:bookmarkStart w:id="215" w:name="_Toc244586172"/>
      <w:bookmarkStart w:id="216" w:name="_Toc249079540"/>
    </w:p>
    <w:p w:rsidR="00351F2C" w:rsidRPr="00445F77" w:rsidRDefault="00351F2C" w:rsidP="00896FCD">
      <w:pPr>
        <w:pStyle w:val="Heading3"/>
        <w:spacing w:before="0" w:after="0"/>
        <w:rPr>
          <w:rFonts w:ascii="Arial" w:hAnsi="Arial" w:cs="Arial"/>
          <w:lang w:val="en-US"/>
        </w:rPr>
      </w:pPr>
      <w:r w:rsidRPr="00445F77">
        <w:rPr>
          <w:rFonts w:ascii="Arial" w:hAnsi="Arial" w:cs="Arial"/>
          <w:lang w:val="en-US"/>
        </w:rPr>
        <w:t xml:space="preserve">Most appropriate mechanism for </w:t>
      </w:r>
      <w:r w:rsidR="00480D3D">
        <w:rPr>
          <w:rFonts w:ascii="Arial" w:hAnsi="Arial" w:cs="Arial"/>
          <w:lang w:val="en-US"/>
        </w:rPr>
        <w:t>REDD+</w:t>
      </w:r>
      <w:r w:rsidRPr="00445F77">
        <w:rPr>
          <w:rFonts w:ascii="Arial" w:hAnsi="Arial" w:cs="Arial"/>
          <w:lang w:val="en-US"/>
        </w:rPr>
        <w:t xml:space="preserve"> Fund in </w:t>
      </w:r>
      <w:r w:rsidR="00480D3D">
        <w:rPr>
          <w:rFonts w:ascii="Arial" w:hAnsi="Arial" w:cs="Arial"/>
          <w:lang w:val="en-US"/>
        </w:rPr>
        <w:t>Viet Nam</w:t>
      </w:r>
      <w:bookmarkEnd w:id="211"/>
      <w:bookmarkEnd w:id="212"/>
      <w:bookmarkEnd w:id="213"/>
      <w:bookmarkEnd w:id="214"/>
      <w:bookmarkEnd w:id="215"/>
      <w:bookmarkEnd w:id="216"/>
    </w:p>
    <w:p w:rsidR="00351F2C" w:rsidRPr="00EC1298" w:rsidRDefault="00351F2C" w:rsidP="00896FCD">
      <w:pPr>
        <w:spacing w:after="0" w:line="300" w:lineRule="exact"/>
        <w:jc w:val="both"/>
        <w:rPr>
          <w:rFonts w:ascii="Book Antiqua" w:hAnsi="Book Antiqua" w:cs="Arial"/>
          <w:lang w:val="en-US"/>
        </w:rPr>
      </w:pPr>
      <w:r w:rsidRPr="00EC1298">
        <w:rPr>
          <w:rFonts w:ascii="Book Antiqua" w:hAnsi="Book Antiqua" w:cs="Arial"/>
          <w:lang w:val="en-US"/>
        </w:rPr>
        <w:t xml:space="preserve">The discussions in Section </w:t>
      </w:r>
      <w:r w:rsidR="00C67F5D">
        <w:rPr>
          <w:rFonts w:ascii="Book Antiqua" w:hAnsi="Book Antiqua" w:cs="Arial"/>
          <w:lang w:val="en-US"/>
        </w:rPr>
        <w:t>4.</w:t>
      </w:r>
      <w:r w:rsidR="00AC12C1">
        <w:rPr>
          <w:rFonts w:ascii="Book Antiqua" w:hAnsi="Book Antiqua" w:cs="Arial"/>
          <w:lang w:val="en-US"/>
        </w:rPr>
        <w:t>1</w:t>
      </w:r>
      <w:r w:rsidR="00AC12C1" w:rsidRPr="00EC1298">
        <w:rPr>
          <w:rFonts w:ascii="Book Antiqua" w:hAnsi="Book Antiqua" w:cs="Arial"/>
          <w:lang w:val="en-US"/>
        </w:rPr>
        <w:t xml:space="preserve"> </w:t>
      </w:r>
      <w:r w:rsidRPr="00EC1298">
        <w:rPr>
          <w:rFonts w:ascii="Book Antiqua" w:hAnsi="Book Antiqua" w:cs="Arial"/>
          <w:lang w:val="en-US"/>
        </w:rPr>
        <w:t xml:space="preserve">and </w:t>
      </w:r>
      <w:r w:rsidRPr="00EC1298">
        <w:rPr>
          <w:rFonts w:ascii="Book Antiqua" w:hAnsi="Book Antiqua" w:cs="Arial"/>
        </w:rPr>
        <w:t>4.</w:t>
      </w:r>
      <w:r w:rsidR="00AC12C1">
        <w:rPr>
          <w:rFonts w:ascii="Book Antiqua" w:hAnsi="Book Antiqua" w:cs="Arial"/>
        </w:rPr>
        <w:t>2</w:t>
      </w:r>
      <w:r w:rsidR="00AC12C1" w:rsidRPr="00EC1298">
        <w:rPr>
          <w:rFonts w:ascii="Book Antiqua" w:hAnsi="Book Antiqua" w:cs="Arial"/>
          <w:lang w:val="en-US"/>
        </w:rPr>
        <w:t xml:space="preserve"> </w:t>
      </w:r>
      <w:r w:rsidRPr="00EC1298">
        <w:rPr>
          <w:rFonts w:ascii="Book Antiqua" w:hAnsi="Book Antiqua" w:cs="Arial"/>
          <w:lang w:val="en-US"/>
        </w:rPr>
        <w:t>elaborated on the three financing mechanisms currently in operation. Obviously, each mechanism has its own pros and cons</w:t>
      </w:r>
      <w:r w:rsidR="007C40E1">
        <w:rPr>
          <w:rFonts w:ascii="Book Antiqua" w:hAnsi="Book Antiqua" w:cs="Arial"/>
          <w:lang w:val="en-US"/>
        </w:rPr>
        <w:t>, summarized in Table 4.4</w:t>
      </w:r>
      <w:r w:rsidR="00896FCD">
        <w:rPr>
          <w:rFonts w:ascii="Book Antiqua" w:hAnsi="Book Antiqua" w:cs="Arial"/>
          <w:lang w:val="en-US"/>
        </w:rPr>
        <w:t>.</w:t>
      </w:r>
    </w:p>
    <w:p w:rsidR="00351F2C" w:rsidRPr="00EC1298" w:rsidRDefault="00351F2C" w:rsidP="00896FCD">
      <w:pPr>
        <w:spacing w:after="0" w:line="300" w:lineRule="exact"/>
        <w:jc w:val="both"/>
        <w:rPr>
          <w:rFonts w:ascii="Book Antiqua" w:hAnsi="Book Antiqua" w:cs="Arial"/>
          <w:lang w:val="en-US"/>
        </w:rPr>
      </w:pPr>
    </w:p>
    <w:p w:rsidR="00351F2C" w:rsidRDefault="00351F2C" w:rsidP="00896FCD">
      <w:pPr>
        <w:spacing w:after="0" w:line="300" w:lineRule="exact"/>
        <w:jc w:val="both"/>
        <w:rPr>
          <w:rFonts w:ascii="Book Antiqua" w:hAnsi="Book Antiqua" w:cs="Arial"/>
          <w:lang w:val="en-US"/>
        </w:rPr>
      </w:pPr>
      <w:r w:rsidRPr="00EC1298">
        <w:rPr>
          <w:rFonts w:ascii="Book Antiqua" w:hAnsi="Book Antiqua" w:cs="Arial"/>
          <w:i/>
          <w:iCs/>
          <w:lang w:val="en-US"/>
        </w:rPr>
        <w:t xml:space="preserve">For </w:t>
      </w:r>
      <w:r w:rsidR="00480D3D">
        <w:rPr>
          <w:rFonts w:ascii="Book Antiqua" w:hAnsi="Book Antiqua" w:cs="Arial"/>
          <w:i/>
          <w:iCs/>
          <w:lang w:val="en-US"/>
        </w:rPr>
        <w:t>programme</w:t>
      </w:r>
      <w:r w:rsidRPr="00EC1298">
        <w:rPr>
          <w:rFonts w:ascii="Book Antiqua" w:hAnsi="Book Antiqua" w:cs="Arial"/>
          <w:i/>
          <w:iCs/>
          <w:lang w:val="en-US"/>
        </w:rPr>
        <w:t>s</w:t>
      </w:r>
      <w:r w:rsidR="0093262E">
        <w:rPr>
          <w:rFonts w:ascii="Book Antiqua" w:hAnsi="Book Antiqua" w:cs="Arial"/>
          <w:i/>
          <w:iCs/>
          <w:lang w:val="en-US"/>
        </w:rPr>
        <w:t xml:space="preserve"> managed within the government budget</w:t>
      </w:r>
      <w:r w:rsidRPr="00EC1298">
        <w:rPr>
          <w:rFonts w:ascii="Book Antiqua" w:hAnsi="Book Antiqua" w:cs="Arial"/>
          <w:lang w:val="en-US"/>
        </w:rPr>
        <w:t xml:space="preserve">, such as </w:t>
      </w:r>
      <w:r w:rsidR="00896FCD">
        <w:rPr>
          <w:rFonts w:ascii="Book Antiqua" w:hAnsi="Book Antiqua" w:cs="Arial"/>
          <w:lang w:val="en-US"/>
        </w:rPr>
        <w:t>the 661 Programme</w:t>
      </w:r>
      <w:r w:rsidRPr="00EC1298">
        <w:rPr>
          <w:rFonts w:ascii="Book Antiqua" w:hAnsi="Book Antiqua" w:cs="Arial"/>
          <w:lang w:val="en-US"/>
        </w:rPr>
        <w:t xml:space="preserve">, </w:t>
      </w:r>
      <w:r w:rsidR="000D04D0">
        <w:rPr>
          <w:rFonts w:ascii="Book Antiqua" w:hAnsi="Book Antiqua" w:cs="Arial"/>
          <w:lang w:val="en-US"/>
        </w:rPr>
        <w:t>one</w:t>
      </w:r>
      <w:r w:rsidRPr="00EC1298">
        <w:rPr>
          <w:rFonts w:ascii="Book Antiqua" w:hAnsi="Book Antiqua" w:cs="Arial"/>
          <w:lang w:val="en-US"/>
        </w:rPr>
        <w:t xml:space="preserve"> advantage is th</w:t>
      </w:r>
      <w:r w:rsidR="00896FCD">
        <w:rPr>
          <w:rFonts w:ascii="Book Antiqua" w:hAnsi="Book Antiqua" w:cs="Arial"/>
          <w:lang w:val="en-US"/>
        </w:rPr>
        <w:t>at</w:t>
      </w:r>
      <w:r w:rsidRPr="00EC1298">
        <w:rPr>
          <w:rFonts w:ascii="Book Antiqua" w:hAnsi="Book Antiqua" w:cs="Arial"/>
          <w:lang w:val="en-US"/>
        </w:rPr>
        <w:t xml:space="preserve"> established budgetary procedures </w:t>
      </w:r>
      <w:r w:rsidR="00896FCD">
        <w:rPr>
          <w:rFonts w:ascii="Book Antiqua" w:hAnsi="Book Antiqua" w:cs="Arial"/>
          <w:lang w:val="en-US"/>
        </w:rPr>
        <w:t>are used -</w:t>
      </w:r>
      <w:r w:rsidRPr="00EC1298">
        <w:rPr>
          <w:rFonts w:ascii="Book Antiqua" w:hAnsi="Book Antiqua" w:cs="Arial"/>
          <w:lang w:val="en-US"/>
        </w:rPr>
        <w:t xml:space="preserve"> funding allocation</w:t>
      </w:r>
      <w:r w:rsidR="00896FCD">
        <w:rPr>
          <w:rFonts w:ascii="Book Antiqua" w:hAnsi="Book Antiqua" w:cs="Arial"/>
          <w:lang w:val="en-US"/>
        </w:rPr>
        <w:t>s are</w:t>
      </w:r>
      <w:r w:rsidRPr="00EC1298">
        <w:rPr>
          <w:rFonts w:ascii="Book Antiqua" w:hAnsi="Book Antiqua" w:cs="Arial"/>
          <w:lang w:val="en-US"/>
        </w:rPr>
        <w:t xml:space="preserve"> integrated into the system of regulatory state budget</w:t>
      </w:r>
      <w:r w:rsidR="00EE40C3">
        <w:rPr>
          <w:rFonts w:ascii="Book Antiqua" w:hAnsi="Book Antiqua" w:cs="Arial"/>
          <w:lang w:val="en-US"/>
        </w:rPr>
        <w:t xml:space="preserve"> (though this is also a disadvantage – see below)</w:t>
      </w:r>
      <w:r w:rsidRPr="00EC1298">
        <w:rPr>
          <w:rFonts w:ascii="Book Antiqua" w:hAnsi="Book Antiqua" w:cs="Arial"/>
          <w:lang w:val="en-US"/>
        </w:rPr>
        <w:t>. An</w:t>
      </w:r>
      <w:r w:rsidR="00896FCD">
        <w:rPr>
          <w:rFonts w:ascii="Book Antiqua" w:hAnsi="Book Antiqua" w:cs="Arial"/>
          <w:lang w:val="en-US"/>
        </w:rPr>
        <w:t>other</w:t>
      </w:r>
      <w:r w:rsidRPr="00EC1298">
        <w:rPr>
          <w:rFonts w:ascii="Book Antiqua" w:hAnsi="Book Antiqua" w:cs="Arial"/>
          <w:lang w:val="en-US"/>
        </w:rPr>
        <w:t xml:space="preserve"> benefit with this system is that auditing is institutionalized, which </w:t>
      </w:r>
      <w:r w:rsidR="00896FCD">
        <w:rPr>
          <w:rFonts w:ascii="Book Antiqua" w:hAnsi="Book Antiqua" w:cs="Arial"/>
          <w:lang w:val="en-US"/>
        </w:rPr>
        <w:t>avoids the need to establish</w:t>
      </w:r>
      <w:r w:rsidRPr="00EC1298">
        <w:rPr>
          <w:rFonts w:ascii="Book Antiqua" w:hAnsi="Book Antiqua" w:cs="Arial"/>
          <w:lang w:val="en-US"/>
        </w:rPr>
        <w:t xml:space="preserve"> auditing procedures. </w:t>
      </w:r>
      <w:r w:rsidR="00896FCD">
        <w:rPr>
          <w:rFonts w:ascii="Book Antiqua" w:hAnsi="Book Antiqua" w:cs="Arial"/>
          <w:lang w:val="en-US"/>
        </w:rPr>
        <w:t xml:space="preserve"> P</w:t>
      </w:r>
      <w:r w:rsidRPr="00EC1298">
        <w:rPr>
          <w:rFonts w:ascii="Book Antiqua" w:hAnsi="Book Antiqua" w:cs="Arial"/>
          <w:lang w:val="en-US"/>
        </w:rPr>
        <w:t xml:space="preserve">ayment in these </w:t>
      </w:r>
      <w:r w:rsidR="00480D3D">
        <w:rPr>
          <w:rFonts w:ascii="Book Antiqua" w:hAnsi="Book Antiqua" w:cs="Arial"/>
          <w:lang w:val="en-US"/>
        </w:rPr>
        <w:t>programme</w:t>
      </w:r>
      <w:r w:rsidRPr="00EC1298">
        <w:rPr>
          <w:rFonts w:ascii="Book Antiqua" w:hAnsi="Book Antiqua" w:cs="Arial"/>
          <w:lang w:val="en-US"/>
        </w:rPr>
        <w:t xml:space="preserve">s is based (at least theoretically) on performance. Under </w:t>
      </w:r>
      <w:r w:rsidR="00896FCD">
        <w:rPr>
          <w:rFonts w:ascii="Book Antiqua" w:hAnsi="Book Antiqua" w:cs="Arial"/>
          <w:lang w:val="en-US"/>
        </w:rPr>
        <w:t>the 661 Programme</w:t>
      </w:r>
      <w:r w:rsidRPr="00EC1298">
        <w:rPr>
          <w:rFonts w:ascii="Book Antiqua" w:hAnsi="Book Antiqua" w:cs="Arial"/>
          <w:lang w:val="en-US"/>
        </w:rPr>
        <w:t xml:space="preserve">, the payment that communities receive is only made after </w:t>
      </w:r>
      <w:r w:rsidR="00896FCD">
        <w:rPr>
          <w:rFonts w:ascii="Book Antiqua" w:hAnsi="Book Antiqua" w:cs="Arial"/>
          <w:lang w:val="en-US"/>
        </w:rPr>
        <w:t xml:space="preserve">the </w:t>
      </w:r>
      <w:r w:rsidRPr="00EC1298">
        <w:rPr>
          <w:rFonts w:ascii="Book Antiqua" w:hAnsi="Book Antiqua" w:cs="Arial"/>
          <w:lang w:val="en-US"/>
        </w:rPr>
        <w:t xml:space="preserve">forest owner has checked the status of contracted forest resources. </w:t>
      </w:r>
      <w:r w:rsidR="00896FCD">
        <w:rPr>
          <w:rFonts w:ascii="Book Antiqua" w:hAnsi="Book Antiqua" w:cs="Arial"/>
          <w:lang w:val="en-US"/>
        </w:rPr>
        <w:t xml:space="preserve"> Finally</w:t>
      </w:r>
      <w:r w:rsidRPr="00EC1298">
        <w:rPr>
          <w:rFonts w:ascii="Book Antiqua" w:hAnsi="Book Antiqua" w:cs="Arial"/>
          <w:lang w:val="en-US"/>
        </w:rPr>
        <w:t>, the use of state fund</w:t>
      </w:r>
      <w:r w:rsidR="00896FCD">
        <w:rPr>
          <w:rFonts w:ascii="Book Antiqua" w:hAnsi="Book Antiqua" w:cs="Arial"/>
          <w:lang w:val="en-US"/>
        </w:rPr>
        <w:t>s</w:t>
      </w:r>
      <w:r w:rsidRPr="00EC1298">
        <w:rPr>
          <w:rFonts w:ascii="Book Antiqua" w:hAnsi="Book Antiqua" w:cs="Arial"/>
          <w:lang w:val="en-US"/>
        </w:rPr>
        <w:t xml:space="preserve"> </w:t>
      </w:r>
      <w:r w:rsidR="00896FCD">
        <w:rPr>
          <w:rFonts w:ascii="Book Antiqua" w:hAnsi="Book Antiqua" w:cs="Arial"/>
          <w:lang w:val="en-US"/>
        </w:rPr>
        <w:t>can</w:t>
      </w:r>
      <w:r w:rsidRPr="00EC1298">
        <w:rPr>
          <w:rFonts w:ascii="Book Antiqua" w:hAnsi="Book Antiqua" w:cs="Arial"/>
          <w:lang w:val="en-US"/>
        </w:rPr>
        <w:t xml:space="preserve"> leverage</w:t>
      </w:r>
      <w:r w:rsidR="00896FCD">
        <w:rPr>
          <w:rFonts w:ascii="Book Antiqua" w:hAnsi="Book Antiqua" w:cs="Arial"/>
          <w:lang w:val="en-US"/>
        </w:rPr>
        <w:t xml:space="preserve"> additional </w:t>
      </w:r>
      <w:r w:rsidR="00896FCD">
        <w:rPr>
          <w:rFonts w:ascii="Book Antiqua" w:hAnsi="Book Antiqua" w:cs="Arial"/>
          <w:lang w:val="en-US"/>
        </w:rPr>
        <w:lastRenderedPageBreak/>
        <w:t>resources</w:t>
      </w:r>
      <w:r w:rsidRPr="00EC1298">
        <w:rPr>
          <w:rFonts w:ascii="Book Antiqua" w:hAnsi="Book Antiqua" w:cs="Arial"/>
          <w:lang w:val="en-US"/>
        </w:rPr>
        <w:t xml:space="preserve">. </w:t>
      </w:r>
      <w:r w:rsidR="00896FCD">
        <w:rPr>
          <w:rFonts w:ascii="Book Antiqua" w:hAnsi="Book Antiqua" w:cs="Arial"/>
          <w:lang w:val="en-US"/>
        </w:rPr>
        <w:t xml:space="preserve"> </w:t>
      </w:r>
      <w:r w:rsidRPr="00EC1298">
        <w:rPr>
          <w:rFonts w:ascii="Book Antiqua" w:hAnsi="Book Antiqua" w:cs="Arial"/>
          <w:lang w:val="en-US"/>
        </w:rPr>
        <w:t xml:space="preserve">For example, the </w:t>
      </w:r>
      <w:r w:rsidR="00D7117B">
        <w:rPr>
          <w:rFonts w:ascii="Book Antiqua" w:hAnsi="Book Antiqua" w:cs="Arial"/>
          <w:lang w:val="en-US"/>
        </w:rPr>
        <w:t>WB</w:t>
      </w:r>
      <w:r w:rsidRPr="00EC1298">
        <w:rPr>
          <w:rFonts w:ascii="Book Antiqua" w:hAnsi="Book Antiqua" w:cs="Arial"/>
          <w:lang w:val="en-US"/>
        </w:rPr>
        <w:t xml:space="preserve"> </w:t>
      </w:r>
      <w:r w:rsidR="00896FCD">
        <w:rPr>
          <w:rFonts w:ascii="Book Antiqua" w:hAnsi="Book Antiqua" w:cs="Arial"/>
          <w:lang w:val="en-US"/>
        </w:rPr>
        <w:t>has contributed</w:t>
      </w:r>
      <w:r w:rsidRPr="00EC1298">
        <w:rPr>
          <w:rFonts w:ascii="Book Antiqua" w:hAnsi="Book Antiqua" w:cs="Arial"/>
          <w:lang w:val="en-US"/>
        </w:rPr>
        <w:t xml:space="preserve"> around </w:t>
      </w:r>
      <w:r w:rsidR="00896FCD">
        <w:rPr>
          <w:rFonts w:ascii="Book Antiqua" w:hAnsi="Book Antiqua" w:cs="Arial"/>
          <w:lang w:val="en-US"/>
        </w:rPr>
        <w:t xml:space="preserve">US$ </w:t>
      </w:r>
      <w:r w:rsidRPr="00EC1298">
        <w:rPr>
          <w:rFonts w:ascii="Book Antiqua" w:hAnsi="Book Antiqua" w:cs="Arial"/>
          <w:lang w:val="en-US"/>
        </w:rPr>
        <w:t xml:space="preserve">100 million as </w:t>
      </w:r>
      <w:r w:rsidR="00896FCD">
        <w:rPr>
          <w:rFonts w:ascii="Book Antiqua" w:hAnsi="Book Antiqua" w:cs="Arial"/>
          <w:lang w:val="en-US"/>
        </w:rPr>
        <w:t xml:space="preserve">a </w:t>
      </w:r>
      <w:r w:rsidRPr="00EC1298">
        <w:rPr>
          <w:rFonts w:ascii="Book Antiqua" w:hAnsi="Book Antiqua" w:cs="Arial"/>
          <w:lang w:val="en-US"/>
        </w:rPr>
        <w:t xml:space="preserve">loan for implementation of the second phase of </w:t>
      </w:r>
      <w:r w:rsidR="00480D3D">
        <w:rPr>
          <w:rFonts w:ascii="Book Antiqua" w:hAnsi="Book Antiqua" w:cs="Arial"/>
          <w:lang w:val="en-US"/>
        </w:rPr>
        <w:t>Programme</w:t>
      </w:r>
      <w:r w:rsidRPr="00EC1298">
        <w:rPr>
          <w:rFonts w:ascii="Book Antiqua" w:hAnsi="Book Antiqua" w:cs="Arial"/>
          <w:lang w:val="en-US"/>
        </w:rPr>
        <w:t xml:space="preserve"> 135 (2006-2010).</w:t>
      </w:r>
    </w:p>
    <w:p w:rsidR="00896FCD" w:rsidRPr="00EC1298" w:rsidRDefault="00896FCD" w:rsidP="00896FCD">
      <w:pPr>
        <w:spacing w:after="0" w:line="300" w:lineRule="exact"/>
        <w:jc w:val="both"/>
        <w:rPr>
          <w:rFonts w:ascii="Book Antiqua" w:hAnsi="Book Antiqua" w:cs="Arial"/>
          <w:lang w:val="en-US"/>
        </w:rPr>
      </w:pPr>
    </w:p>
    <w:p w:rsidR="00351F2C" w:rsidRPr="00896FCD" w:rsidRDefault="00351F2C" w:rsidP="001114A5">
      <w:pPr>
        <w:spacing w:after="0" w:line="300" w:lineRule="exact"/>
        <w:jc w:val="both"/>
        <w:rPr>
          <w:rFonts w:ascii="Book Antiqua" w:hAnsi="Book Antiqua" w:cs="Arial"/>
        </w:rPr>
      </w:pPr>
      <w:r w:rsidRPr="00896FCD">
        <w:rPr>
          <w:rFonts w:ascii="Book Antiqua" w:hAnsi="Book Antiqua" w:cs="Arial"/>
        </w:rPr>
        <w:t xml:space="preserve">On the other hand, </w:t>
      </w:r>
      <w:r w:rsidR="00D847A1">
        <w:rPr>
          <w:rFonts w:ascii="Book Antiqua" w:hAnsi="Book Antiqua" w:cs="Arial"/>
        </w:rPr>
        <w:t xml:space="preserve">programmes employing a financing mechanism </w:t>
      </w:r>
      <w:r w:rsidR="0093262E">
        <w:rPr>
          <w:rFonts w:ascii="Book Antiqua" w:hAnsi="Book Antiqua" w:cs="Arial"/>
        </w:rPr>
        <w:t xml:space="preserve">embedded within the government budget </w:t>
      </w:r>
      <w:r w:rsidR="00896FCD">
        <w:rPr>
          <w:rFonts w:ascii="Book Antiqua" w:hAnsi="Book Antiqua" w:cs="Arial"/>
        </w:rPr>
        <w:t>also have disadvantages</w:t>
      </w:r>
      <w:r w:rsidRPr="00896FCD">
        <w:rPr>
          <w:rFonts w:ascii="Book Antiqua" w:hAnsi="Book Antiqua" w:cs="Arial"/>
        </w:rPr>
        <w:t xml:space="preserve">. </w:t>
      </w:r>
      <w:r w:rsidR="00896FCD">
        <w:rPr>
          <w:rFonts w:ascii="Book Antiqua" w:hAnsi="Book Antiqua" w:cs="Arial"/>
        </w:rPr>
        <w:t xml:space="preserve"> </w:t>
      </w:r>
      <w:r w:rsidRPr="00896FCD">
        <w:rPr>
          <w:rFonts w:ascii="Book Antiqua" w:hAnsi="Book Antiqua" w:cs="Arial"/>
        </w:rPr>
        <w:t>First</w:t>
      </w:r>
      <w:r w:rsidR="00896FCD">
        <w:rPr>
          <w:rFonts w:ascii="Book Antiqua" w:hAnsi="Book Antiqua" w:cs="Arial"/>
        </w:rPr>
        <w:t>ly</w:t>
      </w:r>
      <w:r w:rsidRPr="00896FCD">
        <w:rPr>
          <w:rFonts w:ascii="Book Antiqua" w:hAnsi="Book Antiqua" w:cs="Arial"/>
        </w:rPr>
        <w:t xml:space="preserve">, </w:t>
      </w:r>
      <w:r w:rsidR="0073569B">
        <w:rPr>
          <w:rFonts w:ascii="Book Antiqua" w:hAnsi="Book Antiqua" w:cs="Arial"/>
        </w:rPr>
        <w:t>as government budget allocations are undertaken at a national</w:t>
      </w:r>
      <w:r w:rsidRPr="00896FCD">
        <w:rPr>
          <w:rFonts w:ascii="Book Antiqua" w:hAnsi="Book Antiqua" w:cs="Arial"/>
        </w:rPr>
        <w:t xml:space="preserve"> </w:t>
      </w:r>
      <w:r w:rsidR="0073569B">
        <w:rPr>
          <w:rFonts w:ascii="Book Antiqua" w:hAnsi="Book Antiqua" w:cs="Arial"/>
        </w:rPr>
        <w:t>level</w:t>
      </w:r>
      <w:r w:rsidR="0092792E">
        <w:rPr>
          <w:rFonts w:ascii="Book Antiqua" w:hAnsi="Book Antiqua" w:cs="Arial"/>
        </w:rPr>
        <w:t>, such</w:t>
      </w:r>
      <w:r w:rsidR="00896FCD">
        <w:rPr>
          <w:rFonts w:ascii="Book Antiqua" w:hAnsi="Book Antiqua" w:cs="Arial"/>
        </w:rPr>
        <w:t xml:space="preserve"> </w:t>
      </w:r>
      <w:r w:rsidRPr="00896FCD">
        <w:rPr>
          <w:rFonts w:ascii="Book Antiqua" w:hAnsi="Book Antiqua" w:cs="Arial"/>
        </w:rPr>
        <w:t>program</w:t>
      </w:r>
      <w:r w:rsidR="00896FCD">
        <w:rPr>
          <w:rFonts w:ascii="Book Antiqua" w:hAnsi="Book Antiqua" w:cs="Arial"/>
        </w:rPr>
        <w:t>me</w:t>
      </w:r>
      <w:r w:rsidRPr="00896FCD">
        <w:rPr>
          <w:rFonts w:ascii="Book Antiqua" w:hAnsi="Book Antiqua" w:cs="Arial"/>
        </w:rPr>
        <w:t xml:space="preserve">s </w:t>
      </w:r>
      <w:r w:rsidR="001114A5">
        <w:rPr>
          <w:rFonts w:ascii="Book Antiqua" w:hAnsi="Book Antiqua" w:cs="Arial"/>
        </w:rPr>
        <w:t xml:space="preserve">may not be effective in </w:t>
      </w:r>
      <w:r w:rsidR="0073569B">
        <w:rPr>
          <w:rFonts w:ascii="Book Antiqua" w:hAnsi="Book Antiqua" w:cs="Arial"/>
        </w:rPr>
        <w:t xml:space="preserve">accounting for cultural or social diversity in </w:t>
      </w:r>
      <w:r w:rsidR="001114A5">
        <w:rPr>
          <w:rFonts w:ascii="Book Antiqua" w:hAnsi="Book Antiqua" w:cs="Arial"/>
        </w:rPr>
        <w:t>specific locations</w:t>
      </w:r>
      <w:r w:rsidRPr="00896FCD">
        <w:rPr>
          <w:rFonts w:ascii="Book Antiqua" w:hAnsi="Book Antiqua" w:cs="Arial"/>
        </w:rPr>
        <w:t>.</w:t>
      </w:r>
      <w:r w:rsidR="0073569B">
        <w:rPr>
          <w:rFonts w:ascii="Book Antiqua" w:hAnsi="Book Antiqua" w:cs="Arial"/>
        </w:rPr>
        <w:t xml:space="preserve"> </w:t>
      </w:r>
      <w:r w:rsidRPr="00896FCD">
        <w:rPr>
          <w:rFonts w:ascii="Book Antiqua" w:hAnsi="Book Antiqua" w:cs="Arial"/>
        </w:rPr>
        <w:t xml:space="preserve"> Secondly, the established budgetary procedures in use in </w:t>
      </w:r>
      <w:r w:rsidR="00D847A1">
        <w:rPr>
          <w:rFonts w:ascii="Book Antiqua" w:hAnsi="Book Antiqua" w:cs="Arial"/>
        </w:rPr>
        <w:t xml:space="preserve">such </w:t>
      </w:r>
      <w:r w:rsidR="00480D3D">
        <w:rPr>
          <w:rFonts w:ascii="Book Antiqua" w:hAnsi="Book Antiqua" w:cs="Arial"/>
        </w:rPr>
        <w:t>programme</w:t>
      </w:r>
      <w:r w:rsidRPr="00896FCD">
        <w:rPr>
          <w:rFonts w:ascii="Book Antiqua" w:hAnsi="Book Antiqua" w:cs="Arial"/>
        </w:rPr>
        <w:t xml:space="preserve">s </w:t>
      </w:r>
      <w:r w:rsidR="00D847A1">
        <w:rPr>
          <w:rFonts w:ascii="Book Antiqua" w:hAnsi="Book Antiqua" w:cs="Arial"/>
        </w:rPr>
        <w:t xml:space="preserve">tend to be </w:t>
      </w:r>
      <w:r w:rsidRPr="00896FCD">
        <w:rPr>
          <w:rFonts w:ascii="Book Antiqua" w:hAnsi="Book Antiqua" w:cs="Arial"/>
        </w:rPr>
        <w:t xml:space="preserve">rigid and complex, which </w:t>
      </w:r>
      <w:r w:rsidR="00D847A1">
        <w:rPr>
          <w:rFonts w:ascii="Book Antiqua" w:hAnsi="Book Antiqua" w:cs="Arial"/>
        </w:rPr>
        <w:t xml:space="preserve">imply a </w:t>
      </w:r>
      <w:r w:rsidRPr="00896FCD">
        <w:rPr>
          <w:rFonts w:ascii="Book Antiqua" w:hAnsi="Book Antiqua" w:cs="Arial"/>
        </w:rPr>
        <w:t xml:space="preserve">complicated </w:t>
      </w:r>
      <w:r w:rsidR="001B6D90">
        <w:rPr>
          <w:rFonts w:ascii="Book Antiqua" w:hAnsi="Book Antiqua" w:cs="Arial"/>
        </w:rPr>
        <w:t>REDD+</w:t>
      </w:r>
      <w:r w:rsidRPr="00896FCD">
        <w:rPr>
          <w:rFonts w:ascii="Book Antiqua" w:hAnsi="Book Antiqua" w:cs="Arial"/>
        </w:rPr>
        <w:t xml:space="preserve"> payment</w:t>
      </w:r>
      <w:r w:rsidR="001114A5">
        <w:rPr>
          <w:rFonts w:ascii="Book Antiqua" w:hAnsi="Book Antiqua" w:cs="Arial"/>
        </w:rPr>
        <w:t xml:space="preserve"> processing</w:t>
      </w:r>
      <w:r w:rsidRPr="00896FCD">
        <w:rPr>
          <w:rFonts w:ascii="Book Antiqua" w:hAnsi="Book Antiqua" w:cs="Arial"/>
        </w:rPr>
        <w:t>.</w:t>
      </w:r>
      <w:r w:rsidR="0073569B">
        <w:rPr>
          <w:rFonts w:ascii="Book Antiqua" w:hAnsi="Book Antiqua" w:cs="Arial"/>
        </w:rPr>
        <w:t xml:space="preserve"> </w:t>
      </w:r>
      <w:r w:rsidRPr="00896FCD">
        <w:rPr>
          <w:rFonts w:ascii="Book Antiqua" w:hAnsi="Book Antiqua" w:cs="Arial"/>
        </w:rPr>
        <w:t xml:space="preserve"> </w:t>
      </w:r>
      <w:r w:rsidR="001114A5">
        <w:rPr>
          <w:rFonts w:ascii="Book Antiqua" w:hAnsi="Book Antiqua" w:cs="Arial"/>
        </w:rPr>
        <w:t xml:space="preserve"> </w:t>
      </w:r>
      <w:r w:rsidRPr="00896FCD">
        <w:rPr>
          <w:rFonts w:ascii="Book Antiqua" w:hAnsi="Book Antiqua" w:cs="Arial"/>
        </w:rPr>
        <w:t xml:space="preserve">Thirdly, though payment is </w:t>
      </w:r>
      <w:r w:rsidR="001114A5">
        <w:rPr>
          <w:rFonts w:ascii="Book Antiqua" w:hAnsi="Book Antiqua" w:cs="Arial"/>
        </w:rPr>
        <w:t>theoretically</w:t>
      </w:r>
      <w:r w:rsidRPr="00896FCD">
        <w:rPr>
          <w:rFonts w:ascii="Book Antiqua" w:hAnsi="Book Antiqua" w:cs="Arial"/>
        </w:rPr>
        <w:t xml:space="preserve"> based on performance, </w:t>
      </w:r>
      <w:r w:rsidR="001114A5">
        <w:rPr>
          <w:rFonts w:ascii="Book Antiqua" w:hAnsi="Book Antiqua" w:cs="Arial"/>
        </w:rPr>
        <w:t>in practice conditionality</w:t>
      </w:r>
      <w:r w:rsidRPr="00896FCD">
        <w:rPr>
          <w:rFonts w:ascii="Book Antiqua" w:hAnsi="Book Antiqua" w:cs="Arial"/>
        </w:rPr>
        <w:t xml:space="preserve"> is weak</w:t>
      </w:r>
      <w:r w:rsidR="001114A5">
        <w:rPr>
          <w:rFonts w:ascii="Book Antiqua" w:hAnsi="Book Antiqua" w:cs="Arial"/>
        </w:rPr>
        <w:t>, and subject to distortion</w:t>
      </w:r>
      <w:r w:rsidRPr="00896FCD">
        <w:rPr>
          <w:rFonts w:ascii="Book Antiqua" w:hAnsi="Book Antiqua" w:cs="Arial"/>
        </w:rPr>
        <w:t xml:space="preserve">. </w:t>
      </w:r>
      <w:r w:rsidR="001114A5">
        <w:rPr>
          <w:rFonts w:ascii="Book Antiqua" w:hAnsi="Book Antiqua" w:cs="Arial"/>
        </w:rPr>
        <w:t xml:space="preserve"> </w:t>
      </w:r>
      <w:r w:rsidRPr="00896FCD">
        <w:rPr>
          <w:rFonts w:ascii="Book Antiqua" w:hAnsi="Book Antiqua" w:cs="Arial"/>
        </w:rPr>
        <w:t xml:space="preserve">Fourthly, participation of non-state actors, particularly local communities, in the planning and decision making </w:t>
      </w:r>
      <w:r w:rsidR="0073569B">
        <w:rPr>
          <w:rFonts w:ascii="Book Antiqua" w:hAnsi="Book Antiqua" w:cs="Arial"/>
        </w:rPr>
        <w:t>is</w:t>
      </w:r>
      <w:r w:rsidR="0093262E" w:rsidRPr="00896FCD">
        <w:rPr>
          <w:rFonts w:ascii="Book Antiqua" w:hAnsi="Book Antiqua" w:cs="Arial"/>
        </w:rPr>
        <w:t xml:space="preserve"> </w:t>
      </w:r>
      <w:r w:rsidR="0093262E">
        <w:rPr>
          <w:rFonts w:ascii="Book Antiqua" w:hAnsi="Book Antiqua" w:cs="Arial"/>
        </w:rPr>
        <w:t>weak</w:t>
      </w:r>
      <w:r w:rsidRPr="00896FCD">
        <w:rPr>
          <w:rFonts w:ascii="Book Antiqua" w:hAnsi="Book Antiqua" w:cs="Arial"/>
        </w:rPr>
        <w:t xml:space="preserve">. </w:t>
      </w:r>
      <w:r w:rsidR="0073569B">
        <w:rPr>
          <w:rFonts w:ascii="Book Antiqua" w:hAnsi="Book Antiqua" w:cs="Arial"/>
        </w:rPr>
        <w:t>Given that</w:t>
      </w:r>
      <w:r w:rsidRPr="00896FCD">
        <w:rPr>
          <w:rFonts w:ascii="Book Antiqua" w:hAnsi="Book Antiqua" w:cs="Arial"/>
        </w:rPr>
        <w:t xml:space="preserve"> local households and communities are </w:t>
      </w:r>
      <w:r w:rsidR="001114A5">
        <w:rPr>
          <w:rFonts w:ascii="Book Antiqua" w:hAnsi="Book Antiqua" w:cs="Arial"/>
        </w:rPr>
        <w:t xml:space="preserve">currently </w:t>
      </w:r>
      <w:r w:rsidRPr="00896FCD">
        <w:rPr>
          <w:rFonts w:ascii="Book Antiqua" w:hAnsi="Book Antiqua" w:cs="Arial"/>
        </w:rPr>
        <w:t>legal owners of over one quarter of the national forest resources, and probably more in the near future</w:t>
      </w:r>
      <w:r w:rsidR="0073569B">
        <w:rPr>
          <w:rFonts w:ascii="Book Antiqua" w:hAnsi="Book Antiqua" w:cs="Arial"/>
        </w:rPr>
        <w:t>, their exclusion from participation in governance of government budget allocation is potentially a serious drawback</w:t>
      </w:r>
      <w:r w:rsidRPr="00896FCD">
        <w:rPr>
          <w:rFonts w:ascii="Book Antiqua" w:hAnsi="Book Antiqua" w:cs="Arial"/>
        </w:rPr>
        <w:t>.</w:t>
      </w:r>
    </w:p>
    <w:p w:rsidR="00351F2C" w:rsidRDefault="00351F2C" w:rsidP="001114A5">
      <w:pPr>
        <w:spacing w:after="0"/>
        <w:rPr>
          <w:rFonts w:ascii="Arial" w:hAnsi="Arial" w:cs="Arial"/>
          <w:sz w:val="24"/>
          <w:szCs w:val="24"/>
          <w:lang w:val="en-US"/>
        </w:rPr>
      </w:pPr>
    </w:p>
    <w:p w:rsidR="001114A5" w:rsidRPr="00EC1298" w:rsidRDefault="001114A5" w:rsidP="001114A5">
      <w:pPr>
        <w:spacing w:after="0" w:line="300" w:lineRule="atLeast"/>
        <w:jc w:val="both"/>
        <w:rPr>
          <w:rFonts w:ascii="Book Antiqua" w:hAnsi="Book Antiqua" w:cs="Arial"/>
          <w:lang w:val="en-US"/>
        </w:rPr>
      </w:pPr>
      <w:r w:rsidRPr="00EC1298">
        <w:rPr>
          <w:rFonts w:ascii="Book Antiqua" w:hAnsi="Book Antiqua" w:cs="Arial"/>
          <w:i/>
          <w:iCs/>
          <w:lang w:val="en-US"/>
        </w:rPr>
        <w:t>For targeted funds</w:t>
      </w:r>
      <w:r w:rsidRPr="00EC1298">
        <w:rPr>
          <w:rFonts w:ascii="Book Antiqua" w:hAnsi="Book Antiqua" w:cs="Arial"/>
          <w:lang w:val="en-US"/>
        </w:rPr>
        <w:t>, an important advantage is independen</w:t>
      </w:r>
      <w:r w:rsidR="00EE40C3">
        <w:rPr>
          <w:rFonts w:ascii="Book Antiqua" w:hAnsi="Book Antiqua" w:cs="Arial"/>
          <w:lang w:val="en-US"/>
        </w:rPr>
        <w:t>ce from</w:t>
      </w:r>
      <w:r w:rsidRPr="00EC1298">
        <w:rPr>
          <w:rFonts w:ascii="Book Antiqua" w:hAnsi="Book Antiqua" w:cs="Arial"/>
          <w:lang w:val="en-US"/>
        </w:rPr>
        <w:t xml:space="preserve"> the state budget system, which </w:t>
      </w:r>
      <w:r w:rsidR="00EE40C3">
        <w:rPr>
          <w:rFonts w:ascii="Book Antiqua" w:hAnsi="Book Antiqua" w:cs="Arial"/>
          <w:lang w:val="en-US"/>
        </w:rPr>
        <w:t>avoids</w:t>
      </w:r>
      <w:r w:rsidRPr="00EC1298">
        <w:rPr>
          <w:rFonts w:ascii="Book Antiqua" w:hAnsi="Book Antiqua" w:cs="Arial"/>
          <w:lang w:val="en-US"/>
        </w:rPr>
        <w:t xml:space="preserve"> the complex budget procedures. </w:t>
      </w:r>
      <w:r w:rsidR="00EE40C3">
        <w:rPr>
          <w:rFonts w:ascii="Book Antiqua" w:hAnsi="Book Antiqua" w:cs="Arial"/>
          <w:lang w:val="en-US"/>
        </w:rPr>
        <w:t xml:space="preserve"> </w:t>
      </w:r>
      <w:r w:rsidRPr="00EC1298">
        <w:rPr>
          <w:rFonts w:ascii="Book Antiqua" w:hAnsi="Book Antiqua" w:cs="Arial"/>
          <w:lang w:val="en-US"/>
        </w:rPr>
        <w:t xml:space="preserve">Another advantage is the flexibility of the fund to allow </w:t>
      </w:r>
      <w:r w:rsidR="00EE40C3">
        <w:rPr>
          <w:rFonts w:ascii="Book Antiqua" w:hAnsi="Book Antiqua" w:cs="Arial"/>
          <w:lang w:val="en-US"/>
        </w:rPr>
        <w:t xml:space="preserve">potential </w:t>
      </w:r>
      <w:r w:rsidRPr="00EC1298">
        <w:rPr>
          <w:rFonts w:ascii="Book Antiqua" w:hAnsi="Book Antiqua" w:cs="Arial"/>
          <w:lang w:val="en-US"/>
        </w:rPr>
        <w:t xml:space="preserve">earmarking of </w:t>
      </w:r>
      <w:r w:rsidR="00EE40C3">
        <w:rPr>
          <w:rFonts w:ascii="Book Antiqua" w:hAnsi="Book Antiqua" w:cs="Arial"/>
          <w:lang w:val="en-US"/>
        </w:rPr>
        <w:t>revenues</w:t>
      </w:r>
      <w:r w:rsidRPr="00EC1298">
        <w:rPr>
          <w:rFonts w:ascii="Book Antiqua" w:hAnsi="Book Antiqua" w:cs="Arial"/>
          <w:lang w:val="en-US"/>
        </w:rPr>
        <w:t xml:space="preserve"> for specific purposes. </w:t>
      </w:r>
      <w:r w:rsidR="00EE40C3">
        <w:rPr>
          <w:rFonts w:ascii="Book Antiqua" w:hAnsi="Book Antiqua" w:cs="Arial"/>
          <w:lang w:val="en-US"/>
        </w:rPr>
        <w:t xml:space="preserve"> </w:t>
      </w:r>
      <w:r w:rsidRPr="00EC1298">
        <w:rPr>
          <w:rFonts w:ascii="Book Antiqua" w:hAnsi="Book Antiqua" w:cs="Arial"/>
          <w:lang w:val="en-US"/>
        </w:rPr>
        <w:t xml:space="preserve">This is useful as it is possible to separate </w:t>
      </w:r>
      <w:r w:rsidR="001B6D90">
        <w:rPr>
          <w:rFonts w:ascii="Book Antiqua" w:hAnsi="Book Antiqua" w:cs="Arial"/>
          <w:lang w:val="en-US"/>
        </w:rPr>
        <w:t>REDD+</w:t>
      </w:r>
      <w:r w:rsidRPr="00EC1298">
        <w:rPr>
          <w:rFonts w:ascii="Book Antiqua" w:hAnsi="Book Antiqua" w:cs="Arial"/>
          <w:lang w:val="en-US"/>
        </w:rPr>
        <w:t xml:space="preserve"> fund</w:t>
      </w:r>
      <w:r w:rsidR="00EE40C3">
        <w:rPr>
          <w:rFonts w:ascii="Book Antiqua" w:hAnsi="Book Antiqua" w:cs="Arial"/>
          <w:lang w:val="en-US"/>
        </w:rPr>
        <w:t>s</w:t>
      </w:r>
      <w:r w:rsidRPr="00EC1298">
        <w:rPr>
          <w:rFonts w:ascii="Book Antiqua" w:hAnsi="Book Antiqua" w:cs="Arial"/>
          <w:lang w:val="en-US"/>
        </w:rPr>
        <w:t xml:space="preserve"> from other</w:t>
      </w:r>
      <w:r w:rsidR="00EE40C3">
        <w:rPr>
          <w:rFonts w:ascii="Book Antiqua" w:hAnsi="Book Antiqua" w:cs="Arial"/>
          <w:lang w:val="en-US"/>
        </w:rPr>
        <w:t xml:space="preserve"> revenues</w:t>
      </w:r>
      <w:r w:rsidRPr="00EC1298">
        <w:rPr>
          <w:rFonts w:ascii="Book Antiqua" w:hAnsi="Book Antiqua" w:cs="Arial"/>
          <w:lang w:val="en-US"/>
        </w:rPr>
        <w:t xml:space="preserve"> and allows tracking of the fund flows. </w:t>
      </w:r>
      <w:r w:rsidR="00EE40C3">
        <w:rPr>
          <w:rFonts w:ascii="Book Antiqua" w:hAnsi="Book Antiqua" w:cs="Arial"/>
          <w:lang w:val="en-US"/>
        </w:rPr>
        <w:t xml:space="preserve"> </w:t>
      </w:r>
      <w:r w:rsidRPr="00EC1298">
        <w:rPr>
          <w:rFonts w:ascii="Book Antiqua" w:hAnsi="Book Antiqua" w:cs="Arial"/>
          <w:lang w:val="en-US"/>
        </w:rPr>
        <w:t>The third and key advantage of targeted fund</w:t>
      </w:r>
      <w:r w:rsidR="006C6ED0">
        <w:rPr>
          <w:rFonts w:ascii="Book Antiqua" w:hAnsi="Book Antiqua" w:cs="Arial"/>
          <w:lang w:val="en-US"/>
        </w:rPr>
        <w:t>s</w:t>
      </w:r>
      <w:r w:rsidRPr="00EC1298">
        <w:rPr>
          <w:rFonts w:ascii="Book Antiqua" w:hAnsi="Book Antiqua" w:cs="Arial"/>
          <w:lang w:val="en-US"/>
        </w:rPr>
        <w:t xml:space="preserve"> is </w:t>
      </w:r>
      <w:r w:rsidR="00EE40C3">
        <w:rPr>
          <w:rFonts w:ascii="Book Antiqua" w:hAnsi="Book Antiqua" w:cs="Arial"/>
          <w:lang w:val="en-US"/>
        </w:rPr>
        <w:t>that</w:t>
      </w:r>
      <w:r w:rsidRPr="00EC1298">
        <w:rPr>
          <w:rFonts w:ascii="Book Antiqua" w:hAnsi="Book Antiqua" w:cs="Arial"/>
          <w:lang w:val="en-US"/>
        </w:rPr>
        <w:t xml:space="preserve"> </w:t>
      </w:r>
      <w:r w:rsidR="00EE40C3">
        <w:rPr>
          <w:rFonts w:ascii="Book Antiqua" w:hAnsi="Book Antiqua" w:cs="Arial"/>
          <w:lang w:val="en-US"/>
        </w:rPr>
        <w:t xml:space="preserve">it is </w:t>
      </w:r>
      <w:r w:rsidR="0073569B">
        <w:rPr>
          <w:rFonts w:ascii="Book Antiqua" w:hAnsi="Book Antiqua" w:cs="Arial"/>
          <w:lang w:val="en-US"/>
        </w:rPr>
        <w:t xml:space="preserve">possible to establish tailored rules for use of revenues, thereby allowing </w:t>
      </w:r>
      <w:r w:rsidR="00EE40C3">
        <w:rPr>
          <w:rFonts w:ascii="Book Antiqua" w:hAnsi="Book Antiqua" w:cs="Arial"/>
          <w:lang w:val="en-US"/>
        </w:rPr>
        <w:t>easier link</w:t>
      </w:r>
      <w:r w:rsidR="0073569B">
        <w:rPr>
          <w:rFonts w:ascii="Book Antiqua" w:hAnsi="Book Antiqua" w:cs="Arial"/>
          <w:lang w:val="en-US"/>
        </w:rPr>
        <w:t>age between</w:t>
      </w:r>
      <w:r w:rsidR="00EE40C3">
        <w:rPr>
          <w:rFonts w:ascii="Book Antiqua" w:hAnsi="Book Antiqua" w:cs="Arial"/>
          <w:lang w:val="en-US"/>
        </w:rPr>
        <w:t xml:space="preserve"> </w:t>
      </w:r>
      <w:r w:rsidRPr="00EC1298">
        <w:rPr>
          <w:rFonts w:ascii="Book Antiqua" w:hAnsi="Book Antiqua" w:cs="Arial"/>
          <w:lang w:val="en-US"/>
        </w:rPr>
        <w:t xml:space="preserve">benefit distribution </w:t>
      </w:r>
      <w:r w:rsidR="0073569B">
        <w:rPr>
          <w:rFonts w:ascii="Book Antiqua" w:hAnsi="Book Antiqua" w:cs="Arial"/>
          <w:lang w:val="en-US"/>
        </w:rPr>
        <w:t>and</w:t>
      </w:r>
      <w:r w:rsidRPr="00EC1298">
        <w:rPr>
          <w:rFonts w:ascii="Book Antiqua" w:hAnsi="Book Antiqua" w:cs="Arial"/>
          <w:lang w:val="en-US"/>
        </w:rPr>
        <w:t xml:space="preserve"> performance </w:t>
      </w:r>
      <w:r w:rsidR="00EE40C3">
        <w:rPr>
          <w:rFonts w:ascii="Book Antiqua" w:hAnsi="Book Antiqua" w:cs="Arial"/>
          <w:lang w:val="en-US"/>
        </w:rPr>
        <w:t xml:space="preserve">by establishing payment conditions and </w:t>
      </w:r>
      <w:r w:rsidRPr="00EC1298">
        <w:rPr>
          <w:rFonts w:ascii="Book Antiqua" w:hAnsi="Book Antiqua" w:cs="Arial"/>
          <w:lang w:val="en-US"/>
        </w:rPr>
        <w:t xml:space="preserve">clear indicators </w:t>
      </w:r>
      <w:r w:rsidR="007F74BE">
        <w:rPr>
          <w:rFonts w:ascii="Book Antiqua" w:hAnsi="Book Antiqua" w:cs="Arial"/>
          <w:lang w:val="en-US"/>
        </w:rPr>
        <w:t>of performance</w:t>
      </w:r>
      <w:r w:rsidRPr="00EC1298">
        <w:rPr>
          <w:rFonts w:ascii="Book Antiqua" w:hAnsi="Book Antiqua" w:cs="Arial"/>
          <w:lang w:val="en-US"/>
        </w:rPr>
        <w:t>.</w:t>
      </w:r>
    </w:p>
    <w:p w:rsidR="001114A5" w:rsidRPr="00445F77" w:rsidRDefault="001114A5" w:rsidP="004D47BB">
      <w:pPr>
        <w:spacing w:before="120" w:after="120"/>
        <w:rPr>
          <w:rFonts w:ascii="Arial" w:hAnsi="Arial" w:cs="Arial"/>
          <w:sz w:val="24"/>
          <w:szCs w:val="24"/>
          <w:lang w:val="en-US"/>
        </w:rPr>
        <w:sectPr w:rsidR="001114A5" w:rsidRPr="00445F77" w:rsidSect="00F524A3">
          <w:pgSz w:w="11907" w:h="16840" w:code="9"/>
          <w:pgMar w:top="1440" w:right="1418" w:bottom="1440" w:left="1701" w:header="720" w:footer="720" w:gutter="0"/>
          <w:cols w:space="720"/>
          <w:docGrid w:linePitch="360"/>
        </w:sectPr>
      </w:pPr>
    </w:p>
    <w:p w:rsidR="00EE40C3" w:rsidRDefault="00EE40C3" w:rsidP="00EE40C3">
      <w:pPr>
        <w:spacing w:after="0" w:line="300" w:lineRule="atLeast"/>
        <w:jc w:val="both"/>
        <w:rPr>
          <w:rFonts w:ascii="Book Antiqua" w:hAnsi="Book Antiqua" w:cs="Arial"/>
        </w:rPr>
      </w:pPr>
      <w:r w:rsidRPr="001114A5">
        <w:rPr>
          <w:rFonts w:ascii="Book Antiqua" w:hAnsi="Book Antiqua" w:cs="Arial"/>
        </w:rPr>
        <w:lastRenderedPageBreak/>
        <w:t xml:space="preserve">A major disadvantage of a targeted fund is accountability. </w:t>
      </w:r>
      <w:r>
        <w:rPr>
          <w:rFonts w:ascii="Book Antiqua" w:hAnsi="Book Antiqua" w:cs="Arial"/>
        </w:rPr>
        <w:t xml:space="preserve"> </w:t>
      </w:r>
      <w:r w:rsidRPr="001114A5">
        <w:rPr>
          <w:rFonts w:ascii="Book Antiqua" w:hAnsi="Book Antiqua" w:cs="Arial"/>
        </w:rPr>
        <w:t>As the fund is not part of the state budgetary and auditing process</w:t>
      </w:r>
      <w:r>
        <w:rPr>
          <w:rFonts w:ascii="Book Antiqua" w:hAnsi="Book Antiqua" w:cs="Arial"/>
        </w:rPr>
        <w:t>es</w:t>
      </w:r>
      <w:r w:rsidRPr="001114A5">
        <w:rPr>
          <w:rFonts w:ascii="Book Antiqua" w:hAnsi="Book Antiqua" w:cs="Arial"/>
        </w:rPr>
        <w:t xml:space="preserve">, </w:t>
      </w:r>
      <w:r>
        <w:rPr>
          <w:rFonts w:ascii="Book Antiqua" w:hAnsi="Book Antiqua" w:cs="Arial"/>
        </w:rPr>
        <w:t>appropriate procedures</w:t>
      </w:r>
      <w:r w:rsidRPr="001114A5">
        <w:rPr>
          <w:rFonts w:ascii="Book Antiqua" w:hAnsi="Book Antiqua" w:cs="Arial"/>
        </w:rPr>
        <w:t xml:space="preserve"> must be established. </w:t>
      </w:r>
      <w:r>
        <w:rPr>
          <w:rFonts w:ascii="Book Antiqua" w:hAnsi="Book Antiqua" w:cs="Arial"/>
        </w:rPr>
        <w:t xml:space="preserve"> </w:t>
      </w:r>
      <w:r w:rsidRPr="001114A5">
        <w:rPr>
          <w:rFonts w:ascii="Book Antiqua" w:hAnsi="Book Antiqua" w:cs="Arial"/>
        </w:rPr>
        <w:t xml:space="preserve">Similarly, oversight of the fund management may also be an issue as </w:t>
      </w:r>
      <w:r>
        <w:rPr>
          <w:rFonts w:ascii="Book Antiqua" w:hAnsi="Book Antiqua" w:cs="Arial"/>
        </w:rPr>
        <w:t>there is no pre-existing</w:t>
      </w:r>
      <w:r w:rsidRPr="001114A5">
        <w:rPr>
          <w:rFonts w:ascii="Book Antiqua" w:hAnsi="Book Antiqua" w:cs="Arial"/>
        </w:rPr>
        <w:t xml:space="preserve"> monitoring system within the fund.</w:t>
      </w:r>
    </w:p>
    <w:p w:rsidR="00EE40C3" w:rsidRPr="001114A5" w:rsidRDefault="00EE40C3" w:rsidP="00EE40C3">
      <w:pPr>
        <w:spacing w:after="0" w:line="300" w:lineRule="atLeast"/>
        <w:jc w:val="both"/>
        <w:rPr>
          <w:rFonts w:ascii="Book Antiqua" w:hAnsi="Book Antiqua" w:cs="Arial"/>
        </w:rPr>
      </w:pPr>
    </w:p>
    <w:p w:rsidR="00351F2C" w:rsidRDefault="007C40E1" w:rsidP="001114A5">
      <w:pPr>
        <w:spacing w:after="0" w:line="300" w:lineRule="atLeast"/>
        <w:jc w:val="both"/>
        <w:rPr>
          <w:rFonts w:ascii="Book Antiqua" w:hAnsi="Book Antiqua" w:cs="Arial"/>
          <w:lang w:val="en-US"/>
        </w:rPr>
      </w:pPr>
      <w:r>
        <w:rPr>
          <w:rFonts w:ascii="Book Antiqua" w:hAnsi="Book Antiqua" w:cs="Arial"/>
          <w:iCs/>
          <w:lang w:val="en-US"/>
        </w:rPr>
        <w:t xml:space="preserve">A hypothetical third option would involve </w:t>
      </w:r>
      <w:r w:rsidR="00351F2C" w:rsidRPr="00EC1298">
        <w:rPr>
          <w:rFonts w:ascii="Book Antiqua" w:hAnsi="Book Antiqua" w:cs="Arial"/>
          <w:i/>
          <w:iCs/>
          <w:lang w:val="en-US"/>
        </w:rPr>
        <w:t>decentralized structure</w:t>
      </w:r>
      <w:r>
        <w:rPr>
          <w:rFonts w:ascii="Book Antiqua" w:hAnsi="Book Antiqua" w:cs="Arial"/>
          <w:i/>
          <w:iCs/>
          <w:lang w:val="en-US"/>
        </w:rPr>
        <w:t>s</w:t>
      </w:r>
      <w:r w:rsidR="00351F2C" w:rsidRPr="00EC1298">
        <w:rPr>
          <w:rFonts w:ascii="Book Antiqua" w:hAnsi="Book Antiqua" w:cs="Arial"/>
          <w:lang w:val="en-US"/>
        </w:rPr>
        <w:t xml:space="preserve"> (with national tax</w:t>
      </w:r>
      <w:r>
        <w:rPr>
          <w:rFonts w:ascii="Book Antiqua" w:hAnsi="Book Antiqua" w:cs="Arial"/>
          <w:lang w:val="en-US"/>
        </w:rPr>
        <w:t>ation</w:t>
      </w:r>
      <w:r w:rsidR="00351F2C" w:rsidRPr="00EC1298">
        <w:rPr>
          <w:rFonts w:ascii="Book Antiqua" w:hAnsi="Book Antiqua" w:cs="Arial"/>
          <w:lang w:val="en-US"/>
        </w:rPr>
        <w:t>)</w:t>
      </w:r>
      <w:r>
        <w:rPr>
          <w:rFonts w:ascii="Book Antiqua" w:hAnsi="Book Antiqua" w:cs="Arial"/>
          <w:lang w:val="en-US"/>
        </w:rPr>
        <w:t>.  This would be suitable for programmes which permit</w:t>
      </w:r>
      <w:r w:rsidR="00351F2C" w:rsidRPr="00EC1298">
        <w:rPr>
          <w:rFonts w:ascii="Book Antiqua" w:hAnsi="Book Antiqua" w:cs="Arial"/>
          <w:lang w:val="en-US"/>
        </w:rPr>
        <w:t xml:space="preserve"> the spatial allocation of fund</w:t>
      </w:r>
      <w:r w:rsidR="00EE40C3">
        <w:rPr>
          <w:rFonts w:ascii="Book Antiqua" w:hAnsi="Book Antiqua" w:cs="Arial"/>
          <w:lang w:val="en-US"/>
        </w:rPr>
        <w:t>s</w:t>
      </w:r>
      <w:r>
        <w:rPr>
          <w:rFonts w:ascii="Book Antiqua" w:hAnsi="Book Antiqua" w:cs="Arial"/>
          <w:lang w:val="en-US"/>
        </w:rPr>
        <w:t>; f</w:t>
      </w:r>
      <w:r w:rsidR="00351F2C" w:rsidRPr="00EC1298">
        <w:rPr>
          <w:rFonts w:ascii="Book Antiqua" w:hAnsi="Book Antiqua" w:cs="Arial"/>
          <w:lang w:val="en-US"/>
        </w:rPr>
        <w:t xml:space="preserve">or example, </w:t>
      </w:r>
      <w:r>
        <w:rPr>
          <w:rFonts w:ascii="Book Antiqua" w:hAnsi="Book Antiqua" w:cs="Arial"/>
          <w:lang w:val="en-US"/>
        </w:rPr>
        <w:t xml:space="preserve">projects run by </w:t>
      </w:r>
      <w:r w:rsidR="00351F2C" w:rsidRPr="00EC1298">
        <w:rPr>
          <w:rFonts w:ascii="Book Antiqua" w:hAnsi="Book Antiqua" w:cs="Arial"/>
          <w:lang w:val="en-US"/>
        </w:rPr>
        <w:t xml:space="preserve">international entities </w:t>
      </w:r>
      <w:r>
        <w:rPr>
          <w:rFonts w:ascii="Book Antiqua" w:hAnsi="Book Antiqua" w:cs="Arial"/>
          <w:lang w:val="en-US"/>
        </w:rPr>
        <w:t>focusing on specific</w:t>
      </w:r>
      <w:r w:rsidR="00351F2C" w:rsidRPr="00EC1298">
        <w:rPr>
          <w:rFonts w:ascii="Book Antiqua" w:hAnsi="Book Antiqua" w:cs="Arial"/>
          <w:lang w:val="en-US"/>
        </w:rPr>
        <w:t xml:space="preserve"> sub-national areas. </w:t>
      </w:r>
      <w:r w:rsidR="00EE40C3">
        <w:rPr>
          <w:rFonts w:ascii="Book Antiqua" w:hAnsi="Book Antiqua" w:cs="Arial"/>
          <w:lang w:val="en-US"/>
        </w:rPr>
        <w:t xml:space="preserve"> </w:t>
      </w:r>
    </w:p>
    <w:p w:rsidR="00EE40C3" w:rsidRPr="00EC1298" w:rsidRDefault="00EE40C3" w:rsidP="001114A5">
      <w:pPr>
        <w:spacing w:after="0" w:line="300" w:lineRule="atLeast"/>
        <w:jc w:val="both"/>
        <w:rPr>
          <w:rFonts w:ascii="Book Antiqua" w:hAnsi="Book Antiqua" w:cs="Arial"/>
          <w:lang w:val="en-US"/>
        </w:rPr>
      </w:pPr>
    </w:p>
    <w:p w:rsidR="00351F2C" w:rsidRPr="001114A5" w:rsidRDefault="00351F2C" w:rsidP="001114A5">
      <w:pPr>
        <w:spacing w:after="0" w:line="300" w:lineRule="atLeast"/>
        <w:jc w:val="both"/>
        <w:rPr>
          <w:rFonts w:ascii="Book Antiqua" w:hAnsi="Book Antiqua" w:cs="Arial"/>
        </w:rPr>
      </w:pPr>
      <w:r w:rsidRPr="001114A5">
        <w:rPr>
          <w:rFonts w:ascii="Book Antiqua" w:hAnsi="Book Antiqua" w:cs="Arial"/>
        </w:rPr>
        <w:t>The</w:t>
      </w:r>
      <w:r w:rsidR="007C40E1">
        <w:rPr>
          <w:rFonts w:ascii="Book Antiqua" w:hAnsi="Book Antiqua" w:cs="Arial"/>
        </w:rPr>
        <w:t xml:space="preserve"> major short-coming of such an approach is that it is unlikely to be practical for a REDD+ approach based on national accounting and reporting.  Although REDD+ interventions, based on analyses of options and costs in each locality, will resemble a project-based approach, an important difference will be the link to revenue flows, which will still involve national-level institutions.</w:t>
      </w:r>
    </w:p>
    <w:p w:rsidR="00351F2C" w:rsidRPr="00EC1298" w:rsidRDefault="00351F2C" w:rsidP="0041445F">
      <w:pPr>
        <w:spacing w:after="0" w:line="300" w:lineRule="atLeast"/>
        <w:jc w:val="both"/>
        <w:rPr>
          <w:rFonts w:ascii="Book Antiqua" w:hAnsi="Book Antiqua" w:cs="Arial"/>
          <w:lang w:val="en-US"/>
        </w:rPr>
      </w:pPr>
    </w:p>
    <w:p w:rsidR="00351F2C" w:rsidRPr="00EC1298" w:rsidRDefault="00351F2C" w:rsidP="0041445F">
      <w:pPr>
        <w:spacing w:after="0" w:line="300" w:lineRule="atLeast"/>
        <w:jc w:val="both"/>
        <w:rPr>
          <w:rFonts w:ascii="Book Antiqua" w:hAnsi="Book Antiqua" w:cs="Arial"/>
          <w:lang w:val="en-US"/>
        </w:rPr>
      </w:pPr>
      <w:r w:rsidRPr="00EC1298">
        <w:rPr>
          <w:rFonts w:ascii="Book Antiqua" w:hAnsi="Book Antiqua" w:cs="Arial"/>
          <w:lang w:val="en-US"/>
        </w:rPr>
        <w:t xml:space="preserve">This analysis of pros and cons indicates that </w:t>
      </w:r>
      <w:r w:rsidR="007F74BE">
        <w:rPr>
          <w:rFonts w:ascii="Book Antiqua" w:hAnsi="Book Antiqua" w:cs="Arial"/>
          <w:lang w:val="en-US"/>
        </w:rPr>
        <w:t xml:space="preserve">a </w:t>
      </w:r>
      <w:r w:rsidRPr="00EC1298">
        <w:rPr>
          <w:rFonts w:ascii="Book Antiqua" w:hAnsi="Book Antiqua" w:cs="Arial"/>
          <w:lang w:val="en-US"/>
        </w:rPr>
        <w:t xml:space="preserve">targeted fund </w:t>
      </w:r>
      <w:r w:rsidR="007F74BE">
        <w:rPr>
          <w:rFonts w:ascii="Book Antiqua" w:hAnsi="Book Antiqua" w:cs="Arial"/>
          <w:lang w:val="en-US"/>
        </w:rPr>
        <w:t>is the</w:t>
      </w:r>
      <w:r w:rsidRPr="00EC1298">
        <w:rPr>
          <w:rFonts w:ascii="Book Antiqua" w:hAnsi="Book Antiqua" w:cs="Arial"/>
          <w:lang w:val="en-US"/>
        </w:rPr>
        <w:t xml:space="preserve"> preferable mechanism for </w:t>
      </w:r>
      <w:r w:rsidR="00480D3D">
        <w:rPr>
          <w:rFonts w:ascii="Book Antiqua" w:hAnsi="Book Antiqua" w:cs="Arial"/>
          <w:lang w:val="en-US"/>
        </w:rPr>
        <w:t>REDD+</w:t>
      </w:r>
      <w:r w:rsidRPr="00EC1298">
        <w:rPr>
          <w:rFonts w:ascii="Book Antiqua" w:hAnsi="Book Antiqua" w:cs="Arial"/>
          <w:lang w:val="en-US"/>
        </w:rPr>
        <w:t xml:space="preserve"> as </w:t>
      </w:r>
      <w:r w:rsidR="007F74BE">
        <w:rPr>
          <w:rFonts w:ascii="Book Antiqua" w:hAnsi="Book Antiqua" w:cs="Arial"/>
          <w:lang w:val="en-US"/>
        </w:rPr>
        <w:t>it enjoys greater</w:t>
      </w:r>
      <w:r w:rsidRPr="00EC1298">
        <w:rPr>
          <w:rFonts w:ascii="Book Antiqua" w:hAnsi="Book Antiqua" w:cs="Arial"/>
          <w:lang w:val="en-US"/>
        </w:rPr>
        <w:t xml:space="preserve"> advantages than the </w:t>
      </w:r>
      <w:r w:rsidR="007F74BE">
        <w:rPr>
          <w:rFonts w:ascii="Book Antiqua" w:hAnsi="Book Antiqua" w:cs="Arial"/>
          <w:lang w:val="en-US"/>
        </w:rPr>
        <w:t xml:space="preserve">other </w:t>
      </w:r>
      <w:r w:rsidRPr="00EC1298">
        <w:rPr>
          <w:rFonts w:ascii="Book Antiqua" w:hAnsi="Book Antiqua" w:cs="Arial"/>
          <w:lang w:val="en-US"/>
        </w:rPr>
        <w:t xml:space="preserve">two mechanisms and its disadvantages are manageable. </w:t>
      </w:r>
      <w:r w:rsidR="007F74BE">
        <w:rPr>
          <w:rFonts w:ascii="Book Antiqua" w:hAnsi="Book Antiqua" w:cs="Arial"/>
          <w:lang w:val="en-US"/>
        </w:rPr>
        <w:t xml:space="preserve"> </w:t>
      </w:r>
      <w:r w:rsidRPr="00EC1298">
        <w:rPr>
          <w:rFonts w:ascii="Book Antiqua" w:hAnsi="Book Antiqua" w:cs="Arial"/>
          <w:lang w:val="en-US"/>
        </w:rPr>
        <w:t xml:space="preserve">In </w:t>
      </w:r>
      <w:r w:rsidR="007F74BE">
        <w:rPr>
          <w:rFonts w:ascii="Book Antiqua" w:hAnsi="Book Antiqua" w:cs="Arial"/>
          <w:lang w:val="en-US"/>
        </w:rPr>
        <w:t>particular</w:t>
      </w:r>
      <w:r w:rsidRPr="00EC1298">
        <w:rPr>
          <w:rFonts w:ascii="Book Antiqua" w:hAnsi="Book Antiqua" w:cs="Arial"/>
          <w:lang w:val="en-US"/>
        </w:rPr>
        <w:t xml:space="preserve">, a targeted fund mechanism has the potential to </w:t>
      </w:r>
      <w:r w:rsidR="007F74BE">
        <w:rPr>
          <w:rFonts w:ascii="Book Antiqua" w:hAnsi="Book Antiqua" w:cs="Arial"/>
          <w:lang w:val="en-US"/>
        </w:rPr>
        <w:t>link</w:t>
      </w:r>
      <w:r w:rsidRPr="00EC1298">
        <w:rPr>
          <w:rFonts w:ascii="Book Antiqua" w:hAnsi="Book Antiqua" w:cs="Arial"/>
          <w:lang w:val="en-US"/>
        </w:rPr>
        <w:t xml:space="preserve"> performance </w:t>
      </w:r>
      <w:r w:rsidR="007F74BE">
        <w:rPr>
          <w:rFonts w:ascii="Book Antiqua" w:hAnsi="Book Antiqua" w:cs="Arial"/>
          <w:lang w:val="en-US"/>
        </w:rPr>
        <w:t>to</w:t>
      </w:r>
      <w:r w:rsidRPr="00EC1298">
        <w:rPr>
          <w:rFonts w:ascii="Book Antiqua" w:hAnsi="Book Antiqua" w:cs="Arial"/>
          <w:lang w:val="en-US"/>
        </w:rPr>
        <w:t xml:space="preserve"> payment – which is core to </w:t>
      </w:r>
      <w:r w:rsidR="001B6D90">
        <w:rPr>
          <w:rFonts w:ascii="Book Antiqua" w:hAnsi="Book Antiqua" w:cs="Arial"/>
          <w:lang w:val="en-US"/>
        </w:rPr>
        <w:t>REDD+</w:t>
      </w:r>
      <w:r w:rsidRPr="00EC1298">
        <w:rPr>
          <w:rFonts w:ascii="Book Antiqua" w:hAnsi="Book Antiqua" w:cs="Arial"/>
          <w:lang w:val="en-US"/>
        </w:rPr>
        <w:t xml:space="preserve"> benefit distribution – more easily than the other two. </w:t>
      </w:r>
      <w:r w:rsidR="007F74BE">
        <w:rPr>
          <w:rFonts w:ascii="Book Antiqua" w:hAnsi="Book Antiqua" w:cs="Arial"/>
          <w:lang w:val="en-US"/>
        </w:rPr>
        <w:t xml:space="preserve"> </w:t>
      </w:r>
      <w:r w:rsidRPr="00EC1298">
        <w:rPr>
          <w:rFonts w:ascii="Book Antiqua" w:hAnsi="Book Antiqua" w:cs="Arial"/>
          <w:lang w:val="en-US"/>
        </w:rPr>
        <w:t xml:space="preserve">Most importantly, </w:t>
      </w:r>
      <w:r w:rsidR="007F74BE">
        <w:rPr>
          <w:rFonts w:ascii="Book Antiqua" w:hAnsi="Book Antiqua" w:cs="Arial"/>
          <w:lang w:val="en-US"/>
        </w:rPr>
        <w:t>a</w:t>
      </w:r>
      <w:r w:rsidRPr="00EC1298">
        <w:rPr>
          <w:rFonts w:ascii="Book Antiqua" w:hAnsi="Book Antiqua" w:cs="Arial"/>
          <w:lang w:val="en-US"/>
        </w:rPr>
        <w:t xml:space="preserve"> targeted </w:t>
      </w:r>
      <w:r w:rsidR="001B6D90">
        <w:rPr>
          <w:rFonts w:ascii="Book Antiqua" w:hAnsi="Book Antiqua" w:cs="Arial"/>
          <w:lang w:val="en-US"/>
        </w:rPr>
        <w:t>REDD+</w:t>
      </w:r>
      <w:r w:rsidRPr="00EC1298">
        <w:rPr>
          <w:rFonts w:ascii="Book Antiqua" w:hAnsi="Book Antiqua" w:cs="Arial"/>
          <w:lang w:val="en-US"/>
        </w:rPr>
        <w:t xml:space="preserve"> Fund will not be part of the state budget, which removes it from complex annual budgetary process</w:t>
      </w:r>
      <w:r w:rsidR="007F74BE">
        <w:rPr>
          <w:rFonts w:ascii="Book Antiqua" w:hAnsi="Book Antiqua" w:cs="Arial"/>
          <w:lang w:val="en-US"/>
        </w:rPr>
        <w:t>es</w:t>
      </w:r>
      <w:r w:rsidRPr="00EC1298">
        <w:rPr>
          <w:rFonts w:ascii="Book Antiqua" w:hAnsi="Book Antiqua" w:cs="Arial"/>
          <w:lang w:val="en-US"/>
        </w:rPr>
        <w:t>.</w:t>
      </w:r>
    </w:p>
    <w:p w:rsidR="00351F2C" w:rsidRPr="00EC1298" w:rsidRDefault="00351F2C" w:rsidP="0041445F">
      <w:pPr>
        <w:pStyle w:val="Caption"/>
        <w:keepNext/>
        <w:spacing w:after="0" w:line="300" w:lineRule="atLeast"/>
        <w:rPr>
          <w:rFonts w:ascii="Arial" w:hAnsi="Arial" w:cs="Arial"/>
          <w:sz w:val="22"/>
          <w:szCs w:val="22"/>
        </w:rPr>
      </w:pPr>
      <w:bookmarkStart w:id="217" w:name="_Ref243820836"/>
      <w:bookmarkStart w:id="218" w:name="_Toc243930084"/>
    </w:p>
    <w:p w:rsidR="00351F2C" w:rsidRPr="00EC1298" w:rsidRDefault="00351F2C" w:rsidP="0041445F">
      <w:pPr>
        <w:pStyle w:val="Caption"/>
        <w:keepNext/>
        <w:spacing w:after="0" w:line="300" w:lineRule="atLeast"/>
        <w:jc w:val="center"/>
        <w:rPr>
          <w:rFonts w:ascii="Book Antiqua" w:hAnsi="Book Antiqua" w:cs="Arial"/>
          <w:sz w:val="22"/>
          <w:szCs w:val="22"/>
          <w:lang w:val="en-US"/>
        </w:rPr>
      </w:pPr>
      <w:r w:rsidRPr="00EC1298">
        <w:rPr>
          <w:rFonts w:ascii="Book Antiqua" w:hAnsi="Book Antiqua" w:cs="Arial"/>
          <w:sz w:val="22"/>
          <w:szCs w:val="22"/>
        </w:rPr>
        <w:t>Table 4</w:t>
      </w:r>
      <w:r w:rsidRPr="00EC1298">
        <w:rPr>
          <w:rFonts w:ascii="Book Antiqua" w:hAnsi="Book Antiqua" w:cs="Arial"/>
          <w:sz w:val="22"/>
          <w:szCs w:val="22"/>
        </w:rPr>
        <w:noBreakHyphen/>
      </w:r>
      <w:bookmarkEnd w:id="217"/>
      <w:r w:rsidR="007C40E1">
        <w:rPr>
          <w:rFonts w:ascii="Book Antiqua" w:hAnsi="Book Antiqua" w:cs="Arial"/>
          <w:sz w:val="22"/>
          <w:szCs w:val="22"/>
        </w:rPr>
        <w:t>4</w:t>
      </w:r>
      <w:r w:rsidRPr="00EC1298">
        <w:rPr>
          <w:rFonts w:ascii="Book Antiqua" w:hAnsi="Book Antiqua" w:cs="Arial"/>
          <w:sz w:val="22"/>
          <w:szCs w:val="22"/>
          <w:lang w:val="en-US"/>
        </w:rPr>
        <w:t>: Pros and cons of different financing mechanisms</w:t>
      </w:r>
      <w:bookmarkEnd w:id="218"/>
    </w:p>
    <w:tbl>
      <w:tblPr>
        <w:tblW w:w="0" w:type="auto"/>
        <w:tblBorders>
          <w:top w:val="single" w:sz="4" w:space="0" w:color="auto"/>
          <w:insideH w:val="single" w:sz="4" w:space="0" w:color="auto"/>
        </w:tblBorders>
        <w:tblLook w:val="01E0"/>
      </w:tblPr>
      <w:tblGrid>
        <w:gridCol w:w="2070"/>
        <w:gridCol w:w="3168"/>
        <w:gridCol w:w="3690"/>
      </w:tblGrid>
      <w:tr w:rsidR="00351F2C" w:rsidRPr="00EC1298">
        <w:tc>
          <w:tcPr>
            <w:tcW w:w="2070" w:type="dxa"/>
            <w:tcBorders>
              <w:top w:val="single" w:sz="4" w:space="0" w:color="FFFFFF"/>
              <w:left w:val="single" w:sz="4" w:space="0" w:color="FFFFFF"/>
              <w:bottom w:val="single" w:sz="4" w:space="0" w:color="FFFFFF"/>
              <w:right w:val="single" w:sz="4" w:space="0" w:color="FFFFFF"/>
            </w:tcBorders>
            <w:shd w:val="clear" w:color="auto" w:fill="95B3D7"/>
          </w:tcPr>
          <w:p w:rsidR="00351F2C" w:rsidRPr="00EC1298" w:rsidRDefault="00351F2C" w:rsidP="00A256CB">
            <w:pPr>
              <w:spacing w:after="0" w:line="240" w:lineRule="auto"/>
              <w:rPr>
                <w:rFonts w:ascii="Book Antiqua" w:hAnsi="Book Antiqua" w:cs="Arial"/>
                <w:b/>
                <w:lang w:val="en-US"/>
              </w:rPr>
            </w:pPr>
            <w:r w:rsidRPr="00EC1298">
              <w:rPr>
                <w:rFonts w:ascii="Book Antiqua" w:hAnsi="Book Antiqua" w:cs="Arial"/>
                <w:b/>
                <w:lang w:val="en-US"/>
              </w:rPr>
              <w:t>Financing mechanisms</w:t>
            </w:r>
          </w:p>
        </w:tc>
        <w:tc>
          <w:tcPr>
            <w:tcW w:w="3168" w:type="dxa"/>
            <w:tcBorders>
              <w:top w:val="single" w:sz="4" w:space="0" w:color="FFFFFF"/>
              <w:left w:val="single" w:sz="4" w:space="0" w:color="FFFFFF"/>
              <w:bottom w:val="single" w:sz="4" w:space="0" w:color="FFFFFF"/>
              <w:right w:val="single" w:sz="4" w:space="0" w:color="FFFFFF"/>
            </w:tcBorders>
            <w:shd w:val="clear" w:color="auto" w:fill="95B3D7"/>
          </w:tcPr>
          <w:p w:rsidR="00351F2C" w:rsidRPr="00EC1298" w:rsidRDefault="00351F2C" w:rsidP="00A256CB">
            <w:pPr>
              <w:spacing w:after="0" w:line="240" w:lineRule="auto"/>
              <w:jc w:val="center"/>
              <w:rPr>
                <w:rFonts w:ascii="Book Antiqua" w:hAnsi="Book Antiqua" w:cs="Arial"/>
                <w:b/>
                <w:lang w:val="en-US"/>
              </w:rPr>
            </w:pPr>
            <w:r w:rsidRPr="00EC1298">
              <w:rPr>
                <w:rFonts w:ascii="Book Antiqua" w:hAnsi="Book Antiqua" w:cs="Arial"/>
                <w:b/>
                <w:lang w:val="en-US"/>
              </w:rPr>
              <w:t>Advantages</w:t>
            </w:r>
          </w:p>
        </w:tc>
        <w:tc>
          <w:tcPr>
            <w:tcW w:w="3690" w:type="dxa"/>
            <w:tcBorders>
              <w:top w:val="single" w:sz="4" w:space="0" w:color="FFFFFF"/>
              <w:left w:val="single" w:sz="4" w:space="0" w:color="FFFFFF"/>
              <w:bottom w:val="single" w:sz="4" w:space="0" w:color="FFFFFF"/>
              <w:right w:val="single" w:sz="4" w:space="0" w:color="FFFFFF"/>
            </w:tcBorders>
            <w:shd w:val="clear" w:color="auto" w:fill="95B3D7"/>
          </w:tcPr>
          <w:p w:rsidR="00351F2C" w:rsidRPr="00EC1298" w:rsidRDefault="00351F2C" w:rsidP="00A256CB">
            <w:pPr>
              <w:spacing w:after="0" w:line="240" w:lineRule="auto"/>
              <w:jc w:val="center"/>
              <w:rPr>
                <w:rFonts w:ascii="Book Antiqua" w:hAnsi="Book Antiqua" w:cs="Arial"/>
                <w:b/>
                <w:lang w:val="en-US"/>
              </w:rPr>
            </w:pPr>
            <w:r w:rsidRPr="00EC1298">
              <w:rPr>
                <w:rFonts w:ascii="Book Antiqua" w:hAnsi="Book Antiqua" w:cs="Arial"/>
                <w:b/>
                <w:lang w:val="en-US"/>
              </w:rPr>
              <w:t>Disadvantages</w:t>
            </w:r>
          </w:p>
        </w:tc>
      </w:tr>
      <w:tr w:rsidR="00351F2C" w:rsidRPr="00EC1298">
        <w:tc>
          <w:tcPr>
            <w:tcW w:w="207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A256CB">
            <w:pPr>
              <w:spacing w:after="0" w:line="240" w:lineRule="auto"/>
              <w:rPr>
                <w:rFonts w:ascii="Book Antiqua" w:hAnsi="Book Antiqua" w:cs="Arial"/>
                <w:sz w:val="20"/>
                <w:szCs w:val="20"/>
                <w:lang w:val="en-US"/>
              </w:rPr>
            </w:pPr>
            <w:r w:rsidRPr="00EC1298">
              <w:rPr>
                <w:rFonts w:ascii="Book Antiqua" w:hAnsi="Book Antiqua" w:cs="Arial"/>
                <w:sz w:val="20"/>
                <w:szCs w:val="20"/>
                <w:lang w:val="en-US"/>
              </w:rPr>
              <w:t xml:space="preserve">Government budget, national </w:t>
            </w:r>
            <w:r w:rsidR="00480D3D">
              <w:rPr>
                <w:rFonts w:ascii="Book Antiqua" w:hAnsi="Book Antiqua" w:cs="Arial"/>
                <w:sz w:val="20"/>
                <w:szCs w:val="20"/>
                <w:lang w:val="en-US"/>
              </w:rPr>
              <w:t>programme</w:t>
            </w:r>
          </w:p>
        </w:tc>
        <w:tc>
          <w:tcPr>
            <w:tcW w:w="3168"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established budgetary procedures with  institutionalized audit</w:t>
            </w:r>
          </w:p>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payment on performance</w:t>
            </w:r>
          </w:p>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leverage on use of funds</w:t>
            </w:r>
          </w:p>
        </w:tc>
        <w:tc>
          <w:tcPr>
            <w:tcW w:w="369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 xml:space="preserve">no spatial targeting </w:t>
            </w:r>
          </w:p>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rigid and complex budgetary procedures</w:t>
            </w:r>
          </w:p>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weak conditionality</w:t>
            </w:r>
          </w:p>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poor stakeholder participation</w:t>
            </w:r>
          </w:p>
        </w:tc>
      </w:tr>
      <w:tr w:rsidR="00351F2C" w:rsidRPr="00EC1298">
        <w:trPr>
          <w:trHeight w:val="1177"/>
        </w:trPr>
        <w:tc>
          <w:tcPr>
            <w:tcW w:w="207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A256CB">
            <w:pPr>
              <w:spacing w:after="0" w:line="240" w:lineRule="auto"/>
              <w:rPr>
                <w:rFonts w:ascii="Book Antiqua" w:hAnsi="Book Antiqua" w:cs="Arial"/>
                <w:sz w:val="20"/>
                <w:szCs w:val="20"/>
                <w:lang w:val="en-US"/>
              </w:rPr>
            </w:pPr>
            <w:r w:rsidRPr="00EC1298">
              <w:rPr>
                <w:rFonts w:ascii="Book Antiqua" w:hAnsi="Book Antiqua" w:cs="Arial"/>
                <w:sz w:val="20"/>
                <w:szCs w:val="20"/>
                <w:lang w:val="en-US"/>
              </w:rPr>
              <w:t>Targeted funds</w:t>
            </w:r>
          </w:p>
        </w:tc>
        <w:tc>
          <w:tcPr>
            <w:tcW w:w="3168"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 xml:space="preserve">removes </w:t>
            </w:r>
            <w:r w:rsidR="00480D3D">
              <w:rPr>
                <w:rFonts w:ascii="Book Antiqua" w:hAnsi="Book Antiqua" w:cs="Arial"/>
                <w:sz w:val="20"/>
                <w:szCs w:val="20"/>
                <w:lang w:val="en-US"/>
              </w:rPr>
              <w:t>REDD+</w:t>
            </w:r>
            <w:r w:rsidRPr="00EC1298">
              <w:rPr>
                <w:rFonts w:ascii="Book Antiqua" w:hAnsi="Book Antiqua" w:cs="Arial"/>
                <w:sz w:val="20"/>
                <w:szCs w:val="20"/>
                <w:lang w:val="en-US"/>
              </w:rPr>
              <w:t xml:space="preserve"> funds from annual budgetary process</w:t>
            </w:r>
          </w:p>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 xml:space="preserve">allows earmarking of </w:t>
            </w:r>
            <w:r w:rsidR="00480D3D">
              <w:rPr>
                <w:rFonts w:ascii="Book Antiqua" w:hAnsi="Book Antiqua" w:cs="Arial"/>
                <w:sz w:val="20"/>
                <w:szCs w:val="20"/>
                <w:lang w:val="en-US"/>
              </w:rPr>
              <w:t>REDD+</w:t>
            </w:r>
            <w:r w:rsidRPr="00EC1298">
              <w:rPr>
                <w:rFonts w:ascii="Book Antiqua" w:hAnsi="Book Antiqua" w:cs="Arial"/>
                <w:sz w:val="20"/>
                <w:szCs w:val="20"/>
                <w:lang w:val="en-US"/>
              </w:rPr>
              <w:t xml:space="preserve"> funds</w:t>
            </w:r>
          </w:p>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possible to base distribution on performance</w:t>
            </w:r>
          </w:p>
        </w:tc>
        <w:tc>
          <w:tcPr>
            <w:tcW w:w="369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problem of accountability and oversight, as not part of regular budgeting and auditing process</w:t>
            </w:r>
          </w:p>
        </w:tc>
      </w:tr>
      <w:tr w:rsidR="00351F2C" w:rsidRPr="00EC1298">
        <w:trPr>
          <w:trHeight w:val="280"/>
        </w:trPr>
        <w:tc>
          <w:tcPr>
            <w:tcW w:w="207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A256CB">
            <w:pPr>
              <w:spacing w:after="0" w:line="240" w:lineRule="auto"/>
              <w:rPr>
                <w:rFonts w:ascii="Book Antiqua" w:hAnsi="Book Antiqua" w:cs="Arial"/>
                <w:sz w:val="20"/>
                <w:szCs w:val="20"/>
                <w:lang w:val="en-US"/>
              </w:rPr>
            </w:pPr>
            <w:r w:rsidRPr="00EC1298">
              <w:rPr>
                <w:rFonts w:ascii="Book Antiqua" w:hAnsi="Book Antiqua" w:cs="Arial"/>
                <w:sz w:val="20"/>
                <w:szCs w:val="20"/>
                <w:lang w:val="en-US"/>
              </w:rPr>
              <w:t>Decentralized structure (with national tax)</w:t>
            </w:r>
          </w:p>
        </w:tc>
        <w:tc>
          <w:tcPr>
            <w:tcW w:w="3168"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 xml:space="preserve">payments based on performance </w:t>
            </w:r>
          </w:p>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 xml:space="preserve">market and civil society actors produce reasonable spatial allocation </w:t>
            </w:r>
          </w:p>
        </w:tc>
        <w:tc>
          <w:tcPr>
            <w:tcW w:w="369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 xml:space="preserve">assumes </w:t>
            </w:r>
            <w:r w:rsidR="007C40E1">
              <w:rPr>
                <w:rFonts w:ascii="Book Antiqua" w:hAnsi="Book Antiqua" w:cs="Arial"/>
                <w:sz w:val="20"/>
                <w:szCs w:val="20"/>
                <w:lang w:val="en-US"/>
              </w:rPr>
              <w:t>a project-based approach, which is unlikely to be suitable for REDD+</w:t>
            </w:r>
            <w:r w:rsidRPr="00EC1298">
              <w:rPr>
                <w:rFonts w:ascii="Book Antiqua" w:hAnsi="Book Antiqua" w:cs="Arial"/>
                <w:sz w:val="20"/>
                <w:szCs w:val="20"/>
                <w:lang w:val="en-US"/>
              </w:rPr>
              <w:t xml:space="preserve"> </w:t>
            </w:r>
          </w:p>
          <w:p w:rsidR="00351F2C" w:rsidRPr="00EC1298" w:rsidRDefault="007C40E1"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Pr>
                <w:rFonts w:ascii="Book Antiqua" w:hAnsi="Book Antiqua" w:cs="Arial"/>
                <w:sz w:val="20"/>
                <w:szCs w:val="20"/>
                <w:lang w:val="en-US"/>
              </w:rPr>
              <w:t>under-</w:t>
            </w:r>
            <w:r w:rsidR="00351F2C" w:rsidRPr="00EC1298">
              <w:rPr>
                <w:rFonts w:ascii="Book Antiqua" w:hAnsi="Book Antiqua" w:cs="Arial"/>
                <w:sz w:val="20"/>
                <w:szCs w:val="20"/>
                <w:lang w:val="en-US"/>
              </w:rPr>
              <w:t>utilize</w:t>
            </w:r>
            <w:r>
              <w:rPr>
                <w:rFonts w:ascii="Book Antiqua" w:hAnsi="Book Antiqua" w:cs="Arial"/>
                <w:sz w:val="20"/>
                <w:szCs w:val="20"/>
                <w:lang w:val="en-US"/>
              </w:rPr>
              <w:t>s</w:t>
            </w:r>
            <w:r w:rsidR="00351F2C" w:rsidRPr="00EC1298">
              <w:rPr>
                <w:rFonts w:ascii="Book Antiqua" w:hAnsi="Book Antiqua" w:cs="Arial"/>
                <w:sz w:val="20"/>
                <w:szCs w:val="20"/>
                <w:lang w:val="en-US"/>
              </w:rPr>
              <w:t xml:space="preserve"> developmental capacity of government </w:t>
            </w:r>
          </w:p>
          <w:p w:rsidR="00351F2C" w:rsidRPr="00EC1298" w:rsidRDefault="00351F2C" w:rsidP="003E3CBA">
            <w:pPr>
              <w:numPr>
                <w:ilvl w:val="0"/>
                <w:numId w:val="9"/>
              </w:numPr>
              <w:tabs>
                <w:tab w:val="clear" w:pos="720"/>
                <w:tab w:val="num" w:pos="372"/>
              </w:tabs>
              <w:spacing w:after="0" w:line="240" w:lineRule="auto"/>
              <w:ind w:left="372"/>
              <w:rPr>
                <w:rFonts w:ascii="Book Antiqua" w:hAnsi="Book Antiqua" w:cs="Arial"/>
                <w:sz w:val="20"/>
                <w:szCs w:val="20"/>
                <w:lang w:val="en-US"/>
              </w:rPr>
            </w:pPr>
            <w:r w:rsidRPr="00EC1298">
              <w:rPr>
                <w:rFonts w:ascii="Book Antiqua" w:hAnsi="Book Antiqua" w:cs="Arial"/>
                <w:sz w:val="20"/>
                <w:szCs w:val="20"/>
                <w:lang w:val="en-US"/>
              </w:rPr>
              <w:t>political feasibility</w:t>
            </w:r>
          </w:p>
        </w:tc>
      </w:tr>
    </w:tbl>
    <w:p w:rsidR="00351F2C" w:rsidRPr="00445F77" w:rsidRDefault="00351F2C" w:rsidP="008F6D17">
      <w:pPr>
        <w:spacing w:after="0"/>
        <w:rPr>
          <w:rFonts w:ascii="Arial" w:hAnsi="Arial" w:cs="Arial"/>
          <w:sz w:val="24"/>
          <w:szCs w:val="24"/>
          <w:lang w:val="en-US"/>
        </w:rPr>
      </w:pPr>
    </w:p>
    <w:p w:rsidR="00351F2C" w:rsidRPr="00445F77" w:rsidRDefault="00351F2C" w:rsidP="008F6D17">
      <w:pPr>
        <w:pStyle w:val="Heading3"/>
        <w:spacing w:before="0" w:after="0"/>
        <w:rPr>
          <w:rFonts w:ascii="Arial" w:hAnsi="Arial" w:cs="Arial"/>
          <w:lang w:val="en-US"/>
        </w:rPr>
      </w:pPr>
      <w:bookmarkStart w:id="219" w:name="_Toc243929950"/>
      <w:bookmarkStart w:id="220" w:name="_Toc243984133"/>
      <w:bookmarkStart w:id="221" w:name="_Toc244327659"/>
      <w:bookmarkStart w:id="222" w:name="_Toc244327908"/>
      <w:bookmarkStart w:id="223" w:name="_Toc244586173"/>
      <w:bookmarkStart w:id="224" w:name="_Toc249079541"/>
      <w:r w:rsidRPr="00445F77">
        <w:rPr>
          <w:rFonts w:ascii="Arial" w:hAnsi="Arial" w:cs="Arial"/>
          <w:lang w:val="en-US"/>
        </w:rPr>
        <w:t xml:space="preserve">The structure for the </w:t>
      </w:r>
      <w:r w:rsidR="001B6D90">
        <w:rPr>
          <w:rFonts w:ascii="Arial" w:hAnsi="Arial" w:cs="Arial"/>
          <w:lang w:val="en-US"/>
        </w:rPr>
        <w:t>REDD+</w:t>
      </w:r>
      <w:r w:rsidRPr="00445F77">
        <w:rPr>
          <w:rFonts w:ascii="Arial" w:hAnsi="Arial" w:cs="Arial"/>
          <w:lang w:val="en-US"/>
        </w:rPr>
        <w:t xml:space="preserve"> Fund in </w:t>
      </w:r>
      <w:r w:rsidR="00480D3D">
        <w:rPr>
          <w:rFonts w:ascii="Arial" w:hAnsi="Arial" w:cs="Arial"/>
          <w:lang w:val="en-US"/>
        </w:rPr>
        <w:t>Viet Nam</w:t>
      </w:r>
      <w:bookmarkEnd w:id="219"/>
      <w:bookmarkEnd w:id="220"/>
      <w:bookmarkEnd w:id="221"/>
      <w:bookmarkEnd w:id="222"/>
      <w:bookmarkEnd w:id="223"/>
      <w:bookmarkEnd w:id="224"/>
    </w:p>
    <w:p w:rsidR="00351F2C" w:rsidRDefault="007F74BE" w:rsidP="008F6D17">
      <w:pPr>
        <w:spacing w:after="0"/>
        <w:jc w:val="both"/>
        <w:rPr>
          <w:rFonts w:ascii="Book Antiqua" w:hAnsi="Book Antiqua" w:cs="Arial"/>
          <w:lang w:val="en-US"/>
        </w:rPr>
      </w:pPr>
      <w:r>
        <w:rPr>
          <w:rFonts w:ascii="Book Antiqua" w:hAnsi="Book Antiqua" w:cs="Arial"/>
          <w:lang w:val="en-US"/>
        </w:rPr>
        <w:t xml:space="preserve">As discussed in Chapter 3, </w:t>
      </w:r>
      <w:r w:rsidR="00F65E5C">
        <w:rPr>
          <w:rFonts w:ascii="Book Antiqua" w:hAnsi="Book Antiqua" w:cs="Arial"/>
          <w:lang w:val="en-US"/>
        </w:rPr>
        <w:t>a</w:t>
      </w:r>
      <w:r w:rsidR="00F65E5C" w:rsidRPr="00EC1298">
        <w:rPr>
          <w:rFonts w:ascii="Book Antiqua" w:hAnsi="Book Antiqua" w:cs="Arial"/>
          <w:lang w:val="en-US"/>
        </w:rPr>
        <w:t xml:space="preserve"> new </w:t>
      </w:r>
      <w:r w:rsidR="00F65E5C">
        <w:rPr>
          <w:rFonts w:ascii="Book Antiqua" w:hAnsi="Book Antiqua" w:cs="Arial"/>
          <w:lang w:val="en-US"/>
        </w:rPr>
        <w:t>REDD+</w:t>
      </w:r>
      <w:r w:rsidR="00F65E5C" w:rsidRPr="00EC1298">
        <w:rPr>
          <w:rFonts w:ascii="Book Antiqua" w:hAnsi="Book Antiqua" w:cs="Arial"/>
          <w:lang w:val="en-US"/>
        </w:rPr>
        <w:t xml:space="preserve"> Fund</w:t>
      </w:r>
      <w:r w:rsidR="00F65E5C">
        <w:rPr>
          <w:rFonts w:ascii="Book Antiqua" w:hAnsi="Book Antiqua" w:cs="Arial"/>
          <w:lang w:val="en-US"/>
        </w:rPr>
        <w:t xml:space="preserve"> should </w:t>
      </w:r>
      <w:r>
        <w:rPr>
          <w:rFonts w:ascii="Book Antiqua" w:hAnsi="Book Antiqua" w:cs="Arial"/>
          <w:lang w:val="en-US"/>
        </w:rPr>
        <w:t>be</w:t>
      </w:r>
      <w:r w:rsidR="00351F2C" w:rsidRPr="00EC1298">
        <w:rPr>
          <w:rFonts w:ascii="Book Antiqua" w:hAnsi="Book Antiqua" w:cs="Arial"/>
          <w:lang w:val="en-US"/>
        </w:rPr>
        <w:t xml:space="preserve"> used to receive international </w:t>
      </w:r>
      <w:r w:rsidR="001B6D90">
        <w:rPr>
          <w:rFonts w:ascii="Book Antiqua" w:hAnsi="Book Antiqua" w:cs="Arial"/>
          <w:lang w:val="en-US"/>
        </w:rPr>
        <w:t>REDD+</w:t>
      </w:r>
      <w:r w:rsidR="00351F2C" w:rsidRPr="00EC1298">
        <w:rPr>
          <w:rFonts w:ascii="Book Antiqua" w:hAnsi="Book Antiqua" w:cs="Arial"/>
          <w:lang w:val="en-US"/>
        </w:rPr>
        <w:t xml:space="preserve"> funding</w:t>
      </w:r>
      <w:r w:rsidR="00F65E5C">
        <w:rPr>
          <w:rFonts w:ascii="Book Antiqua" w:hAnsi="Book Antiqua" w:cs="Arial"/>
          <w:lang w:val="en-US"/>
        </w:rPr>
        <w:t>, as t</w:t>
      </w:r>
      <w:r w:rsidR="00351F2C" w:rsidRPr="00EC1298">
        <w:rPr>
          <w:rFonts w:ascii="Book Antiqua" w:hAnsi="Book Antiqua" w:cs="Arial"/>
          <w:lang w:val="en-US"/>
        </w:rPr>
        <w:t xml:space="preserve">he current structure of </w:t>
      </w:r>
      <w:r>
        <w:rPr>
          <w:rFonts w:ascii="Book Antiqua" w:hAnsi="Book Antiqua" w:cs="Arial"/>
          <w:lang w:val="en-US"/>
        </w:rPr>
        <w:t xml:space="preserve">the </w:t>
      </w:r>
      <w:r w:rsidR="00351F2C" w:rsidRPr="00EC1298">
        <w:rPr>
          <w:rFonts w:ascii="Book Antiqua" w:hAnsi="Book Antiqua" w:cs="Arial"/>
          <w:lang w:val="en-US"/>
        </w:rPr>
        <w:t xml:space="preserve">FPDF does not meet international </w:t>
      </w:r>
      <w:r>
        <w:rPr>
          <w:rFonts w:ascii="Book Antiqua" w:hAnsi="Book Antiqua" w:cs="Arial"/>
          <w:lang w:val="en-US"/>
        </w:rPr>
        <w:t>expectation</w:t>
      </w:r>
      <w:r w:rsidR="00351F2C" w:rsidRPr="00EC1298">
        <w:rPr>
          <w:rFonts w:ascii="Book Antiqua" w:hAnsi="Book Antiqua" w:cs="Arial"/>
          <w:lang w:val="en-US"/>
        </w:rPr>
        <w:t xml:space="preserve">s in terms of </w:t>
      </w:r>
      <w:r>
        <w:rPr>
          <w:rFonts w:ascii="Book Antiqua" w:hAnsi="Book Antiqua" w:cs="Arial"/>
          <w:lang w:val="en-US"/>
        </w:rPr>
        <w:t>governance</w:t>
      </w:r>
      <w:r w:rsidR="00351F2C" w:rsidRPr="00EC1298">
        <w:rPr>
          <w:rFonts w:ascii="Book Antiqua" w:hAnsi="Book Antiqua" w:cs="Arial"/>
          <w:lang w:val="en-US"/>
        </w:rPr>
        <w:t xml:space="preserve"> and audit</w:t>
      </w:r>
      <w:r w:rsidR="00F65E5C">
        <w:rPr>
          <w:rFonts w:ascii="Book Antiqua" w:hAnsi="Book Antiqua" w:cs="Arial"/>
          <w:lang w:val="en-US"/>
        </w:rPr>
        <w:t>.  In particular,</w:t>
      </w:r>
      <w:r w:rsidR="00351F2C" w:rsidRPr="00EC1298">
        <w:rPr>
          <w:rFonts w:ascii="Book Antiqua" w:hAnsi="Book Antiqua" w:cs="Arial"/>
          <w:lang w:val="en-US"/>
        </w:rPr>
        <w:t xml:space="preserve"> non-state stakeholders, particularly civil societ</w:t>
      </w:r>
      <w:r>
        <w:rPr>
          <w:rFonts w:ascii="Book Antiqua" w:hAnsi="Book Antiqua" w:cs="Arial"/>
          <w:lang w:val="en-US"/>
        </w:rPr>
        <w:t>y organizations</w:t>
      </w:r>
      <w:r w:rsidR="00351F2C" w:rsidRPr="00EC1298">
        <w:rPr>
          <w:rFonts w:ascii="Book Antiqua" w:hAnsi="Book Antiqua" w:cs="Arial"/>
          <w:lang w:val="en-US"/>
        </w:rPr>
        <w:t xml:space="preserve">, are not present </w:t>
      </w:r>
      <w:r>
        <w:rPr>
          <w:rFonts w:ascii="Book Antiqua" w:hAnsi="Book Antiqua" w:cs="Arial"/>
          <w:lang w:val="en-US"/>
        </w:rPr>
        <w:t>in the</w:t>
      </w:r>
      <w:r w:rsidR="00351F2C" w:rsidRPr="00EC1298">
        <w:rPr>
          <w:rFonts w:ascii="Book Antiqua" w:hAnsi="Book Antiqua" w:cs="Arial"/>
          <w:lang w:val="en-US"/>
        </w:rPr>
        <w:t xml:space="preserve"> FPDF </w:t>
      </w:r>
      <w:r>
        <w:rPr>
          <w:rFonts w:ascii="Book Antiqua" w:hAnsi="Book Antiqua" w:cs="Arial"/>
          <w:lang w:val="en-US"/>
        </w:rPr>
        <w:t>governance structure</w:t>
      </w:r>
      <w:r w:rsidR="00351F2C" w:rsidRPr="00EC1298">
        <w:rPr>
          <w:rFonts w:ascii="Book Antiqua" w:hAnsi="Book Antiqua" w:cs="Arial"/>
          <w:lang w:val="en-US"/>
        </w:rPr>
        <w:t xml:space="preserve">, and </w:t>
      </w:r>
      <w:r w:rsidRPr="00EC1298">
        <w:rPr>
          <w:rFonts w:ascii="Book Antiqua" w:hAnsi="Book Antiqua" w:cs="Arial"/>
          <w:lang w:val="en-US"/>
        </w:rPr>
        <w:t xml:space="preserve">auditing </w:t>
      </w:r>
      <w:r>
        <w:rPr>
          <w:rFonts w:ascii="Book Antiqua" w:hAnsi="Book Antiqua" w:cs="Arial"/>
          <w:lang w:val="en-US"/>
        </w:rPr>
        <w:t xml:space="preserve">does not involve </w:t>
      </w:r>
      <w:r w:rsidR="00351F2C" w:rsidRPr="00EC1298">
        <w:rPr>
          <w:rFonts w:ascii="Book Antiqua" w:hAnsi="Book Antiqua" w:cs="Arial"/>
          <w:lang w:val="en-US"/>
        </w:rPr>
        <w:t xml:space="preserve">external auditors. </w:t>
      </w:r>
      <w:r>
        <w:rPr>
          <w:rFonts w:ascii="Book Antiqua" w:hAnsi="Book Antiqua" w:cs="Arial"/>
          <w:lang w:val="en-US"/>
        </w:rPr>
        <w:t xml:space="preserve"> </w:t>
      </w:r>
    </w:p>
    <w:p w:rsidR="007F74BE" w:rsidRPr="00EC1298" w:rsidRDefault="007F74BE" w:rsidP="0041445F">
      <w:pPr>
        <w:spacing w:after="0"/>
        <w:jc w:val="both"/>
        <w:rPr>
          <w:rFonts w:ascii="Book Antiqua" w:hAnsi="Book Antiqua" w:cs="Arial"/>
          <w:lang w:val="en-US"/>
        </w:rPr>
      </w:pPr>
    </w:p>
    <w:p w:rsidR="00351F2C" w:rsidRPr="00EC1298" w:rsidRDefault="00C47C3B" w:rsidP="00040670">
      <w:pPr>
        <w:spacing w:after="0"/>
        <w:jc w:val="both"/>
        <w:rPr>
          <w:rFonts w:ascii="Book Antiqua" w:hAnsi="Book Antiqua" w:cs="Arial"/>
          <w:lang w:val="en-US"/>
        </w:rPr>
      </w:pPr>
      <w:fldSimple w:instr=" REF _Ref243905386 \h  \* MERGEFORMAT ">
        <w:r w:rsidR="00B4351F" w:rsidRPr="00EC1298">
          <w:rPr>
            <w:rFonts w:ascii="Book Antiqua" w:hAnsi="Book Antiqua" w:cs="Arial"/>
          </w:rPr>
          <w:t>Figure 4</w:t>
        </w:r>
      </w:fldSimple>
      <w:r w:rsidR="00351F2C" w:rsidRPr="00EC1298">
        <w:rPr>
          <w:rFonts w:ascii="Book Antiqua" w:hAnsi="Book Antiqua" w:cs="Arial"/>
          <w:lang w:val="en-US"/>
        </w:rPr>
        <w:t xml:space="preserve"> presents a suggested </w:t>
      </w:r>
      <w:r w:rsidR="007F74BE">
        <w:rPr>
          <w:rFonts w:ascii="Book Antiqua" w:hAnsi="Book Antiqua" w:cs="Arial"/>
          <w:lang w:val="en-US"/>
        </w:rPr>
        <w:t xml:space="preserve">institutional </w:t>
      </w:r>
      <w:r w:rsidR="00351F2C" w:rsidRPr="00EC1298">
        <w:rPr>
          <w:rFonts w:ascii="Book Antiqua" w:hAnsi="Book Antiqua" w:cs="Arial"/>
          <w:lang w:val="en-US"/>
        </w:rPr>
        <w:t xml:space="preserve">structure </w:t>
      </w:r>
      <w:r w:rsidR="007F74BE">
        <w:rPr>
          <w:rFonts w:ascii="Book Antiqua" w:hAnsi="Book Antiqua" w:cs="Arial"/>
          <w:lang w:val="en-US"/>
        </w:rPr>
        <w:t>for a</w:t>
      </w:r>
      <w:r w:rsidR="00351F2C" w:rsidRPr="00EC1298">
        <w:rPr>
          <w:rFonts w:ascii="Book Antiqua" w:hAnsi="Book Antiqua" w:cs="Arial"/>
          <w:lang w:val="en-US"/>
        </w:rPr>
        <w:t xml:space="preserve"> </w:t>
      </w:r>
      <w:r w:rsidR="001B6D90">
        <w:rPr>
          <w:rFonts w:ascii="Book Antiqua" w:hAnsi="Book Antiqua" w:cs="Arial"/>
          <w:lang w:val="en-US"/>
        </w:rPr>
        <w:t>REDD+</w:t>
      </w:r>
      <w:r w:rsidR="007F74BE">
        <w:rPr>
          <w:rFonts w:ascii="Book Antiqua" w:hAnsi="Book Antiqua" w:cs="Arial"/>
          <w:lang w:val="en-US"/>
        </w:rPr>
        <w:t xml:space="preserve"> F</w:t>
      </w:r>
      <w:r w:rsidR="00351F2C" w:rsidRPr="00EC1298">
        <w:rPr>
          <w:rFonts w:ascii="Book Antiqua" w:hAnsi="Book Antiqua" w:cs="Arial"/>
          <w:lang w:val="en-US"/>
        </w:rPr>
        <w:t xml:space="preserve">und for </w:t>
      </w:r>
      <w:smartTag w:uri="urn:schemas-microsoft-com:office:smarttags" w:element="place">
        <w:smartTag w:uri="urn:schemas-microsoft-com:office:smarttags" w:element="country-region">
          <w:r w:rsidR="00480D3D">
            <w:rPr>
              <w:rFonts w:ascii="Book Antiqua" w:hAnsi="Book Antiqua" w:cs="Arial"/>
              <w:lang w:val="en-US"/>
            </w:rPr>
            <w:t>Viet Nam</w:t>
          </w:r>
        </w:smartTag>
      </w:smartTag>
      <w:r w:rsidR="007F74BE">
        <w:rPr>
          <w:rFonts w:ascii="Book Antiqua" w:hAnsi="Book Antiqua" w:cs="Arial"/>
          <w:lang w:val="en-US"/>
        </w:rPr>
        <w:t>, based closely on</w:t>
      </w:r>
      <w:r w:rsidR="00351F2C" w:rsidRPr="00EC1298">
        <w:rPr>
          <w:rFonts w:ascii="Book Antiqua" w:hAnsi="Book Antiqua" w:cs="Arial"/>
          <w:lang w:val="en-US"/>
        </w:rPr>
        <w:t xml:space="preserve"> the existing structure of the </w:t>
      </w:r>
      <w:r w:rsidR="00480D3D">
        <w:rPr>
          <w:rFonts w:ascii="Book Antiqua" w:hAnsi="Book Antiqua" w:cs="Arial"/>
          <w:lang w:val="en-US"/>
        </w:rPr>
        <w:t>Viet Nam</w:t>
      </w:r>
      <w:r w:rsidR="00351F2C" w:rsidRPr="00EC1298">
        <w:rPr>
          <w:rFonts w:ascii="Book Antiqua" w:hAnsi="Book Antiqua" w:cs="Arial"/>
          <w:lang w:val="en-US"/>
        </w:rPr>
        <w:t xml:space="preserve"> FPDF</w:t>
      </w:r>
      <w:r w:rsidR="007F74BE">
        <w:rPr>
          <w:rFonts w:ascii="Book Antiqua" w:hAnsi="Book Antiqua" w:cs="Arial"/>
          <w:lang w:val="en-US"/>
        </w:rPr>
        <w:t>, but with modifications</w:t>
      </w:r>
      <w:r w:rsidR="00351F2C" w:rsidRPr="00EC1298">
        <w:rPr>
          <w:rFonts w:ascii="Book Antiqua" w:hAnsi="Book Antiqua" w:cs="Arial"/>
          <w:lang w:val="en-US"/>
        </w:rPr>
        <w:t xml:space="preserve"> to meet international </w:t>
      </w:r>
      <w:r w:rsidR="007F74BE">
        <w:rPr>
          <w:rFonts w:ascii="Book Antiqua" w:hAnsi="Book Antiqua" w:cs="Arial"/>
          <w:lang w:val="en-US"/>
        </w:rPr>
        <w:t>expectations</w:t>
      </w:r>
      <w:r w:rsidR="00351F2C" w:rsidRPr="00EC1298">
        <w:rPr>
          <w:rFonts w:ascii="Book Antiqua" w:hAnsi="Book Antiqua" w:cs="Arial"/>
          <w:lang w:val="en-US"/>
        </w:rPr>
        <w:t xml:space="preserve"> and to improve the accountability. </w:t>
      </w:r>
      <w:r w:rsidR="007F74BE">
        <w:rPr>
          <w:rFonts w:ascii="Book Antiqua" w:hAnsi="Book Antiqua" w:cs="Arial"/>
          <w:lang w:val="en-US"/>
        </w:rPr>
        <w:t xml:space="preserve"> </w:t>
      </w:r>
      <w:r w:rsidR="00351F2C" w:rsidRPr="00EC1298">
        <w:rPr>
          <w:rFonts w:ascii="Book Antiqua" w:hAnsi="Book Antiqua" w:cs="Arial"/>
          <w:lang w:val="en-US"/>
        </w:rPr>
        <w:t xml:space="preserve">The new structure will allow financial auditing by external auditors who are internationally certified. Stakeholder involvement in fund management will also be improved. </w:t>
      </w:r>
      <w:r w:rsidR="007F74BE">
        <w:rPr>
          <w:rFonts w:ascii="Book Antiqua" w:hAnsi="Book Antiqua" w:cs="Arial"/>
          <w:lang w:val="en-US"/>
        </w:rPr>
        <w:t xml:space="preserve"> </w:t>
      </w:r>
      <w:r w:rsidR="00351F2C" w:rsidRPr="00EC1298">
        <w:rPr>
          <w:rFonts w:ascii="Book Antiqua" w:hAnsi="Book Antiqua" w:cs="Arial"/>
          <w:lang w:val="en-US"/>
        </w:rPr>
        <w:t xml:space="preserve">Members of the Fund Management Council, Fund Administration Board, and Fund Inspection Board at the national level will include non-state actors, particularly those from civil society. </w:t>
      </w:r>
      <w:r w:rsidR="007F74BE">
        <w:rPr>
          <w:rFonts w:ascii="Book Antiqua" w:hAnsi="Book Antiqua" w:cs="Arial"/>
          <w:lang w:val="en-US"/>
        </w:rPr>
        <w:t xml:space="preserve"> </w:t>
      </w:r>
      <w:r w:rsidR="00351F2C" w:rsidRPr="00EC1298">
        <w:rPr>
          <w:rFonts w:ascii="Book Antiqua" w:hAnsi="Book Antiqua" w:cs="Arial"/>
          <w:lang w:val="en-US"/>
        </w:rPr>
        <w:t xml:space="preserve">These stakeholders will be involved in the discussion, decision making and monitoring of the use and distribution of </w:t>
      </w:r>
      <w:r w:rsidR="00480D3D">
        <w:rPr>
          <w:rFonts w:ascii="Book Antiqua" w:hAnsi="Book Antiqua" w:cs="Arial"/>
          <w:lang w:val="en-US"/>
        </w:rPr>
        <w:t>REDD+</w:t>
      </w:r>
      <w:r w:rsidR="00351F2C" w:rsidRPr="00EC1298">
        <w:rPr>
          <w:rFonts w:ascii="Book Antiqua" w:hAnsi="Book Antiqua" w:cs="Arial"/>
          <w:lang w:val="en-US"/>
        </w:rPr>
        <w:t xml:space="preserve"> Fund at the national and sub-national levels.</w:t>
      </w:r>
    </w:p>
    <w:p w:rsidR="00351F2C" w:rsidRPr="00EC1298" w:rsidRDefault="00351F2C" w:rsidP="00040670">
      <w:pPr>
        <w:spacing w:after="0"/>
        <w:jc w:val="both"/>
        <w:rPr>
          <w:rFonts w:ascii="Book Antiqua" w:hAnsi="Book Antiqua" w:cs="Arial"/>
          <w:lang w:val="en-US"/>
        </w:rPr>
      </w:pPr>
    </w:p>
    <w:p w:rsidR="00351F2C" w:rsidRPr="00EC1298" w:rsidRDefault="00351F2C" w:rsidP="00040670">
      <w:pPr>
        <w:pStyle w:val="Caption"/>
        <w:keepNext/>
        <w:spacing w:after="0"/>
        <w:jc w:val="center"/>
        <w:rPr>
          <w:rFonts w:ascii="Book Antiqua" w:hAnsi="Book Antiqua" w:cs="Arial"/>
          <w:noProof/>
          <w:sz w:val="22"/>
          <w:szCs w:val="22"/>
        </w:rPr>
      </w:pPr>
      <w:bookmarkStart w:id="225" w:name="_Ref243905386"/>
      <w:bookmarkStart w:id="226" w:name="_Toc243930055"/>
      <w:r w:rsidRPr="00EC1298">
        <w:rPr>
          <w:rFonts w:ascii="Book Antiqua" w:hAnsi="Book Antiqua" w:cs="Arial"/>
          <w:sz w:val="22"/>
          <w:szCs w:val="22"/>
        </w:rPr>
        <w:t>Figure 4</w:t>
      </w:r>
      <w:bookmarkEnd w:id="225"/>
      <w:r w:rsidRPr="00EC1298">
        <w:rPr>
          <w:rFonts w:ascii="Book Antiqua" w:hAnsi="Book Antiqua" w:cs="Arial"/>
          <w:sz w:val="22"/>
          <w:szCs w:val="22"/>
        </w:rPr>
        <w:t>.2</w:t>
      </w:r>
      <w:r w:rsidRPr="00EC1298">
        <w:rPr>
          <w:rFonts w:ascii="Book Antiqua" w:hAnsi="Book Antiqua" w:cs="Arial"/>
          <w:noProof/>
          <w:sz w:val="22"/>
          <w:szCs w:val="22"/>
        </w:rPr>
        <w:t xml:space="preserve">: Suggested </w:t>
      </w:r>
      <w:r w:rsidR="00040670">
        <w:rPr>
          <w:rFonts w:ascii="Book Antiqua" w:hAnsi="Book Antiqua" w:cs="Arial"/>
          <w:noProof/>
          <w:sz w:val="22"/>
          <w:szCs w:val="22"/>
        </w:rPr>
        <w:t xml:space="preserve">institutional </w:t>
      </w:r>
      <w:r w:rsidRPr="00EC1298">
        <w:rPr>
          <w:rFonts w:ascii="Book Antiqua" w:hAnsi="Book Antiqua" w:cs="Arial"/>
          <w:noProof/>
          <w:sz w:val="22"/>
          <w:szCs w:val="22"/>
        </w:rPr>
        <w:t xml:space="preserve">structure </w:t>
      </w:r>
      <w:r w:rsidR="00040670">
        <w:rPr>
          <w:rFonts w:ascii="Book Antiqua" w:hAnsi="Book Antiqua" w:cs="Arial"/>
          <w:noProof/>
          <w:sz w:val="22"/>
          <w:szCs w:val="22"/>
        </w:rPr>
        <w:t>for</w:t>
      </w:r>
      <w:r w:rsidRPr="00EC1298">
        <w:rPr>
          <w:rFonts w:ascii="Book Antiqua" w:hAnsi="Book Antiqua" w:cs="Arial"/>
          <w:noProof/>
          <w:sz w:val="22"/>
          <w:szCs w:val="22"/>
        </w:rPr>
        <w:t xml:space="preserve"> </w:t>
      </w:r>
      <w:r w:rsidR="00480D3D">
        <w:rPr>
          <w:rFonts w:ascii="Book Antiqua" w:hAnsi="Book Antiqua" w:cs="Arial"/>
          <w:noProof/>
          <w:sz w:val="22"/>
          <w:szCs w:val="22"/>
        </w:rPr>
        <w:t>REDD+</w:t>
      </w:r>
      <w:r w:rsidRPr="00EC1298">
        <w:rPr>
          <w:rFonts w:ascii="Book Antiqua" w:hAnsi="Book Antiqua" w:cs="Arial"/>
          <w:noProof/>
          <w:sz w:val="22"/>
          <w:szCs w:val="22"/>
        </w:rPr>
        <w:t xml:space="preserve"> funding for </w:t>
      </w:r>
      <w:smartTag w:uri="urn:schemas-microsoft-com:office:smarttags" w:element="country-region">
        <w:smartTag w:uri="urn:schemas-microsoft-com:office:smarttags" w:element="place">
          <w:r w:rsidR="00480D3D">
            <w:rPr>
              <w:rFonts w:ascii="Book Antiqua" w:hAnsi="Book Antiqua" w:cs="Arial"/>
              <w:noProof/>
              <w:sz w:val="22"/>
              <w:szCs w:val="22"/>
            </w:rPr>
            <w:t>Viet Nam</w:t>
          </w:r>
        </w:smartTag>
      </w:smartTag>
      <w:bookmarkEnd w:id="226"/>
    </w:p>
    <w:p w:rsidR="00351F2C" w:rsidRPr="00445F77" w:rsidRDefault="00C47C3B" w:rsidP="004D47BB">
      <w:pPr>
        <w:spacing w:before="120" w:after="120"/>
        <w:jc w:val="center"/>
        <w:rPr>
          <w:rFonts w:ascii="Arial" w:hAnsi="Arial" w:cs="Arial"/>
          <w:sz w:val="24"/>
          <w:szCs w:val="24"/>
          <w:lang w:val="en-US"/>
        </w:rPr>
      </w:pPr>
      <w:r>
        <w:rPr>
          <w:rFonts w:ascii="Arial" w:hAnsi="Arial" w:cs="Arial"/>
          <w:sz w:val="24"/>
          <w:szCs w:val="24"/>
          <w:lang w:val="en-US"/>
        </w:rPr>
      </w:r>
      <w:r>
        <w:rPr>
          <w:rFonts w:ascii="Arial" w:hAnsi="Arial" w:cs="Arial"/>
          <w:sz w:val="24"/>
          <w:szCs w:val="24"/>
          <w:lang w:val="en-US"/>
        </w:rPr>
        <w:pict>
          <v:group id="_x0000_s1568" editas="canvas" style="width:431.25pt;height:232.6pt;mso-position-horizontal-relative:char;mso-position-vertical-relative:line" coordsize="8625,4652">
            <o:lock v:ext="edit" aspectratio="t"/>
            <v:shape id="_x0000_s1567" type="#_x0000_t75" style="position:absolute;width:8625;height:4652" o:preferrelative="f">
              <v:fill o:detectmouseclick="t"/>
              <v:path o:extrusionok="t" o:connecttype="none"/>
              <o:lock v:ext="edit" text="t"/>
            </v:shape>
            <v:group id="_x0000_s1622" style="position:absolute;left:5;top:3775;width:2184;height:784" coordorigin="5,4094" coordsize="2184,465">
              <v:rect id="_x0000_s1620" style="position:absolute;left:5;top:4094;width:2184;height:465" fillcolor="#cff" stroked="f"/>
              <v:rect id="_x0000_s1621" style="position:absolute;left:5;top:4094;width:2184;height:465" filled="f" strokeweight="39e-5mm">
                <v:stroke endcap="round"/>
              </v:rect>
            </v:group>
            <v:group id="_x0000_s1618" style="position:absolute;left:5723;top:3775;width:2183;height:784" coordorigin="5723,4094" coordsize="2183,465">
              <v:rect id="_x0000_s1616" style="position:absolute;left:5723;top:4094;width:2183;height:465" fillcolor="#cff" stroked="f"/>
              <v:rect id="_x0000_s1617" style="position:absolute;left:5723;top:4094;width:2183;height:465" filled="f" strokeweight="39e-5mm">
                <v:stroke endcap="round"/>
              </v:rect>
            </v:group>
            <v:group id="_x0000_s1579" style="position:absolute;left:2794;top:1736;width:2291;height:552" coordorigin="2794,1779" coordsize="2291,552">
              <v:rect id="_x0000_s1577" style="position:absolute;left:2794;top:1779;width:2291;height:552" fillcolor="#cff" stroked="f"/>
              <v:rect id="_x0000_s1578" style="position:absolute;left:2794;top:1779;width:2291;height:552" filled="f" strokeweight="39e-5mm">
                <v:stroke endcap="round"/>
              </v:rect>
            </v:group>
            <v:rect id="_x0000_s1576" style="position:absolute;left:2978;top:1806;width:1949;height:438" filled="f" stroked="f">
              <v:textbox style="mso-next-textbox:#_x0000_s1576" inset="0,0,0,0">
                <w:txbxContent>
                  <w:p w:rsidR="00B4351F" w:rsidRDefault="00B4351F" w:rsidP="00040670">
                    <w:pPr>
                      <w:jc w:val="center"/>
                    </w:pPr>
                    <w:r>
                      <w:rPr>
                        <w:rFonts w:ascii="Arial" w:hAnsi="Arial" w:cs="Arial"/>
                        <w:color w:val="000000"/>
                        <w:sz w:val="18"/>
                        <w:szCs w:val="18"/>
                      </w:rPr>
                      <w:t>National level REDD+ Fund</w:t>
                    </w:r>
                  </w:p>
                </w:txbxContent>
              </v:textbox>
            </v:rect>
            <v:shape id="_x0000_s1581" style="position:absolute;left:3885;top:667;width:109;height:1069" coordsize="160,909" path="m94,13r,785hdc94,806,88,812,80,812v-7,,-13,-6,-13,-14hal67,13hdc67,6,73,,80,v8,,14,6,14,13haxm160,749l80,909,,749r160,xe" fillcolor="black" strokeweight="31e-5mm">
              <v:stroke joinstyle="bevel"/>
              <v:path arrowok="t"/>
              <o:lock v:ext="edit" verticies="t"/>
            </v:shape>
            <v:rect id="_x0000_s1589" style="position:absolute;left:162;top:3923;width:1780;height:528" filled="f" stroked="f">
              <v:textbox style="mso-next-textbox:#_x0000_s1589" inset="0,0,0,0">
                <w:txbxContent>
                  <w:p w:rsidR="00B4351F" w:rsidRDefault="00B4351F" w:rsidP="00040670">
                    <w:pPr>
                      <w:jc w:val="center"/>
                    </w:pPr>
                    <w:r>
                      <w:rPr>
                        <w:rFonts w:ascii="Arial" w:hAnsi="Arial" w:cs="Arial"/>
                        <w:color w:val="000000"/>
                        <w:sz w:val="18"/>
                        <w:szCs w:val="18"/>
                      </w:rPr>
                      <w:t>Sub-national level REDD+ Fund A</w:t>
                    </w:r>
                  </w:p>
                </w:txbxContent>
              </v:textbox>
            </v:rect>
            <v:group id="_x0000_s1592" style="position:absolute;left:2664;top:6;width:2551;height:670" coordorigin="2664,6" coordsize="2551,670">
              <v:rect id="_x0000_s1590" style="position:absolute;left:2664;top:6;width:2551;height:670" fillcolor="#cff" stroked="f"/>
              <v:rect id="_x0000_s1591" style="position:absolute;left:2664;top:6;width:2551;height:670" filled="f" strokeweight="39e-5mm">
                <v:stroke endcap="round"/>
              </v:rect>
            </v:group>
            <v:rect id="_x0000_s1593" style="position:absolute;left:2749;top:159;width:2412;height:438;mso-wrap-style:none" filled="f" stroked="f">
              <v:textbox style="mso-next-textbox:#_x0000_s1593;mso-fit-shape-to-text:t" inset="0,0,0,0">
                <w:txbxContent>
                  <w:p w:rsidR="00B4351F" w:rsidRDefault="00B4351F" w:rsidP="00040670">
                    <w:r>
                      <w:rPr>
                        <w:rFonts w:ascii="Arial" w:hAnsi="Arial" w:cs="Arial"/>
                        <w:color w:val="000000"/>
                        <w:sz w:val="18"/>
                        <w:szCs w:val="18"/>
                      </w:rPr>
                      <w:t>International REDD Revenues</w:t>
                    </w:r>
                  </w:p>
                </w:txbxContent>
              </v:textbox>
            </v:rect>
            <v:group id="_x0000_s1596" style="position:absolute;left:5507;top:1325;width:3102;height:1471" coordorigin="5507,1325" coordsize="3102,1471">
              <v:oval id="_x0000_s1594" style="position:absolute;left:5507;top:1325;width:3102;height:1471" fillcolor="#cff" strokeweight="0"/>
              <v:oval id="_x0000_s1595" style="position:absolute;left:5507;top:1325;width:3102;height:1471" filled="f" strokeweight="39e-5mm">
                <v:stroke endcap="round"/>
              </v:oval>
            </v:group>
            <v:rect id="_x0000_s1597" style="position:absolute;left:5919;top:1612;width:2251;height:438" filled="f" stroked="f">
              <v:textbox style="mso-next-textbox:#_x0000_s1597;mso-fit-shape-to-text:t" inset="0,0,0,0">
                <w:txbxContent>
                  <w:p w:rsidR="00B4351F" w:rsidRDefault="00B4351F" w:rsidP="00040670">
                    <w:r>
                      <w:rPr>
                        <w:rFonts w:ascii="Arial" w:hAnsi="Arial" w:cs="Arial"/>
                        <w:color w:val="000000"/>
                        <w:sz w:val="18"/>
                        <w:szCs w:val="18"/>
                      </w:rPr>
                      <w:t>Stakeholder participation in</w:t>
                    </w:r>
                  </w:p>
                </w:txbxContent>
              </v:textbox>
            </v:rect>
            <v:rect id="_x0000_s1598" style="position:absolute;left:5919;top:1850;width:2281;height:438" filled="f" stroked="f">
              <v:textbox style="mso-next-textbox:#_x0000_s1598;mso-fit-shape-to-text:t" inset="0,0,0,0">
                <w:txbxContent>
                  <w:p w:rsidR="00B4351F" w:rsidRDefault="00B4351F" w:rsidP="00040670">
                    <w:r>
                      <w:rPr>
                        <w:rFonts w:ascii="Arial" w:hAnsi="Arial" w:cs="Arial"/>
                        <w:color w:val="000000"/>
                        <w:sz w:val="18"/>
                        <w:szCs w:val="18"/>
                      </w:rPr>
                      <w:t xml:space="preserve">Fund Management Council, </w:t>
                    </w:r>
                  </w:p>
                </w:txbxContent>
              </v:textbox>
            </v:rect>
            <v:rect id="_x0000_s1599" style="position:absolute;left:5919;top:2088;width:2261;height:438" filled="f" stroked="f">
              <v:textbox style="mso-next-textbox:#_x0000_s1599;mso-fit-shape-to-text:t" inset="0,0,0,0">
                <w:txbxContent>
                  <w:p w:rsidR="00B4351F" w:rsidRDefault="00B4351F" w:rsidP="00040670">
                    <w:r>
                      <w:rPr>
                        <w:rFonts w:ascii="Arial" w:hAnsi="Arial" w:cs="Arial"/>
                        <w:color w:val="000000"/>
                        <w:sz w:val="18"/>
                        <w:szCs w:val="18"/>
                      </w:rPr>
                      <w:t xml:space="preserve">Fund Administration Board,  </w:t>
                    </w:r>
                  </w:p>
                </w:txbxContent>
              </v:textbox>
            </v:rect>
            <v:rect id="_x0000_s1600" style="position:absolute;left:5919;top:2326;width:2064;height:438" filled="f" stroked="f">
              <v:textbox style="mso-next-textbox:#_x0000_s1600;mso-fit-shape-to-text:t" inset="0,0,0,0">
                <w:txbxContent>
                  <w:p w:rsidR="00B4351F" w:rsidRDefault="00B4351F" w:rsidP="00040670">
                    <w:r>
                      <w:rPr>
                        <w:rFonts w:ascii="Arial" w:hAnsi="Arial" w:cs="Arial"/>
                        <w:color w:val="000000"/>
                        <w:sz w:val="18"/>
                        <w:szCs w:val="18"/>
                      </w:rPr>
                      <w:t>Fund Inspection Board</w:t>
                    </w:r>
                  </w:p>
                </w:txbxContent>
              </v:textbox>
            </v:rect>
            <v:group id="_x0000_s1603" style="position:absolute;left:92;top:1563;width:2183;height:984" coordorigin="92,1563" coordsize="2183,984">
              <v:oval id="_x0000_s1601" style="position:absolute;left:92;top:1563;width:2183;height:984" fillcolor="#cff" strokeweight="0"/>
              <v:shape id="_x0000_s1602" style="position:absolute;left:92;top:1563;width:2183;height:984" coordsize="2183,984" path="m1091,hdc489,,,220,,492,,765,489,984,1091,984v604,,1092,-219,1092,-492c2183,220,1695,,1091,e" filled="f" strokeweight="39e-5mm">
                <v:stroke endcap="round"/>
                <v:path arrowok="t"/>
              </v:shape>
            </v:group>
            <v:rect id="_x0000_s1604" style="position:absolute;left:540;top:1969;width:1351;height:438;mso-wrap-style:none" filled="f" stroked="f">
              <v:textbox style="mso-next-textbox:#_x0000_s1604;mso-fit-shape-to-text:t" inset="0,0,0,0">
                <w:txbxContent>
                  <w:p w:rsidR="00B4351F" w:rsidRDefault="00B4351F" w:rsidP="00040670">
                    <w:r>
                      <w:rPr>
                        <w:rFonts w:ascii="Arial" w:hAnsi="Arial" w:cs="Arial"/>
                        <w:color w:val="000000"/>
                        <w:sz w:val="18"/>
                        <w:szCs w:val="18"/>
                      </w:rPr>
                      <w:t>External auditors</w:t>
                    </w:r>
                  </w:p>
                </w:txbxContent>
              </v:textbox>
            </v:rect>
            <v:shape id="_x0000_s1606" style="position:absolute;left:2266;top:2006;width:528;height:109" coordsize="781,160" path="m13,67r657,hdc678,67,684,73,684,80v,8,-6,14,-14,14hal13,94hdc6,94,,88,,80,,73,6,67,13,67haxm621,l781,80,621,160,621,xe" fillcolor="black" strokeweight="31e-5mm">
              <v:stroke joinstyle="bevel"/>
              <v:path arrowok="t"/>
              <o:lock v:ext="edit" verticies="t"/>
            </v:shape>
            <v:shape id="_x0000_s1607" style="position:absolute;left:5085;top:2006;width:431;height:109" coordsize="638,160" path="m624,94r-512,hdc104,94,98,88,98,80v,-7,6,-13,14,-13hal624,67hdc632,67,638,73,638,80v,8,-6,14,-14,14haxm160,160l,80,160,r,160xe" fillcolor="black" strokeweight="31e-5mm">
              <v:stroke joinstyle="bevel"/>
              <v:path arrowok="t"/>
              <o:lock v:ext="edit" verticies="t"/>
            </v:shape>
            <v:shape id="_x0000_s1608" style="position:absolute;left:3885;top:2571;width:2085;height:1204" coordsize="3086,1469" path="m3086,13r,224hdc3086,245,3080,251,3072,251hal80,251,94,237r,1121hdc94,1366,88,1372,80,1372v-7,,-13,-6,-13,-14hal67,237hdc67,230,73,224,80,224hal3072,224r-13,13l3059,13hdc3059,6,3065,,3072,v8,,14,6,14,13haxm160,1309l80,1469,,1309r160,xe" fillcolor="black" strokeweight="31e-5mm">
              <v:stroke joinstyle="bevel"/>
              <v:path arrowok="t"/>
              <o:lock v:ext="edit" verticies="t"/>
            </v:shape>
            <v:shape id="_x0000_s1609" style="position:absolute;left:1942;top:2398;width:2052;height:1377" coordsize="3037,1725" path="m27,13r,480l13,480r2944,hdc2965,480,2971,486,2971,493hal2971,1614hdc2971,1622,2965,1628,2957,1628v-7,,-13,-6,-13,-14hal2944,493r13,14l13,507hdc6,507,,501,,493hal,13hdc,6,6,,13,v8,,14,6,14,13haxm3037,1565r-80,160l2877,1565r160,xe" fillcolor="black" strokeweight="31e-5mm">
              <v:stroke joinstyle="bevel"/>
              <v:path arrowok="t"/>
              <o:lock v:ext="edit" verticies="t"/>
            </v:shape>
            <v:shape id="_x0000_s1610" style="position:absolute;left:3949;top:2322;width:2920;height:1453" coordsize="4349,1837" path="m27,13r,1152l13,1152r4256,hdc4277,1152,4283,1158,4283,1165hal4283,1726hdc4283,1734,4277,1740,4269,1740v-7,,-13,-6,-13,-14hal4256,1165r13,14l13,1179hdc6,1179,,1173,,1165hal,13hdc,6,6,,13,v8,,14,6,14,13haxm4349,1677r-80,160l4189,1677r160,xe" fillcolor="black" strokeweight="31e-5mm">
              <v:stroke joinstyle="bevel"/>
              <v:path arrowok="t"/>
              <o:lock v:ext="edit" verticies="t"/>
            </v:shape>
            <v:shape id="_x0000_s1611" style="position:absolute;left:1043;top:2322;width:2906;height:1453" coordsize="4302,1837" path="m4302,13r,1152hdc4302,1173,4296,1179,4288,1179hal80,1179r14,-14l94,1726hdc94,1734,88,1740,80,1740v-7,,-13,-6,-13,-14hal67,1165hdc67,1158,73,1152,80,1152hal4288,1152r-13,13l4275,13hdc4275,6,4281,,4288,v8,,14,6,14,13haxm160,1677l80,1837,,1677r160,xe" fillcolor="black" strokeweight="31e-5mm">
              <v:stroke joinstyle="bevel"/>
              <v:path arrowok="t"/>
              <o:lock v:ext="edit" verticies="t"/>
            </v:shape>
            <v:group id="_x0000_s1614" style="position:absolute;left:2848;top:3775;width:2183;height:784" coordorigin="2848,4094" coordsize="2183,465">
              <v:rect id="_x0000_s1612" style="position:absolute;left:2848;top:4094;width:2183;height:465" fillcolor="#cff" stroked="f"/>
              <v:rect id="_x0000_s1613" style="position:absolute;left:2848;top:4094;width:2183;height:465" filled="f" strokeweight="39e-5mm">
                <v:stroke endcap="round"/>
              </v:rect>
            </v:group>
            <v:rect id="_x0000_s1624" style="position:absolute;left:3017;top:3923;width:1780;height:528" filled="f" stroked="f">
              <v:textbox style="mso-next-textbox:#_x0000_s1624" inset="0,0,0,0">
                <w:txbxContent>
                  <w:p w:rsidR="00B4351F" w:rsidRDefault="00B4351F" w:rsidP="00040670">
                    <w:pPr>
                      <w:jc w:val="center"/>
                    </w:pPr>
                    <w:r>
                      <w:rPr>
                        <w:rFonts w:ascii="Arial" w:hAnsi="Arial" w:cs="Arial"/>
                        <w:color w:val="000000"/>
                        <w:sz w:val="18"/>
                        <w:szCs w:val="18"/>
                      </w:rPr>
                      <w:t>Sub-national level REDD+ Fund B</w:t>
                    </w:r>
                  </w:p>
                </w:txbxContent>
              </v:textbox>
            </v:rect>
            <v:rect id="_x0000_s1625" style="position:absolute;left:5880;top:3923;width:1780;height:528" filled="f" stroked="f">
              <v:textbox style="mso-next-textbox:#_x0000_s1625" inset="0,0,0,0">
                <w:txbxContent>
                  <w:p w:rsidR="00B4351F" w:rsidRDefault="00B4351F" w:rsidP="00040670">
                    <w:pPr>
                      <w:jc w:val="center"/>
                    </w:pPr>
                    <w:r>
                      <w:rPr>
                        <w:rFonts w:ascii="Arial" w:hAnsi="Arial" w:cs="Arial"/>
                        <w:color w:val="000000"/>
                        <w:sz w:val="18"/>
                        <w:szCs w:val="18"/>
                      </w:rPr>
                      <w:t>Sub-national level REDD+ Fund C, etc.</w:t>
                    </w:r>
                  </w:p>
                </w:txbxContent>
              </v:textbox>
            </v:rect>
            <w10:wrap type="none"/>
            <w10:anchorlock/>
          </v:group>
        </w:pict>
      </w:r>
    </w:p>
    <w:p w:rsidR="00351F2C" w:rsidRPr="00445F77" w:rsidRDefault="00351F2C" w:rsidP="004D47BB">
      <w:pPr>
        <w:spacing w:before="120" w:after="120"/>
        <w:rPr>
          <w:rFonts w:ascii="Arial" w:hAnsi="Arial" w:cs="Arial"/>
          <w:sz w:val="24"/>
          <w:szCs w:val="24"/>
          <w:lang w:val="en-US"/>
        </w:rPr>
      </w:pPr>
    </w:p>
    <w:tbl>
      <w:tblPr>
        <w:tblW w:w="5000" w:type="pct"/>
        <w:jc w:val="right"/>
        <w:tblBorders>
          <w:insideH w:val="single" w:sz="24" w:space="0" w:color="FFFFFF"/>
          <w:insideV w:val="single" w:sz="24" w:space="0" w:color="FFFFFF"/>
        </w:tblBorders>
        <w:tblLook w:val="00A0"/>
      </w:tblPr>
      <w:tblGrid>
        <w:gridCol w:w="2211"/>
        <w:gridCol w:w="6793"/>
      </w:tblGrid>
      <w:tr w:rsidR="00351F2C" w:rsidRPr="00445F77">
        <w:trPr>
          <w:tblHeader/>
          <w:jc w:val="right"/>
        </w:trPr>
        <w:tc>
          <w:tcPr>
            <w:tcW w:w="5000" w:type="pct"/>
            <w:gridSpan w:val="2"/>
            <w:tcBorders>
              <w:top w:val="single" w:sz="24" w:space="0" w:color="FFFFFF"/>
              <w:bottom w:val="single" w:sz="24" w:space="0" w:color="FFFFFF"/>
            </w:tcBorders>
            <w:shd w:val="clear" w:color="auto" w:fill="76923C"/>
            <w:vAlign w:val="center"/>
          </w:tcPr>
          <w:p w:rsidR="00351F2C" w:rsidRPr="00EC1298" w:rsidRDefault="00351F2C" w:rsidP="00A256CB">
            <w:pPr>
              <w:spacing w:after="0" w:line="240" w:lineRule="auto"/>
              <w:jc w:val="center"/>
              <w:rPr>
                <w:rFonts w:ascii="Book Antiqua" w:hAnsi="Book Antiqua" w:cs="Arial"/>
                <w:b/>
                <w:color w:val="FFFFFF"/>
                <w:sz w:val="24"/>
                <w:szCs w:val="24"/>
              </w:rPr>
            </w:pPr>
            <w:r w:rsidRPr="00EC1298">
              <w:rPr>
                <w:rFonts w:ascii="Book Antiqua" w:hAnsi="Book Antiqua" w:cs="Arial"/>
                <w:b/>
                <w:color w:val="FFFFFF"/>
                <w:sz w:val="24"/>
                <w:szCs w:val="24"/>
              </w:rPr>
              <w:t>POLICY DECISION 4.1</w:t>
            </w:r>
          </w:p>
          <w:p w:rsidR="00351F2C" w:rsidRPr="00445F77" w:rsidRDefault="00351F2C" w:rsidP="00A256CB">
            <w:pPr>
              <w:spacing w:after="0" w:line="240" w:lineRule="auto"/>
              <w:jc w:val="center"/>
              <w:rPr>
                <w:rFonts w:ascii="Arial" w:hAnsi="Arial" w:cs="Arial"/>
                <w:b/>
                <w:color w:val="FFFFFF"/>
                <w:sz w:val="24"/>
                <w:szCs w:val="24"/>
              </w:rPr>
            </w:pPr>
            <w:r w:rsidRPr="00EC1298">
              <w:rPr>
                <w:rFonts w:ascii="Book Antiqua" w:hAnsi="Book Antiqua" w:cs="Arial"/>
                <w:b/>
                <w:color w:val="FFFFFF"/>
                <w:sz w:val="24"/>
                <w:szCs w:val="24"/>
              </w:rPr>
              <w:t xml:space="preserve">Classification of </w:t>
            </w:r>
            <w:r w:rsidR="001B6D90">
              <w:rPr>
                <w:rFonts w:ascii="Book Antiqua" w:hAnsi="Book Antiqua" w:cs="Arial"/>
                <w:b/>
                <w:color w:val="FFFFFF"/>
                <w:sz w:val="24"/>
                <w:szCs w:val="24"/>
              </w:rPr>
              <w:t>REDD+</w:t>
            </w:r>
            <w:r w:rsidRPr="00EC1298">
              <w:rPr>
                <w:rFonts w:ascii="Book Antiqua" w:hAnsi="Book Antiqua" w:cs="Arial"/>
                <w:b/>
                <w:color w:val="FFFFFF"/>
                <w:sz w:val="24"/>
                <w:szCs w:val="24"/>
              </w:rPr>
              <w:t xml:space="preserve"> revenues and c</w:t>
            </w:r>
            <w:r w:rsidRPr="00EC1298">
              <w:rPr>
                <w:rFonts w:ascii="Book Antiqua" w:hAnsi="Book Antiqua" w:cs="Arial"/>
                <w:b/>
                <w:bCs/>
                <w:color w:val="FFFFFF"/>
                <w:sz w:val="24"/>
                <w:szCs w:val="24"/>
              </w:rPr>
              <w:t xml:space="preserve">reation of a dedicated </w:t>
            </w:r>
            <w:r w:rsidR="001B6D90">
              <w:rPr>
                <w:rFonts w:ascii="Book Antiqua" w:hAnsi="Book Antiqua" w:cs="Arial"/>
                <w:b/>
                <w:bCs/>
                <w:color w:val="FFFFFF"/>
                <w:sz w:val="24"/>
                <w:szCs w:val="24"/>
              </w:rPr>
              <w:t>REDD+</w:t>
            </w:r>
            <w:r w:rsidRPr="00EC1298">
              <w:rPr>
                <w:rFonts w:ascii="Book Antiqua" w:hAnsi="Book Antiqua" w:cs="Arial"/>
                <w:b/>
                <w:bCs/>
                <w:color w:val="FFFFFF"/>
                <w:sz w:val="24"/>
                <w:szCs w:val="24"/>
              </w:rPr>
              <w:t xml:space="preserve"> fund</w:t>
            </w:r>
          </w:p>
        </w:tc>
      </w:tr>
      <w:tr w:rsidR="00351F2C" w:rsidRPr="00445F77">
        <w:trPr>
          <w:jc w:val="right"/>
        </w:trPr>
        <w:tc>
          <w:tcPr>
            <w:tcW w:w="1228" w:type="pct"/>
            <w:tcBorders>
              <w:top w:val="single" w:sz="24" w:space="0" w:color="FFFFFF"/>
              <w:bottom w:val="single" w:sz="8" w:space="0" w:color="FFFFFF"/>
              <w:right w:val="single" w:sz="24" w:space="0" w:color="FFFFFF"/>
            </w:tcBorders>
            <w:shd w:val="clear" w:color="auto" w:fill="C2D69B"/>
            <w:vAlign w:val="center"/>
          </w:tcPr>
          <w:p w:rsidR="00351F2C" w:rsidRPr="00EC1298" w:rsidRDefault="00351F2C" w:rsidP="009C52FC">
            <w:pPr>
              <w:spacing w:after="0" w:line="240" w:lineRule="auto"/>
              <w:rPr>
                <w:rFonts w:ascii="Book Antiqua" w:hAnsi="Book Antiqua" w:cs="Arial"/>
              </w:rPr>
            </w:pPr>
            <w:r w:rsidRPr="00EC1298">
              <w:rPr>
                <w:rFonts w:ascii="Book Antiqua" w:hAnsi="Book Antiqua" w:cs="Arial"/>
              </w:rPr>
              <w:t>Issue to be addressed</w:t>
            </w:r>
          </w:p>
        </w:tc>
        <w:tc>
          <w:tcPr>
            <w:tcW w:w="3772" w:type="pct"/>
            <w:tcBorders>
              <w:top w:val="single" w:sz="24" w:space="0" w:color="FFFFFF"/>
              <w:left w:val="single" w:sz="24" w:space="0" w:color="FFFFFF"/>
              <w:bottom w:val="single" w:sz="8" w:space="0" w:color="FFFFFF"/>
            </w:tcBorders>
            <w:shd w:val="clear" w:color="auto" w:fill="D6E3BC"/>
            <w:vAlign w:val="center"/>
          </w:tcPr>
          <w:p w:rsidR="00351F2C" w:rsidRPr="00EC1298" w:rsidRDefault="00351F2C" w:rsidP="00A256CB">
            <w:pPr>
              <w:spacing w:after="0" w:line="240" w:lineRule="auto"/>
              <w:jc w:val="both"/>
              <w:rPr>
                <w:rFonts w:ascii="Book Antiqua" w:hAnsi="Book Antiqua" w:cs="Arial"/>
              </w:rPr>
            </w:pPr>
            <w:r w:rsidRPr="00EC1298">
              <w:rPr>
                <w:rFonts w:ascii="Book Antiqua" w:hAnsi="Book Antiqua" w:cs="Arial"/>
              </w:rPr>
              <w:t xml:space="preserve">An appropriate off-budget mechanism needs to be identified which meets international expectations regarding transparency, equity and performance linkage.  This implies the need to “fire-wall” </w:t>
            </w:r>
            <w:r w:rsidR="00480D3D">
              <w:rPr>
                <w:rFonts w:ascii="Book Antiqua" w:hAnsi="Book Antiqua" w:cs="Arial"/>
              </w:rPr>
              <w:t>REDD+</w:t>
            </w:r>
            <w:r w:rsidRPr="00EC1298">
              <w:rPr>
                <w:rFonts w:ascii="Book Antiqua" w:hAnsi="Book Antiqua" w:cs="Arial"/>
              </w:rPr>
              <w:t xml:space="preserve"> revenues to prevent co-mingling with other sources of funding.  The mechanism also needs to be able to accommodate the disbursement of </w:t>
            </w:r>
            <w:r w:rsidR="00480D3D">
              <w:rPr>
                <w:rFonts w:ascii="Book Antiqua" w:hAnsi="Book Antiqua" w:cs="Arial"/>
              </w:rPr>
              <w:t>REDD+</w:t>
            </w:r>
            <w:r w:rsidRPr="00EC1298">
              <w:rPr>
                <w:rFonts w:ascii="Book Antiqua" w:hAnsi="Book Antiqua" w:cs="Arial"/>
              </w:rPr>
              <w:t xml:space="preserve"> revenues to sub-national and local levels, as well as to follow strict monitoring and performance requirements.</w:t>
            </w:r>
          </w:p>
          <w:p w:rsidR="00351F2C" w:rsidRPr="00EC1298" w:rsidRDefault="00351F2C" w:rsidP="00A256CB">
            <w:pPr>
              <w:spacing w:after="0" w:line="240" w:lineRule="auto"/>
              <w:jc w:val="both"/>
              <w:rPr>
                <w:rFonts w:ascii="Book Antiqua" w:hAnsi="Book Antiqua" w:cs="Arial"/>
              </w:rPr>
            </w:pPr>
          </w:p>
          <w:p w:rsidR="00351F2C" w:rsidRPr="00EC1298" w:rsidRDefault="00351F2C" w:rsidP="00A256CB">
            <w:pPr>
              <w:spacing w:after="0" w:line="240" w:lineRule="auto"/>
              <w:jc w:val="both"/>
              <w:rPr>
                <w:rFonts w:ascii="Book Antiqua" w:hAnsi="Book Antiqua" w:cs="Arial"/>
              </w:rPr>
            </w:pPr>
            <w:r w:rsidRPr="00EC1298">
              <w:rPr>
                <w:rFonts w:ascii="Book Antiqua" w:hAnsi="Book Antiqua" w:cs="Arial"/>
              </w:rPr>
              <w:t>Several possible mechanisms exist. One example is the FPDF, created in part to manage</w:t>
            </w:r>
            <w:r w:rsidR="001B6D90">
              <w:rPr>
                <w:rFonts w:ascii="Book Antiqua" w:hAnsi="Book Antiqua" w:cs="Arial"/>
              </w:rPr>
              <w:t xml:space="preserve"> PFES</w:t>
            </w:r>
            <w:r w:rsidRPr="00EC1298">
              <w:rPr>
                <w:rFonts w:ascii="Book Antiqua" w:hAnsi="Book Antiqua" w:cs="Arial"/>
              </w:rPr>
              <w:t xml:space="preserve"> revenues, and incorporating a national FPDF mirrored by provincial funds and, potentially, District funds.  The TFF is another example of an off-budget financial mechanism already existing in the forest sector.  The principle of transparent governance of </w:t>
            </w:r>
            <w:r w:rsidR="001B6D90">
              <w:rPr>
                <w:rFonts w:ascii="Book Antiqua" w:hAnsi="Book Antiqua" w:cs="Arial"/>
              </w:rPr>
              <w:t>REDD+</w:t>
            </w:r>
            <w:r w:rsidRPr="00EC1298">
              <w:rPr>
                <w:rFonts w:ascii="Book Antiqua" w:hAnsi="Book Antiqua" w:cs="Arial"/>
              </w:rPr>
              <w:t xml:space="preserve"> revenues implies </w:t>
            </w:r>
            <w:r w:rsidRPr="00EC1298">
              <w:rPr>
                <w:rFonts w:ascii="Book Antiqua" w:hAnsi="Book Antiqua" w:cs="Arial"/>
              </w:rPr>
              <w:lastRenderedPageBreak/>
              <w:t>the need for broad participation in the governance of the revenues which may be difficult to meet under current arrangements.</w:t>
            </w:r>
          </w:p>
        </w:tc>
      </w:tr>
      <w:tr w:rsidR="00351F2C" w:rsidRPr="00445F77">
        <w:trPr>
          <w:jc w:val="right"/>
        </w:trPr>
        <w:tc>
          <w:tcPr>
            <w:tcW w:w="1228" w:type="pct"/>
            <w:tcBorders>
              <w:top w:val="single" w:sz="8" w:space="0" w:color="FFFFFF"/>
              <w:bottom w:val="single" w:sz="8" w:space="0" w:color="FFFFFF"/>
              <w:right w:val="single" w:sz="24" w:space="0" w:color="FFFFFF"/>
            </w:tcBorders>
            <w:shd w:val="clear" w:color="auto" w:fill="C2D69B"/>
            <w:vAlign w:val="center"/>
          </w:tcPr>
          <w:p w:rsidR="00351F2C" w:rsidRPr="00EC1298" w:rsidRDefault="00351F2C" w:rsidP="00A256CB">
            <w:pPr>
              <w:spacing w:after="0" w:line="240" w:lineRule="auto"/>
              <w:jc w:val="both"/>
              <w:rPr>
                <w:rFonts w:ascii="Book Antiqua" w:hAnsi="Book Antiqua" w:cs="Arial"/>
              </w:rPr>
            </w:pPr>
            <w:r w:rsidRPr="00EC1298">
              <w:rPr>
                <w:rFonts w:ascii="Book Antiqua" w:hAnsi="Book Antiqua" w:cs="Arial"/>
              </w:rPr>
              <w:lastRenderedPageBreak/>
              <w:t>Options</w:t>
            </w:r>
          </w:p>
        </w:tc>
        <w:tc>
          <w:tcPr>
            <w:tcW w:w="3772" w:type="pct"/>
            <w:tcBorders>
              <w:top w:val="single" w:sz="8" w:space="0" w:color="FFFFFF"/>
              <w:left w:val="single" w:sz="24" w:space="0" w:color="FFFFFF"/>
              <w:bottom w:val="single" w:sz="8" w:space="0" w:color="FFFFFF"/>
            </w:tcBorders>
            <w:shd w:val="clear" w:color="auto" w:fill="D6E3BC"/>
            <w:vAlign w:val="center"/>
          </w:tcPr>
          <w:p w:rsidR="00351F2C" w:rsidRPr="00EC1298" w:rsidRDefault="001B6D90" w:rsidP="008227FD">
            <w:pPr>
              <w:pStyle w:val="ListParagraph"/>
              <w:numPr>
                <w:ilvl w:val="0"/>
                <w:numId w:val="117"/>
              </w:numPr>
              <w:spacing w:after="0" w:line="240" w:lineRule="auto"/>
              <w:ind w:left="309"/>
              <w:contextualSpacing w:val="0"/>
              <w:jc w:val="both"/>
              <w:rPr>
                <w:rFonts w:ascii="Book Antiqua" w:hAnsi="Book Antiqua" w:cs="Arial"/>
              </w:rPr>
            </w:pPr>
            <w:r>
              <w:rPr>
                <w:rFonts w:ascii="Book Antiqua" w:hAnsi="Book Antiqua" w:cs="Arial"/>
              </w:rPr>
              <w:t>REDD+</w:t>
            </w:r>
            <w:r w:rsidR="00351F2C" w:rsidRPr="00EC1298">
              <w:rPr>
                <w:rFonts w:ascii="Book Antiqua" w:hAnsi="Book Antiqua" w:cs="Arial"/>
              </w:rPr>
              <w:t xml:space="preserve"> revenues are managed through a sub-fund of the FPDF</w:t>
            </w:r>
          </w:p>
          <w:p w:rsidR="00351F2C" w:rsidRPr="00EC1298" w:rsidRDefault="001B6D90" w:rsidP="008227FD">
            <w:pPr>
              <w:pStyle w:val="ListParagraph"/>
              <w:numPr>
                <w:ilvl w:val="0"/>
                <w:numId w:val="117"/>
              </w:numPr>
              <w:spacing w:after="0" w:line="240" w:lineRule="auto"/>
              <w:ind w:left="309"/>
              <w:contextualSpacing w:val="0"/>
              <w:jc w:val="both"/>
              <w:rPr>
                <w:rFonts w:ascii="Book Antiqua" w:hAnsi="Book Antiqua" w:cs="Arial"/>
              </w:rPr>
            </w:pPr>
            <w:r>
              <w:rPr>
                <w:rFonts w:ascii="Book Antiqua" w:hAnsi="Book Antiqua" w:cs="Arial"/>
              </w:rPr>
              <w:t>REDD+</w:t>
            </w:r>
            <w:r w:rsidR="00351F2C" w:rsidRPr="00EC1298">
              <w:rPr>
                <w:rFonts w:ascii="Book Antiqua" w:hAnsi="Book Antiqua" w:cs="Arial"/>
              </w:rPr>
              <w:t xml:space="preserve"> revenues are managed through a newly-created </w:t>
            </w:r>
            <w:r w:rsidR="00480D3D">
              <w:rPr>
                <w:rFonts w:ascii="Book Antiqua" w:hAnsi="Book Antiqua" w:cs="Arial"/>
              </w:rPr>
              <w:t>REDD+</w:t>
            </w:r>
            <w:r w:rsidR="00351F2C" w:rsidRPr="00EC1298">
              <w:rPr>
                <w:rFonts w:ascii="Book Antiqua" w:hAnsi="Book Antiqua" w:cs="Arial"/>
              </w:rPr>
              <w:t xml:space="preserve"> Fund</w:t>
            </w:r>
          </w:p>
        </w:tc>
      </w:tr>
      <w:tr w:rsidR="00351F2C" w:rsidRPr="00445F77">
        <w:trPr>
          <w:jc w:val="right"/>
        </w:trPr>
        <w:tc>
          <w:tcPr>
            <w:tcW w:w="1228" w:type="pct"/>
            <w:tcBorders>
              <w:top w:val="single" w:sz="8" w:space="0" w:color="FFFFFF"/>
              <w:bottom w:val="single" w:sz="8" w:space="0" w:color="FFFFFF"/>
              <w:right w:val="single" w:sz="24" w:space="0" w:color="FFFFFF"/>
            </w:tcBorders>
            <w:shd w:val="clear" w:color="auto" w:fill="C2D69B"/>
            <w:vAlign w:val="center"/>
          </w:tcPr>
          <w:p w:rsidR="00351F2C" w:rsidRPr="00EC1298" w:rsidRDefault="00351F2C" w:rsidP="00A256CB">
            <w:pPr>
              <w:spacing w:after="0" w:line="240" w:lineRule="auto"/>
              <w:rPr>
                <w:rFonts w:ascii="Book Antiqua" w:hAnsi="Book Antiqua" w:cs="Arial"/>
              </w:rPr>
            </w:pPr>
            <w:r w:rsidRPr="00EC1298">
              <w:rPr>
                <w:rFonts w:ascii="Book Antiqua" w:hAnsi="Book Antiqua" w:cs="Arial"/>
              </w:rPr>
              <w:t>Recommended principle or policy to be adopted</w:t>
            </w:r>
          </w:p>
        </w:tc>
        <w:tc>
          <w:tcPr>
            <w:tcW w:w="3772" w:type="pct"/>
            <w:tcBorders>
              <w:top w:val="single" w:sz="8" w:space="0" w:color="FFFFFF"/>
              <w:left w:val="single" w:sz="24" w:space="0" w:color="FFFFFF"/>
              <w:bottom w:val="single" w:sz="8" w:space="0" w:color="FFFFFF"/>
            </w:tcBorders>
            <w:shd w:val="clear" w:color="auto" w:fill="D6E3BC"/>
            <w:vAlign w:val="center"/>
          </w:tcPr>
          <w:p w:rsidR="00351F2C" w:rsidRPr="00EC1298" w:rsidRDefault="00351F2C" w:rsidP="00A256CB">
            <w:pPr>
              <w:spacing w:after="0" w:line="240" w:lineRule="auto"/>
              <w:jc w:val="both"/>
              <w:rPr>
                <w:rFonts w:ascii="Book Antiqua" w:hAnsi="Book Antiqua" w:cs="Arial"/>
              </w:rPr>
            </w:pPr>
            <w:r w:rsidRPr="00EC1298">
              <w:rPr>
                <w:rFonts w:ascii="Book Antiqua" w:hAnsi="Book Antiqua" w:cs="Arial"/>
              </w:rPr>
              <w:t xml:space="preserve">Given limitations in participatory governance of the FPDF, the GoV should commit to the establishment of a new, </w:t>
            </w:r>
            <w:r w:rsidR="001B6D90">
              <w:rPr>
                <w:rFonts w:ascii="Book Antiqua" w:hAnsi="Book Antiqua" w:cs="Arial"/>
              </w:rPr>
              <w:t>REDD+</w:t>
            </w:r>
            <w:r w:rsidRPr="00EC1298">
              <w:rPr>
                <w:rFonts w:ascii="Book Antiqua" w:hAnsi="Book Antiqua" w:cs="Arial"/>
              </w:rPr>
              <w:t xml:space="preserve"> Fund.  This could be modeled on the TFF, so as to allow participatory governance, and with equivalent provincial and district funds.</w:t>
            </w:r>
          </w:p>
          <w:p w:rsidR="00351F2C" w:rsidRPr="00EC1298" w:rsidRDefault="00351F2C" w:rsidP="00A256CB">
            <w:pPr>
              <w:spacing w:after="0" w:line="240" w:lineRule="auto"/>
              <w:jc w:val="both"/>
              <w:rPr>
                <w:rFonts w:ascii="Book Antiqua" w:hAnsi="Book Antiqua" w:cs="Arial"/>
              </w:rPr>
            </w:pPr>
          </w:p>
          <w:p w:rsidR="00351F2C" w:rsidRPr="00EC1298" w:rsidRDefault="00351F2C" w:rsidP="00A256CB">
            <w:pPr>
              <w:spacing w:after="0" w:line="240" w:lineRule="auto"/>
              <w:jc w:val="both"/>
              <w:rPr>
                <w:rFonts w:ascii="Book Antiqua" w:hAnsi="Book Antiqua" w:cs="Arial"/>
              </w:rPr>
            </w:pPr>
            <w:r w:rsidRPr="00EC1298">
              <w:rPr>
                <w:rFonts w:ascii="Book Antiqua" w:hAnsi="Book Antiqua" w:cs="Arial"/>
              </w:rPr>
              <w:t xml:space="preserve">The GoV should also commit to ensuring that the </w:t>
            </w:r>
            <w:r w:rsidR="001B6D90">
              <w:rPr>
                <w:rFonts w:ascii="Book Antiqua" w:hAnsi="Book Antiqua" w:cs="Arial"/>
              </w:rPr>
              <w:t>REDD+</w:t>
            </w:r>
            <w:r w:rsidRPr="00EC1298">
              <w:rPr>
                <w:rFonts w:ascii="Book Antiqua" w:hAnsi="Book Antiqua" w:cs="Arial"/>
              </w:rPr>
              <w:t xml:space="preserve"> Fund is to be governed by a broad-based multi-stakeholder board, and subject to independent external audit.  </w:t>
            </w:r>
          </w:p>
        </w:tc>
      </w:tr>
      <w:tr w:rsidR="00351F2C" w:rsidRPr="00445F77">
        <w:trPr>
          <w:jc w:val="right"/>
        </w:trPr>
        <w:tc>
          <w:tcPr>
            <w:tcW w:w="1228" w:type="pct"/>
            <w:tcBorders>
              <w:top w:val="single" w:sz="8" w:space="0" w:color="FFFFFF"/>
              <w:bottom w:val="single" w:sz="8" w:space="0" w:color="FFFFFF"/>
              <w:right w:val="single" w:sz="24" w:space="0" w:color="FFFFFF"/>
            </w:tcBorders>
            <w:shd w:val="clear" w:color="auto" w:fill="C2D69B"/>
            <w:vAlign w:val="center"/>
          </w:tcPr>
          <w:p w:rsidR="00351F2C" w:rsidRPr="00EC1298" w:rsidRDefault="00B54274" w:rsidP="00A256CB">
            <w:pPr>
              <w:spacing w:after="0" w:line="240" w:lineRule="auto"/>
              <w:rPr>
                <w:rFonts w:ascii="Book Antiqua" w:hAnsi="Book Antiqua" w:cs="Arial"/>
              </w:rPr>
            </w:pPr>
            <w:r>
              <w:rPr>
                <w:rFonts w:ascii="Book Antiqua" w:hAnsi="Book Antiqua" w:cs="Arial"/>
              </w:rPr>
              <w:t>Actions required to confirm policy option</w:t>
            </w:r>
          </w:p>
        </w:tc>
        <w:tc>
          <w:tcPr>
            <w:tcW w:w="3772" w:type="pct"/>
            <w:tcBorders>
              <w:top w:val="single" w:sz="8" w:space="0" w:color="FFFFFF"/>
              <w:left w:val="single" w:sz="24" w:space="0" w:color="FFFFFF"/>
              <w:bottom w:val="single" w:sz="8" w:space="0" w:color="FFFFFF"/>
            </w:tcBorders>
            <w:shd w:val="clear" w:color="auto" w:fill="D6E3BC"/>
            <w:vAlign w:val="center"/>
          </w:tcPr>
          <w:p w:rsidR="00351F2C" w:rsidRPr="00EC1298" w:rsidRDefault="00351F2C" w:rsidP="00A256CB">
            <w:pPr>
              <w:spacing w:after="0" w:line="240" w:lineRule="auto"/>
              <w:jc w:val="both"/>
              <w:rPr>
                <w:rFonts w:ascii="Book Antiqua" w:hAnsi="Book Antiqua" w:cs="Arial"/>
              </w:rPr>
            </w:pPr>
            <w:r w:rsidRPr="00EC1298">
              <w:rPr>
                <w:rFonts w:ascii="Book Antiqua" w:hAnsi="Book Antiqua" w:cs="Arial"/>
              </w:rPr>
              <w:t xml:space="preserve">International examples of </w:t>
            </w:r>
            <w:r w:rsidR="001B6D90">
              <w:rPr>
                <w:rFonts w:ascii="Book Antiqua" w:hAnsi="Book Antiqua" w:cs="Arial"/>
              </w:rPr>
              <w:t>REDD+</w:t>
            </w:r>
            <w:r w:rsidRPr="00EC1298">
              <w:rPr>
                <w:rFonts w:ascii="Book Antiqua" w:hAnsi="Book Antiqua" w:cs="Arial"/>
              </w:rPr>
              <w:t xml:space="preserve">, or Climate Change Funds (e.g. in Indonesia) should be studied, together with existing financial instruments in Viet Nam, such as the TFF, so as to identify the characteristics and necessary actions required for the creation of a Viet Nam </w:t>
            </w:r>
            <w:r w:rsidR="001B6D90">
              <w:rPr>
                <w:rFonts w:ascii="Book Antiqua" w:hAnsi="Book Antiqua" w:cs="Arial"/>
              </w:rPr>
              <w:t>REDD+</w:t>
            </w:r>
            <w:r w:rsidRPr="00EC1298">
              <w:rPr>
                <w:rFonts w:ascii="Book Antiqua" w:hAnsi="Book Antiqua" w:cs="Arial"/>
              </w:rPr>
              <w:t xml:space="preserve"> Fund.</w:t>
            </w:r>
          </w:p>
        </w:tc>
      </w:tr>
    </w:tbl>
    <w:p w:rsidR="00351F2C" w:rsidRPr="00445F77" w:rsidRDefault="00351F2C" w:rsidP="007A43CB">
      <w:pPr>
        <w:spacing w:after="0"/>
        <w:rPr>
          <w:rFonts w:ascii="Arial" w:hAnsi="Arial" w:cs="Arial"/>
          <w:sz w:val="24"/>
          <w:szCs w:val="24"/>
          <w:lang w:val="en-US"/>
        </w:rPr>
      </w:pPr>
    </w:p>
    <w:p w:rsidR="00351F2C" w:rsidRPr="00445F77" w:rsidRDefault="00351F2C" w:rsidP="007A43CB">
      <w:pPr>
        <w:pStyle w:val="Heading3"/>
        <w:spacing w:before="0" w:after="0"/>
        <w:rPr>
          <w:rFonts w:ascii="Arial" w:hAnsi="Arial" w:cs="Arial"/>
          <w:lang w:val="en-US"/>
        </w:rPr>
      </w:pPr>
      <w:bookmarkStart w:id="227" w:name="_Toc243929951"/>
      <w:bookmarkStart w:id="228" w:name="_Toc243984134"/>
      <w:bookmarkStart w:id="229" w:name="_Toc244327660"/>
      <w:bookmarkStart w:id="230" w:name="_Toc244327909"/>
      <w:bookmarkStart w:id="231" w:name="_Toc244586174"/>
      <w:bookmarkStart w:id="232" w:name="_Toc249079542"/>
      <w:r w:rsidRPr="00445F77">
        <w:rPr>
          <w:rFonts w:ascii="Arial" w:hAnsi="Arial" w:cs="Arial"/>
          <w:lang w:val="en-US"/>
        </w:rPr>
        <w:t xml:space="preserve">The sub-national levels at which </w:t>
      </w:r>
      <w:r w:rsidR="001B6D90">
        <w:rPr>
          <w:rFonts w:ascii="Arial" w:hAnsi="Arial" w:cs="Arial"/>
          <w:lang w:val="en-US"/>
        </w:rPr>
        <w:t>REDD+</w:t>
      </w:r>
      <w:r w:rsidRPr="00445F77">
        <w:rPr>
          <w:rFonts w:ascii="Arial" w:hAnsi="Arial" w:cs="Arial"/>
          <w:lang w:val="en-US"/>
        </w:rPr>
        <w:t xml:space="preserve"> Fund should be established</w:t>
      </w:r>
      <w:bookmarkEnd w:id="227"/>
      <w:bookmarkEnd w:id="228"/>
      <w:bookmarkEnd w:id="229"/>
      <w:bookmarkEnd w:id="230"/>
      <w:bookmarkEnd w:id="231"/>
      <w:bookmarkEnd w:id="232"/>
    </w:p>
    <w:p w:rsidR="00046554" w:rsidRDefault="00046554" w:rsidP="007A43CB">
      <w:pPr>
        <w:spacing w:after="0" w:line="300" w:lineRule="atLeast"/>
        <w:jc w:val="both"/>
        <w:rPr>
          <w:rFonts w:ascii="Book Antiqua" w:hAnsi="Book Antiqua" w:cs="Arial"/>
          <w:lang w:val="en-US"/>
        </w:rPr>
      </w:pPr>
      <w:r w:rsidRPr="007223AA">
        <w:rPr>
          <w:rFonts w:ascii="Book Antiqua" w:hAnsi="Book Antiqua" w:cs="Arial"/>
          <w:lang w:val="en-US"/>
        </w:rPr>
        <w:t xml:space="preserve">The GoV will need to define general principles for the distribution of </w:t>
      </w:r>
      <w:r>
        <w:rPr>
          <w:rFonts w:ascii="Book Antiqua" w:hAnsi="Book Antiqua" w:cs="Arial"/>
          <w:lang w:val="en-US"/>
        </w:rPr>
        <w:t>REDD+</w:t>
      </w:r>
      <w:r w:rsidRPr="007223AA">
        <w:rPr>
          <w:rFonts w:ascii="Book Antiqua" w:hAnsi="Book Antiqua" w:cs="Arial"/>
          <w:lang w:val="en-US"/>
        </w:rPr>
        <w:t xml:space="preserve"> benefits at the sub-national level.  The principles will include procedural aspects, such as the role of the national and sub-national levels in decision-making, and will address substantive questions related to the criteria to guide the distribution of </w:t>
      </w:r>
      <w:r>
        <w:rPr>
          <w:rFonts w:ascii="Book Antiqua" w:hAnsi="Book Antiqua" w:cs="Arial"/>
          <w:lang w:val="en-US"/>
        </w:rPr>
        <w:t>REDD+</w:t>
      </w:r>
      <w:r w:rsidRPr="007223AA">
        <w:rPr>
          <w:rFonts w:ascii="Book Antiqua" w:hAnsi="Book Antiqua" w:cs="Arial"/>
          <w:lang w:val="en-US"/>
        </w:rPr>
        <w:t xml:space="preserve"> benefits.</w:t>
      </w:r>
    </w:p>
    <w:p w:rsidR="00046554" w:rsidRDefault="00046554" w:rsidP="007A43CB">
      <w:pPr>
        <w:spacing w:after="0" w:line="300" w:lineRule="atLeast"/>
        <w:jc w:val="both"/>
        <w:rPr>
          <w:rFonts w:ascii="Book Antiqua" w:hAnsi="Book Antiqua" w:cs="Arial"/>
          <w:lang w:val="en-US"/>
        </w:rPr>
      </w:pPr>
    </w:p>
    <w:p w:rsidR="00046554" w:rsidRPr="007223AA" w:rsidRDefault="00046554" w:rsidP="00046554">
      <w:pPr>
        <w:spacing w:after="0" w:line="300" w:lineRule="exact"/>
        <w:jc w:val="both"/>
        <w:rPr>
          <w:rFonts w:ascii="Book Antiqua" w:hAnsi="Book Antiqua" w:cs="Arial"/>
          <w:lang w:val="en-US"/>
        </w:rPr>
      </w:pPr>
      <w:r w:rsidRPr="007223AA">
        <w:rPr>
          <w:rFonts w:ascii="Book Antiqua" w:hAnsi="Book Antiqua" w:cs="Arial"/>
          <w:lang w:val="en-US"/>
        </w:rPr>
        <w:t xml:space="preserve">A key procedural issue relates to finding the </w:t>
      </w:r>
      <w:r w:rsidRPr="007223AA">
        <w:rPr>
          <w:rFonts w:ascii="Book Antiqua" w:hAnsi="Book Antiqua" w:cs="Arial"/>
          <w:u w:val="single"/>
          <w:lang w:val="en-US"/>
        </w:rPr>
        <w:t>right balance between national standards and sub-national decision-making powers</w:t>
      </w:r>
      <w:r w:rsidRPr="007223AA">
        <w:rPr>
          <w:rFonts w:ascii="Book Antiqua" w:hAnsi="Book Antiqua" w:cs="Arial"/>
          <w:lang w:val="en-US"/>
        </w:rPr>
        <w:t xml:space="preserve">.  The 661 </w:t>
      </w:r>
      <w:r>
        <w:rPr>
          <w:rFonts w:ascii="Book Antiqua" w:hAnsi="Book Antiqua" w:cs="Arial"/>
          <w:lang w:val="en-US"/>
        </w:rPr>
        <w:t>Programme</w:t>
      </w:r>
      <w:r w:rsidRPr="007223AA">
        <w:rPr>
          <w:rFonts w:ascii="Book Antiqua" w:hAnsi="Book Antiqua" w:cs="Arial"/>
          <w:lang w:val="en-US"/>
        </w:rPr>
        <w:t xml:space="preserve"> and the large donor-funded reforestation projects demonstrate the problems of highly centralized decision-making and implementation frameworks.  Experience with more decentralized decision-making procedures from the</w:t>
      </w:r>
      <w:r>
        <w:rPr>
          <w:rFonts w:ascii="Book Antiqua" w:hAnsi="Book Antiqua" w:cs="Arial"/>
          <w:lang w:val="en-US"/>
        </w:rPr>
        <w:t xml:space="preserve"> PFES</w:t>
      </w:r>
      <w:r w:rsidRPr="007223AA">
        <w:rPr>
          <w:rFonts w:ascii="Book Antiqua" w:hAnsi="Book Antiqua" w:cs="Arial"/>
          <w:lang w:val="en-US"/>
        </w:rPr>
        <w:t xml:space="preserve"> schemes in Son La and Lam Dong is too recent to allow firm conclusions.  Nonetheless, international best practices on PES demonstrate the gains to be made by decentralizing decision-making about the distribution of </w:t>
      </w:r>
      <w:r>
        <w:rPr>
          <w:rFonts w:ascii="Book Antiqua" w:hAnsi="Book Antiqua" w:cs="Arial"/>
          <w:lang w:val="en-US"/>
        </w:rPr>
        <w:t>REDD+</w:t>
      </w:r>
      <w:r w:rsidRPr="007223AA">
        <w:rPr>
          <w:rFonts w:ascii="Book Antiqua" w:hAnsi="Book Antiqua" w:cs="Arial"/>
          <w:lang w:val="en-US"/>
        </w:rPr>
        <w:t xml:space="preserve"> benefits.  They suggest that sub-national </w:t>
      </w:r>
      <w:r>
        <w:rPr>
          <w:rFonts w:ascii="Book Antiqua" w:hAnsi="Book Antiqua" w:cs="Arial"/>
          <w:lang w:val="en-US"/>
        </w:rPr>
        <w:t>REDD+</w:t>
      </w:r>
      <w:r w:rsidRPr="007223AA">
        <w:rPr>
          <w:rFonts w:ascii="Book Antiqua" w:hAnsi="Book Antiqua" w:cs="Arial"/>
          <w:lang w:val="en-US"/>
        </w:rPr>
        <w:t xml:space="preserve"> funds will require a certain degree of discretion on how to distribute benefits within their territory.  Only decentralized decision-making will ensure that payments are made in relation to actual volumes of conserved carbon and are allocated spatially in accordance.</w:t>
      </w:r>
      <w:r w:rsidRPr="007223AA">
        <w:rPr>
          <w:rStyle w:val="FootnoteReference"/>
          <w:rFonts w:ascii="Book Antiqua" w:hAnsi="Book Antiqua" w:cs="Arial"/>
          <w:lang w:val="en-US"/>
        </w:rPr>
        <w:footnoteReference w:id="37"/>
      </w:r>
    </w:p>
    <w:p w:rsidR="00046554" w:rsidRPr="00445F77" w:rsidRDefault="00046554" w:rsidP="00046554">
      <w:pPr>
        <w:spacing w:after="0"/>
        <w:jc w:val="both"/>
        <w:rPr>
          <w:rFonts w:ascii="Arial" w:hAnsi="Arial" w:cs="Arial"/>
          <w:sz w:val="24"/>
          <w:szCs w:val="24"/>
          <w:lang w:val="en-US"/>
        </w:rPr>
      </w:pPr>
    </w:p>
    <w:p w:rsidR="00046554" w:rsidRPr="007223AA" w:rsidRDefault="00046554" w:rsidP="00046554">
      <w:pPr>
        <w:spacing w:after="0" w:line="300" w:lineRule="exact"/>
        <w:jc w:val="both"/>
        <w:rPr>
          <w:rFonts w:ascii="Book Antiqua" w:hAnsi="Book Antiqua" w:cs="Arial"/>
          <w:lang w:val="en-US"/>
        </w:rPr>
      </w:pPr>
      <w:r w:rsidRPr="007223AA">
        <w:rPr>
          <w:rFonts w:ascii="Book Antiqua" w:hAnsi="Book Antiqua" w:cs="Arial"/>
          <w:lang w:val="en-US"/>
        </w:rPr>
        <w:t xml:space="preserve">A key substantive issue will be the definition of the </w:t>
      </w:r>
      <w:r w:rsidRPr="007223AA">
        <w:rPr>
          <w:rFonts w:ascii="Book Antiqua" w:hAnsi="Book Antiqua" w:cs="Arial"/>
          <w:u w:val="single"/>
          <w:lang w:val="en-US"/>
        </w:rPr>
        <w:t xml:space="preserve">criteria to guide the distribution of </w:t>
      </w:r>
      <w:r>
        <w:rPr>
          <w:rFonts w:ascii="Book Antiqua" w:hAnsi="Book Antiqua" w:cs="Arial"/>
          <w:u w:val="single"/>
          <w:lang w:val="en-US"/>
        </w:rPr>
        <w:t>REDD+</w:t>
      </w:r>
      <w:r w:rsidRPr="007223AA">
        <w:rPr>
          <w:rFonts w:ascii="Book Antiqua" w:hAnsi="Book Antiqua" w:cs="Arial"/>
          <w:u w:val="single"/>
          <w:lang w:val="en-US"/>
        </w:rPr>
        <w:t xml:space="preserve"> benefits</w:t>
      </w:r>
      <w:r w:rsidRPr="007223AA">
        <w:rPr>
          <w:rFonts w:ascii="Book Antiqua" w:hAnsi="Book Antiqua" w:cs="Arial"/>
          <w:lang w:val="en-US"/>
        </w:rPr>
        <w:t xml:space="preserve">.  Considering the complexities of auctions, it appears advisable that sub-national </w:t>
      </w:r>
      <w:r>
        <w:rPr>
          <w:rFonts w:ascii="Book Antiqua" w:hAnsi="Book Antiqua" w:cs="Arial"/>
          <w:lang w:val="en-US"/>
        </w:rPr>
        <w:t>REDD+</w:t>
      </w:r>
      <w:r w:rsidRPr="007223AA">
        <w:rPr>
          <w:rFonts w:ascii="Book Antiqua" w:hAnsi="Book Antiqua" w:cs="Arial"/>
          <w:lang w:val="en-US"/>
        </w:rPr>
        <w:t xml:space="preserve"> funds estimate the carbon conservation potential of different kinds of forestland through administrative procedures.  These estimations could be incorporated into the distribution of </w:t>
      </w:r>
      <w:r>
        <w:rPr>
          <w:rFonts w:ascii="Book Antiqua" w:hAnsi="Book Antiqua" w:cs="Arial"/>
          <w:lang w:val="en-US"/>
        </w:rPr>
        <w:t>REDD+</w:t>
      </w:r>
      <w:r w:rsidRPr="007223AA">
        <w:rPr>
          <w:rFonts w:ascii="Book Antiqua" w:hAnsi="Book Antiqua" w:cs="Arial"/>
          <w:lang w:val="en-US"/>
        </w:rPr>
        <w:t xml:space="preserve"> benefits by using coefficients, which might be called “R-</w:t>
      </w:r>
      <w:r w:rsidRPr="007223AA">
        <w:rPr>
          <w:rFonts w:ascii="Book Antiqua" w:hAnsi="Book Antiqua" w:cs="Arial"/>
          <w:lang w:val="en-US"/>
        </w:rPr>
        <w:lastRenderedPageBreak/>
        <w:t>coefficients”, similar to the k-factors used in the</w:t>
      </w:r>
      <w:r>
        <w:rPr>
          <w:rFonts w:ascii="Book Antiqua" w:hAnsi="Book Antiqua" w:cs="Arial"/>
          <w:lang w:val="en-US"/>
        </w:rPr>
        <w:t xml:space="preserve"> PFES</w:t>
      </w:r>
      <w:r w:rsidRPr="007223AA">
        <w:rPr>
          <w:rFonts w:ascii="Book Antiqua" w:hAnsi="Book Antiqua" w:cs="Arial"/>
          <w:lang w:val="en-US"/>
        </w:rPr>
        <w:t xml:space="preserve"> schemes of Son La and Lam Dong.   Such procedures have the advantage that they recognize spatial variation in carbon storage potentials but are still fairly straightforward to implement.  The use of coefficients would also allow the GoV to recognize the production of co-benefits, such as poverty alleviation and biodiversity conservation.  In contrast, the use of national-level standards, such as cost norms, would lead to massive inefficiencies in the use of </w:t>
      </w:r>
      <w:r>
        <w:rPr>
          <w:rFonts w:ascii="Book Antiqua" w:hAnsi="Book Antiqua" w:cs="Arial"/>
          <w:lang w:val="en-US"/>
        </w:rPr>
        <w:t>REDD+</w:t>
      </w:r>
      <w:r w:rsidRPr="007223AA">
        <w:rPr>
          <w:rFonts w:ascii="Book Antiqua" w:hAnsi="Book Antiqua" w:cs="Arial"/>
          <w:lang w:val="en-US"/>
        </w:rPr>
        <w:t xml:space="preserve"> finance.</w:t>
      </w:r>
    </w:p>
    <w:p w:rsidR="00046554" w:rsidRPr="00445F77" w:rsidRDefault="00046554" w:rsidP="00046554">
      <w:pPr>
        <w:spacing w:after="0"/>
        <w:rPr>
          <w:rFonts w:ascii="Arial" w:hAnsi="Arial" w:cs="Arial"/>
          <w:sz w:val="24"/>
          <w:szCs w:val="24"/>
          <w:lang w:val="en-US"/>
        </w:rPr>
      </w:pPr>
    </w:p>
    <w:p w:rsidR="00351F2C" w:rsidRPr="007C40E1" w:rsidRDefault="00351F2C" w:rsidP="007C40E1">
      <w:pPr>
        <w:spacing w:after="0" w:line="300" w:lineRule="atLeast"/>
        <w:jc w:val="both"/>
        <w:rPr>
          <w:rFonts w:ascii="Book Antiqua" w:hAnsi="Book Antiqua" w:cs="Arial"/>
          <w:lang w:val="en-US"/>
        </w:rPr>
      </w:pPr>
      <w:r w:rsidRPr="00EC1298">
        <w:rPr>
          <w:rFonts w:ascii="Book Antiqua" w:hAnsi="Book Antiqua" w:cs="Arial"/>
          <w:lang w:val="en-US"/>
        </w:rPr>
        <w:t xml:space="preserve">For the </w:t>
      </w:r>
      <w:r w:rsidRPr="007C40E1">
        <w:rPr>
          <w:rFonts w:ascii="Book Antiqua" w:hAnsi="Book Antiqua" w:cs="Arial"/>
          <w:lang w:val="en-US"/>
        </w:rPr>
        <w:t xml:space="preserve">level(s) </w:t>
      </w:r>
      <w:r w:rsidR="00684E25" w:rsidRPr="007C40E1">
        <w:rPr>
          <w:rFonts w:ascii="Book Antiqua" w:hAnsi="Book Antiqua" w:cs="Arial"/>
          <w:lang w:val="en-US"/>
        </w:rPr>
        <w:t xml:space="preserve">at which the </w:t>
      </w:r>
      <w:r w:rsidRPr="007C40E1">
        <w:rPr>
          <w:rFonts w:ascii="Book Antiqua" w:hAnsi="Book Antiqua" w:cs="Arial"/>
          <w:lang w:val="en-US"/>
        </w:rPr>
        <w:t xml:space="preserve">sub-national </w:t>
      </w:r>
      <w:r w:rsidR="001B6D90" w:rsidRPr="007C40E1">
        <w:rPr>
          <w:rFonts w:ascii="Book Antiqua" w:hAnsi="Book Antiqua" w:cs="Arial"/>
          <w:lang w:val="en-US"/>
        </w:rPr>
        <w:t>REDD+</w:t>
      </w:r>
      <w:r w:rsidRPr="007C40E1">
        <w:rPr>
          <w:rFonts w:ascii="Book Antiqua" w:hAnsi="Book Antiqua" w:cs="Arial"/>
          <w:lang w:val="en-US"/>
        </w:rPr>
        <w:t xml:space="preserve"> Fund</w:t>
      </w:r>
      <w:r w:rsidR="00684E25" w:rsidRPr="007C40E1">
        <w:rPr>
          <w:rFonts w:ascii="Book Antiqua" w:hAnsi="Book Antiqua" w:cs="Arial"/>
          <w:lang w:val="en-US"/>
        </w:rPr>
        <w:t>s</w:t>
      </w:r>
      <w:r w:rsidRPr="007C40E1">
        <w:rPr>
          <w:rFonts w:ascii="Book Antiqua" w:hAnsi="Book Antiqua" w:cs="Arial"/>
          <w:lang w:val="en-US"/>
        </w:rPr>
        <w:t xml:space="preserve"> should be established, there are three options (see</w:t>
      </w:r>
      <w:r w:rsidR="007C40E1" w:rsidRPr="007C40E1">
        <w:rPr>
          <w:rFonts w:ascii="Book Antiqua" w:hAnsi="Book Antiqua"/>
        </w:rPr>
        <w:t xml:space="preserve"> Table 4.5)</w:t>
      </w:r>
      <w:r w:rsidRPr="007C40E1">
        <w:rPr>
          <w:rFonts w:ascii="Book Antiqua" w:hAnsi="Book Antiqua" w:cs="Arial"/>
          <w:lang w:val="en-US"/>
        </w:rPr>
        <w:t xml:space="preserve">: </w:t>
      </w:r>
    </w:p>
    <w:p w:rsidR="00351F2C" w:rsidRPr="007C40E1" w:rsidRDefault="00351F2C" w:rsidP="007C40E1">
      <w:pPr>
        <w:spacing w:after="0" w:line="300" w:lineRule="atLeast"/>
        <w:jc w:val="both"/>
        <w:rPr>
          <w:rFonts w:ascii="Book Antiqua" w:hAnsi="Book Antiqua" w:cs="Arial"/>
          <w:lang w:val="en-US"/>
        </w:rPr>
      </w:pPr>
    </w:p>
    <w:p w:rsidR="00351F2C" w:rsidRPr="007C40E1" w:rsidRDefault="00EC1298" w:rsidP="007C40E1">
      <w:pPr>
        <w:numPr>
          <w:ilvl w:val="0"/>
          <w:numId w:val="46"/>
        </w:numPr>
        <w:spacing w:after="0" w:line="300" w:lineRule="atLeast"/>
        <w:jc w:val="both"/>
        <w:rPr>
          <w:rFonts w:ascii="Book Antiqua" w:hAnsi="Book Antiqua" w:cs="Arial"/>
          <w:lang w:val="en-US"/>
        </w:rPr>
      </w:pPr>
      <w:r w:rsidRPr="007C40E1">
        <w:rPr>
          <w:rFonts w:ascii="Book Antiqua" w:hAnsi="Book Antiqua" w:cs="Arial"/>
          <w:lang w:val="en-US"/>
        </w:rPr>
        <w:t>O</w:t>
      </w:r>
      <w:r w:rsidR="00351F2C" w:rsidRPr="007C40E1">
        <w:rPr>
          <w:rFonts w:ascii="Book Antiqua" w:hAnsi="Book Antiqua" w:cs="Arial"/>
          <w:lang w:val="en-US"/>
        </w:rPr>
        <w:t xml:space="preserve">ption A: </w:t>
      </w:r>
      <w:r w:rsidR="001B6D90" w:rsidRPr="007C40E1">
        <w:rPr>
          <w:rFonts w:ascii="Book Antiqua" w:hAnsi="Book Antiqua" w:cs="Arial"/>
          <w:lang w:val="en-US"/>
        </w:rPr>
        <w:t>REDD+</w:t>
      </w:r>
      <w:r w:rsidR="00351F2C" w:rsidRPr="007C40E1">
        <w:rPr>
          <w:rFonts w:ascii="Book Antiqua" w:hAnsi="Book Antiqua" w:cs="Arial"/>
          <w:lang w:val="en-US"/>
        </w:rPr>
        <w:t xml:space="preserve"> Fund established at national and provincial levels</w:t>
      </w:r>
    </w:p>
    <w:p w:rsidR="00351F2C" w:rsidRPr="007C40E1" w:rsidRDefault="00EC1298" w:rsidP="007C40E1">
      <w:pPr>
        <w:numPr>
          <w:ilvl w:val="0"/>
          <w:numId w:val="46"/>
        </w:numPr>
        <w:spacing w:after="0" w:line="300" w:lineRule="atLeast"/>
        <w:jc w:val="both"/>
        <w:rPr>
          <w:rFonts w:ascii="Book Antiqua" w:hAnsi="Book Antiqua" w:cs="Arial"/>
          <w:lang w:val="en-US"/>
        </w:rPr>
      </w:pPr>
      <w:r w:rsidRPr="007C40E1">
        <w:rPr>
          <w:rFonts w:ascii="Book Antiqua" w:hAnsi="Book Antiqua" w:cs="Arial"/>
          <w:lang w:val="en-US"/>
        </w:rPr>
        <w:t>O</w:t>
      </w:r>
      <w:r w:rsidR="00351F2C" w:rsidRPr="007C40E1">
        <w:rPr>
          <w:rFonts w:ascii="Book Antiqua" w:hAnsi="Book Antiqua" w:cs="Arial"/>
          <w:lang w:val="en-US"/>
        </w:rPr>
        <w:t xml:space="preserve">ption B: </w:t>
      </w:r>
      <w:r w:rsidR="001B6D90" w:rsidRPr="007C40E1">
        <w:rPr>
          <w:rFonts w:ascii="Book Antiqua" w:hAnsi="Book Antiqua" w:cs="Arial"/>
          <w:lang w:val="en-US"/>
        </w:rPr>
        <w:t>REDD+</w:t>
      </w:r>
      <w:r w:rsidR="00351F2C" w:rsidRPr="007C40E1">
        <w:rPr>
          <w:rFonts w:ascii="Book Antiqua" w:hAnsi="Book Antiqua" w:cs="Arial"/>
          <w:lang w:val="en-US"/>
        </w:rPr>
        <w:t xml:space="preserve"> Fund established at national, provincial and district levels</w:t>
      </w:r>
    </w:p>
    <w:p w:rsidR="00351F2C" w:rsidRPr="00EC1298" w:rsidRDefault="00EC1298" w:rsidP="007C40E1">
      <w:pPr>
        <w:numPr>
          <w:ilvl w:val="0"/>
          <w:numId w:val="46"/>
        </w:numPr>
        <w:spacing w:after="0" w:line="300" w:lineRule="atLeast"/>
        <w:jc w:val="both"/>
        <w:rPr>
          <w:rFonts w:ascii="Book Antiqua" w:hAnsi="Book Antiqua" w:cs="Arial"/>
          <w:lang w:val="en-US"/>
        </w:rPr>
      </w:pPr>
      <w:r w:rsidRPr="007C40E1">
        <w:rPr>
          <w:rFonts w:ascii="Book Antiqua" w:hAnsi="Book Antiqua" w:cs="Arial"/>
          <w:lang w:val="en-US"/>
        </w:rPr>
        <w:t>O</w:t>
      </w:r>
      <w:r w:rsidR="00351F2C" w:rsidRPr="007C40E1">
        <w:rPr>
          <w:rFonts w:ascii="Book Antiqua" w:hAnsi="Book Antiqua" w:cs="Arial"/>
          <w:lang w:val="en-US"/>
        </w:rPr>
        <w:t xml:space="preserve">ption C: </w:t>
      </w:r>
      <w:r w:rsidR="001B6D90" w:rsidRPr="007C40E1">
        <w:rPr>
          <w:rFonts w:ascii="Book Antiqua" w:hAnsi="Book Antiqua" w:cs="Arial"/>
          <w:lang w:val="en-US"/>
        </w:rPr>
        <w:t>REDD</w:t>
      </w:r>
      <w:r w:rsidR="001B6D90">
        <w:rPr>
          <w:rFonts w:ascii="Book Antiqua" w:hAnsi="Book Antiqua" w:cs="Arial"/>
          <w:lang w:val="en-US"/>
        </w:rPr>
        <w:t>+</w:t>
      </w:r>
      <w:r w:rsidR="00351F2C" w:rsidRPr="00EC1298">
        <w:rPr>
          <w:rFonts w:ascii="Book Antiqua" w:hAnsi="Book Antiqua" w:cs="Arial"/>
          <w:lang w:val="en-US"/>
        </w:rPr>
        <w:t xml:space="preserve"> Fund established at national and district levels</w:t>
      </w:r>
    </w:p>
    <w:p w:rsidR="00351F2C" w:rsidRPr="00EC1298" w:rsidRDefault="00351F2C" w:rsidP="007A43CB">
      <w:pPr>
        <w:spacing w:after="0" w:line="300" w:lineRule="atLeast"/>
        <w:jc w:val="both"/>
        <w:rPr>
          <w:rFonts w:ascii="Book Antiqua" w:hAnsi="Book Antiqua" w:cs="Arial"/>
          <w:lang w:val="en-US"/>
        </w:rPr>
      </w:pPr>
    </w:p>
    <w:p w:rsidR="00351F2C" w:rsidRPr="00EC1298" w:rsidRDefault="00351F2C" w:rsidP="007A43CB">
      <w:pPr>
        <w:spacing w:after="0" w:line="300" w:lineRule="atLeast"/>
        <w:jc w:val="both"/>
        <w:rPr>
          <w:rFonts w:ascii="Book Antiqua" w:hAnsi="Book Antiqua" w:cs="Arial"/>
          <w:lang w:val="en-US"/>
        </w:rPr>
      </w:pPr>
      <w:r w:rsidRPr="00EC1298">
        <w:rPr>
          <w:rFonts w:ascii="Book Antiqua" w:hAnsi="Book Antiqua" w:cs="Arial"/>
          <w:lang w:val="en-US"/>
        </w:rPr>
        <w:t xml:space="preserve">In option A, a clear advantage is that </w:t>
      </w:r>
      <w:r w:rsidR="00480D3D">
        <w:rPr>
          <w:rFonts w:ascii="Book Antiqua" w:hAnsi="Book Antiqua" w:cs="Arial"/>
          <w:lang w:val="en-US"/>
        </w:rPr>
        <w:t>REDD+</w:t>
      </w:r>
      <w:r w:rsidRPr="00EC1298">
        <w:rPr>
          <w:rFonts w:ascii="Book Antiqua" w:hAnsi="Book Antiqua" w:cs="Arial"/>
          <w:lang w:val="en-US"/>
        </w:rPr>
        <w:t xml:space="preserve"> Fund can make use of the institutional strengths at the provincial level. Provincial authorities have significant autonomy in policy making and implementation within the territory of the province. There is also established technical capacity (e.g. forest monitoring, forest development and management, and financial management) at the provincial level to assist the operations of </w:t>
      </w:r>
      <w:r w:rsidR="00480D3D">
        <w:rPr>
          <w:rFonts w:ascii="Book Antiqua" w:hAnsi="Book Antiqua" w:cs="Arial"/>
          <w:lang w:val="en-US"/>
        </w:rPr>
        <w:t>REDD+</w:t>
      </w:r>
      <w:r w:rsidRPr="00EC1298">
        <w:rPr>
          <w:rFonts w:ascii="Book Antiqua" w:hAnsi="Book Antiqua" w:cs="Arial"/>
          <w:lang w:val="en-US"/>
        </w:rPr>
        <w:t xml:space="preserve"> Fund. In addition, most Forest Companies and PAMBs are directly under the province and thus can provide significant leverage. However, there is also a disadvantage of the Fund being influenced by political interventions by provincial authorities and other strong actors at the provincial level (e.g. provincial technical departments, Forest Companies, PAMBs). In addition, this option also has the disadvantage of not being at the district level (see advantages of being at the district discussed in Option B below).</w:t>
      </w:r>
    </w:p>
    <w:p w:rsidR="00351F2C" w:rsidRPr="00EC1298" w:rsidRDefault="00351F2C" w:rsidP="0041445F">
      <w:pPr>
        <w:spacing w:after="0" w:line="300" w:lineRule="atLeast"/>
        <w:jc w:val="both"/>
        <w:rPr>
          <w:rFonts w:ascii="Book Antiqua" w:hAnsi="Book Antiqua" w:cs="Arial"/>
          <w:lang w:val="en-US"/>
        </w:rPr>
      </w:pPr>
    </w:p>
    <w:p w:rsidR="00351F2C" w:rsidRPr="00EC1298" w:rsidRDefault="00351F2C" w:rsidP="0041445F">
      <w:pPr>
        <w:spacing w:after="0" w:line="300" w:lineRule="atLeast"/>
        <w:jc w:val="both"/>
        <w:rPr>
          <w:rFonts w:ascii="Book Antiqua" w:hAnsi="Book Antiqua" w:cs="Arial"/>
          <w:lang w:val="en-US"/>
        </w:rPr>
      </w:pPr>
      <w:r w:rsidRPr="00EC1298">
        <w:rPr>
          <w:rFonts w:ascii="Book Antiqua" w:hAnsi="Book Antiqua" w:cs="Arial"/>
          <w:lang w:val="en-US"/>
        </w:rPr>
        <w:t>Option B makes use of the strengths at the provincial level presented above. It also has benefits of being based at the district level. The districts have better opportunities and capacities to respond to locally specific conditions. In addition, compared to the provincial level, district level is more accountable to local population as it is closer to them. Nevertheless, this option does not remove the disadvantage of possible political interventions at the provincial level. It even has a possibility to be influenced by external forces at the district level. In addition, being at the district level also implies additional transaction costs to be borne compared to Option A.</w:t>
      </w:r>
    </w:p>
    <w:p w:rsidR="00351F2C" w:rsidRPr="00EC1298" w:rsidRDefault="00351F2C" w:rsidP="0041445F">
      <w:pPr>
        <w:spacing w:after="0" w:line="300" w:lineRule="atLeast"/>
        <w:jc w:val="both"/>
        <w:rPr>
          <w:rFonts w:ascii="Book Antiqua" w:hAnsi="Book Antiqua" w:cs="Arial"/>
          <w:lang w:val="en-US"/>
        </w:rPr>
      </w:pPr>
    </w:p>
    <w:p w:rsidR="00351F2C" w:rsidRPr="00EC1298" w:rsidRDefault="00351F2C" w:rsidP="0041445F">
      <w:pPr>
        <w:spacing w:after="0" w:line="300" w:lineRule="atLeast"/>
        <w:jc w:val="both"/>
        <w:rPr>
          <w:rFonts w:ascii="Book Antiqua" w:hAnsi="Book Antiqua" w:cs="Arial"/>
          <w:lang w:val="en-US"/>
        </w:rPr>
      </w:pPr>
      <w:r w:rsidRPr="00EC1298">
        <w:rPr>
          <w:rFonts w:ascii="Book Antiqua" w:hAnsi="Book Antiqua" w:cs="Arial"/>
          <w:lang w:val="en-US"/>
        </w:rPr>
        <w:t xml:space="preserve">For Option C, a clear advantage is to avoid the disadvantage of political interventions at the provincial level (as mentioned in Option A). In addition, it also has lower transaction costs than the three-tiered structure proposed in Option B. Nevertheless, a major problem is that it does not match with </w:t>
      </w:r>
      <w:smartTag w:uri="urn:schemas-microsoft-com:office:smarttags" w:element="country-region">
        <w:smartTag w:uri="urn:schemas-microsoft-com:office:smarttags" w:element="place">
          <w:r w:rsidRPr="00EC1298">
            <w:rPr>
              <w:rFonts w:ascii="Book Antiqua" w:hAnsi="Book Antiqua" w:cs="Arial"/>
              <w:lang w:val="en-US"/>
            </w:rPr>
            <w:t>Viet Nam</w:t>
          </w:r>
        </w:smartTag>
      </w:smartTag>
      <w:r w:rsidRPr="00EC1298">
        <w:rPr>
          <w:rFonts w:ascii="Book Antiqua" w:hAnsi="Book Antiqua" w:cs="Arial"/>
          <w:lang w:val="en-US"/>
        </w:rPr>
        <w:t>’s system of state administration and bypass the strengths of the provincial level.</w:t>
      </w:r>
    </w:p>
    <w:p w:rsidR="00351F2C" w:rsidRPr="00EC1298" w:rsidRDefault="00351F2C" w:rsidP="0041445F">
      <w:pPr>
        <w:spacing w:after="0" w:line="300" w:lineRule="atLeast"/>
        <w:jc w:val="both"/>
        <w:rPr>
          <w:rFonts w:ascii="Book Antiqua" w:hAnsi="Book Antiqua" w:cs="Arial"/>
          <w:lang w:val="en-US"/>
        </w:rPr>
      </w:pPr>
    </w:p>
    <w:p w:rsidR="00351F2C" w:rsidRPr="00EC1298" w:rsidRDefault="00351F2C" w:rsidP="009C52FC">
      <w:pPr>
        <w:spacing w:after="0" w:line="300" w:lineRule="atLeast"/>
        <w:jc w:val="both"/>
        <w:rPr>
          <w:rFonts w:ascii="Book Antiqua" w:hAnsi="Book Antiqua" w:cs="Arial"/>
          <w:lang w:val="en-US"/>
        </w:rPr>
      </w:pPr>
      <w:r w:rsidRPr="00EC1298">
        <w:rPr>
          <w:rFonts w:ascii="Book Antiqua" w:hAnsi="Book Antiqua" w:cs="Arial"/>
          <w:lang w:val="en-US"/>
        </w:rPr>
        <w:t>It is recommended that Option C (</w:t>
      </w:r>
      <w:r w:rsidR="00480D3D">
        <w:rPr>
          <w:rFonts w:ascii="Book Antiqua" w:hAnsi="Book Antiqua" w:cs="Arial"/>
          <w:lang w:val="en-US"/>
        </w:rPr>
        <w:t>REDD+</w:t>
      </w:r>
      <w:r w:rsidRPr="00EC1298">
        <w:rPr>
          <w:rFonts w:ascii="Book Antiqua" w:hAnsi="Book Antiqua" w:cs="Arial"/>
          <w:lang w:val="en-US"/>
        </w:rPr>
        <w:t xml:space="preserve"> Fund established at national and district levels) should not be taken as it bypasses the province, which is an important level of state administration of </w:t>
      </w:r>
      <w:smartTag w:uri="urn:schemas-microsoft-com:office:smarttags" w:element="country-region">
        <w:smartTag w:uri="urn:schemas-microsoft-com:office:smarttags" w:element="place">
          <w:r w:rsidR="00480D3D">
            <w:rPr>
              <w:rFonts w:ascii="Book Antiqua" w:hAnsi="Book Antiqua" w:cs="Arial"/>
              <w:lang w:val="en-US"/>
            </w:rPr>
            <w:t>Viet Nam</w:t>
          </w:r>
        </w:smartTag>
      </w:smartTag>
      <w:r w:rsidRPr="00EC1298">
        <w:rPr>
          <w:rFonts w:ascii="Book Antiqua" w:hAnsi="Book Antiqua" w:cs="Arial"/>
          <w:lang w:val="en-US"/>
        </w:rPr>
        <w:t>. Option A may be taken at the beginning to set up</w:t>
      </w:r>
      <w:r w:rsidR="00F65E5C">
        <w:rPr>
          <w:rFonts w:ascii="Book Antiqua" w:hAnsi="Book Antiqua" w:cs="Arial"/>
          <w:lang w:val="en-US"/>
        </w:rPr>
        <w:t xml:space="preserve"> and gain experience in operation of the REDD+ Funds, after which </w:t>
      </w:r>
      <w:r w:rsidRPr="00EC1298">
        <w:rPr>
          <w:rFonts w:ascii="Book Antiqua" w:hAnsi="Book Antiqua" w:cs="Arial"/>
          <w:lang w:val="en-US"/>
        </w:rPr>
        <w:t xml:space="preserve"> district level </w:t>
      </w:r>
      <w:r w:rsidR="00F65E5C">
        <w:rPr>
          <w:rFonts w:ascii="Book Antiqua" w:hAnsi="Book Antiqua" w:cs="Arial"/>
          <w:lang w:val="en-US"/>
        </w:rPr>
        <w:t>REDD+ Funds</w:t>
      </w:r>
      <w:r w:rsidR="00F65E5C" w:rsidRPr="00EC1298">
        <w:rPr>
          <w:rFonts w:ascii="Book Antiqua" w:hAnsi="Book Antiqua" w:cs="Arial"/>
          <w:lang w:val="en-US"/>
        </w:rPr>
        <w:t xml:space="preserve"> </w:t>
      </w:r>
      <w:r w:rsidRPr="00EC1298">
        <w:rPr>
          <w:rFonts w:ascii="Book Antiqua" w:hAnsi="Book Antiqua" w:cs="Arial"/>
          <w:lang w:val="en-US"/>
        </w:rPr>
        <w:t>may be set up.</w:t>
      </w:r>
    </w:p>
    <w:p w:rsidR="009C52FC" w:rsidRDefault="009C52FC" w:rsidP="009C52FC">
      <w:pPr>
        <w:pStyle w:val="Caption"/>
        <w:keepNext/>
        <w:spacing w:after="0"/>
        <w:jc w:val="center"/>
        <w:rPr>
          <w:rFonts w:ascii="Book Antiqua" w:hAnsi="Book Antiqua" w:cs="Arial"/>
          <w:sz w:val="22"/>
          <w:szCs w:val="22"/>
        </w:rPr>
      </w:pPr>
      <w:bookmarkStart w:id="233" w:name="_Ref243910385"/>
      <w:bookmarkStart w:id="234" w:name="_Toc243930085"/>
    </w:p>
    <w:p w:rsidR="00351F2C" w:rsidRPr="00EC1298" w:rsidRDefault="00351F2C" w:rsidP="009C52FC">
      <w:pPr>
        <w:pStyle w:val="Caption"/>
        <w:keepNext/>
        <w:spacing w:after="0"/>
        <w:jc w:val="center"/>
        <w:rPr>
          <w:rFonts w:ascii="Book Antiqua" w:hAnsi="Book Antiqua" w:cs="Arial"/>
          <w:sz w:val="22"/>
          <w:szCs w:val="22"/>
          <w:lang w:val="en-US"/>
        </w:rPr>
      </w:pPr>
      <w:r w:rsidRPr="00EC1298">
        <w:rPr>
          <w:rFonts w:ascii="Book Antiqua" w:hAnsi="Book Antiqua" w:cs="Arial"/>
          <w:sz w:val="22"/>
          <w:szCs w:val="22"/>
        </w:rPr>
        <w:t>Table 4</w:t>
      </w:r>
      <w:r w:rsidRPr="00EC1298">
        <w:rPr>
          <w:rFonts w:ascii="Book Antiqua" w:hAnsi="Book Antiqua" w:cs="Arial"/>
          <w:sz w:val="22"/>
          <w:szCs w:val="22"/>
        </w:rPr>
        <w:noBreakHyphen/>
      </w:r>
      <w:bookmarkEnd w:id="233"/>
      <w:r w:rsidR="007C40E1">
        <w:rPr>
          <w:rFonts w:ascii="Book Antiqua" w:hAnsi="Book Antiqua" w:cs="Arial"/>
          <w:sz w:val="22"/>
          <w:szCs w:val="22"/>
        </w:rPr>
        <w:t>5</w:t>
      </w:r>
      <w:r w:rsidRPr="00EC1298">
        <w:rPr>
          <w:rFonts w:ascii="Book Antiqua" w:hAnsi="Book Antiqua" w:cs="Arial"/>
          <w:sz w:val="22"/>
          <w:szCs w:val="22"/>
          <w:lang w:val="en-US"/>
        </w:rPr>
        <w:t xml:space="preserve">: Pros and cons of different options for </w:t>
      </w:r>
      <w:r w:rsidR="00480D3D">
        <w:rPr>
          <w:rFonts w:ascii="Book Antiqua" w:hAnsi="Book Antiqua" w:cs="Arial"/>
          <w:sz w:val="22"/>
          <w:szCs w:val="22"/>
          <w:lang w:val="en-US"/>
        </w:rPr>
        <w:t>REDD+</w:t>
      </w:r>
      <w:r w:rsidRPr="00EC1298">
        <w:rPr>
          <w:rFonts w:ascii="Book Antiqua" w:hAnsi="Book Antiqua" w:cs="Arial"/>
          <w:sz w:val="22"/>
          <w:szCs w:val="22"/>
          <w:lang w:val="en-US"/>
        </w:rPr>
        <w:t xml:space="preserve"> sub-national level</w:t>
      </w:r>
      <w:bookmarkEnd w:id="234"/>
    </w:p>
    <w:tbl>
      <w:tblPr>
        <w:tblW w:w="0" w:type="auto"/>
        <w:tblBorders>
          <w:top w:val="single" w:sz="4" w:space="0" w:color="auto"/>
          <w:insideH w:val="single" w:sz="4" w:space="0" w:color="auto"/>
        </w:tblBorders>
        <w:tblLook w:val="01E0"/>
      </w:tblPr>
      <w:tblGrid>
        <w:gridCol w:w="2280"/>
        <w:gridCol w:w="3360"/>
        <w:gridCol w:w="3120"/>
      </w:tblGrid>
      <w:tr w:rsidR="00351F2C" w:rsidRPr="00EC1298">
        <w:tc>
          <w:tcPr>
            <w:tcW w:w="2280" w:type="dxa"/>
            <w:tcBorders>
              <w:top w:val="single" w:sz="4" w:space="0" w:color="FFFFFF"/>
              <w:left w:val="single" w:sz="4" w:space="0" w:color="FFFFFF"/>
              <w:bottom w:val="single" w:sz="4" w:space="0" w:color="FFFFFF"/>
              <w:right w:val="single" w:sz="4" w:space="0" w:color="FFFFFF"/>
            </w:tcBorders>
            <w:shd w:val="clear" w:color="auto" w:fill="95B3D7"/>
          </w:tcPr>
          <w:p w:rsidR="00351F2C" w:rsidRPr="00EC1298" w:rsidRDefault="00351F2C" w:rsidP="002D076B">
            <w:pPr>
              <w:spacing w:before="60" w:after="60"/>
              <w:jc w:val="center"/>
              <w:rPr>
                <w:rFonts w:ascii="Book Antiqua" w:hAnsi="Book Antiqua" w:cs="Arial"/>
                <w:b/>
                <w:lang w:val="en-US"/>
              </w:rPr>
            </w:pPr>
            <w:r w:rsidRPr="00EC1298">
              <w:rPr>
                <w:rFonts w:ascii="Book Antiqua" w:hAnsi="Book Antiqua" w:cs="Arial"/>
                <w:b/>
                <w:lang w:val="en-US"/>
              </w:rPr>
              <w:t>Options</w:t>
            </w:r>
          </w:p>
        </w:tc>
        <w:tc>
          <w:tcPr>
            <w:tcW w:w="3360" w:type="dxa"/>
            <w:tcBorders>
              <w:top w:val="single" w:sz="4" w:space="0" w:color="FFFFFF"/>
              <w:left w:val="single" w:sz="4" w:space="0" w:color="FFFFFF"/>
              <w:bottom w:val="single" w:sz="4" w:space="0" w:color="FFFFFF"/>
              <w:right w:val="single" w:sz="4" w:space="0" w:color="FFFFFF"/>
            </w:tcBorders>
            <w:shd w:val="clear" w:color="auto" w:fill="95B3D7"/>
          </w:tcPr>
          <w:p w:rsidR="00351F2C" w:rsidRPr="00EC1298" w:rsidRDefault="00351F2C" w:rsidP="002D076B">
            <w:pPr>
              <w:spacing w:before="60" w:after="60"/>
              <w:jc w:val="center"/>
              <w:rPr>
                <w:rFonts w:ascii="Book Antiqua" w:hAnsi="Book Antiqua" w:cs="Arial"/>
                <w:b/>
                <w:lang w:val="en-US"/>
              </w:rPr>
            </w:pPr>
            <w:r w:rsidRPr="00EC1298">
              <w:rPr>
                <w:rFonts w:ascii="Book Antiqua" w:hAnsi="Book Antiqua" w:cs="Arial"/>
                <w:b/>
                <w:lang w:val="en-US"/>
              </w:rPr>
              <w:t>Advantages</w:t>
            </w:r>
          </w:p>
        </w:tc>
        <w:tc>
          <w:tcPr>
            <w:tcW w:w="3120" w:type="dxa"/>
            <w:tcBorders>
              <w:top w:val="single" w:sz="4" w:space="0" w:color="FFFFFF"/>
              <w:left w:val="single" w:sz="4" w:space="0" w:color="FFFFFF"/>
              <w:bottom w:val="single" w:sz="4" w:space="0" w:color="FFFFFF"/>
              <w:right w:val="single" w:sz="4" w:space="0" w:color="FFFFFF"/>
            </w:tcBorders>
            <w:shd w:val="clear" w:color="auto" w:fill="95B3D7"/>
          </w:tcPr>
          <w:p w:rsidR="00351F2C" w:rsidRPr="00EC1298" w:rsidRDefault="00351F2C" w:rsidP="002D076B">
            <w:pPr>
              <w:spacing w:before="60" w:after="60"/>
              <w:jc w:val="center"/>
              <w:rPr>
                <w:rFonts w:ascii="Book Antiqua" w:hAnsi="Book Antiqua" w:cs="Arial"/>
                <w:b/>
                <w:lang w:val="en-US"/>
              </w:rPr>
            </w:pPr>
            <w:r w:rsidRPr="00EC1298">
              <w:rPr>
                <w:rFonts w:ascii="Book Antiqua" w:hAnsi="Book Antiqua" w:cs="Arial"/>
                <w:b/>
                <w:lang w:val="en-US"/>
              </w:rPr>
              <w:t>Disadvantages</w:t>
            </w:r>
          </w:p>
        </w:tc>
      </w:tr>
      <w:tr w:rsidR="00351F2C" w:rsidRPr="00EC1298">
        <w:tc>
          <w:tcPr>
            <w:tcW w:w="228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480D3D" w:rsidP="003E3CBA">
            <w:pPr>
              <w:numPr>
                <w:ilvl w:val="0"/>
                <w:numId w:val="18"/>
              </w:numPr>
              <w:spacing w:before="60" w:after="60" w:line="240" w:lineRule="auto"/>
              <w:rPr>
                <w:rFonts w:ascii="Book Antiqua" w:hAnsi="Book Antiqua" w:cs="Arial"/>
                <w:sz w:val="20"/>
                <w:szCs w:val="20"/>
                <w:lang w:val="en-US"/>
              </w:rPr>
            </w:pPr>
            <w:r>
              <w:rPr>
                <w:rFonts w:ascii="Book Antiqua" w:hAnsi="Book Antiqua" w:cs="Arial"/>
                <w:sz w:val="20"/>
                <w:szCs w:val="20"/>
                <w:lang w:val="en-US"/>
              </w:rPr>
              <w:t>REDD+</w:t>
            </w:r>
            <w:r w:rsidR="00351F2C" w:rsidRPr="00EC1298">
              <w:rPr>
                <w:rFonts w:ascii="Book Antiqua" w:hAnsi="Book Antiqua" w:cs="Arial"/>
                <w:sz w:val="20"/>
                <w:szCs w:val="20"/>
                <w:lang w:val="en-US"/>
              </w:rPr>
              <w:t xml:space="preserve"> Fund established at national and provincial levels</w:t>
            </w:r>
          </w:p>
        </w:tc>
        <w:tc>
          <w:tcPr>
            <w:tcW w:w="336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3E3CBA">
            <w:pPr>
              <w:numPr>
                <w:ilvl w:val="0"/>
                <w:numId w:val="9"/>
              </w:numPr>
              <w:tabs>
                <w:tab w:val="clear" w:pos="720"/>
                <w:tab w:val="num" w:pos="372"/>
              </w:tabs>
              <w:spacing w:before="60" w:after="60" w:line="240" w:lineRule="auto"/>
              <w:ind w:left="372"/>
              <w:rPr>
                <w:rFonts w:ascii="Book Antiqua" w:hAnsi="Book Antiqua" w:cs="Arial"/>
                <w:sz w:val="20"/>
                <w:szCs w:val="20"/>
                <w:lang w:val="en-US"/>
              </w:rPr>
            </w:pPr>
            <w:r w:rsidRPr="00EC1298">
              <w:rPr>
                <w:rFonts w:ascii="Book Antiqua" w:hAnsi="Book Antiqua" w:cs="Arial"/>
                <w:sz w:val="20"/>
                <w:szCs w:val="20"/>
                <w:lang w:val="en-US"/>
              </w:rPr>
              <w:t>make use of the institutional strengths at the provincial level (policy autonomy, technical capacity, leverage from Forest Companies and PAMBs)</w:t>
            </w:r>
          </w:p>
        </w:tc>
        <w:tc>
          <w:tcPr>
            <w:tcW w:w="312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3E3CBA">
            <w:pPr>
              <w:numPr>
                <w:ilvl w:val="0"/>
                <w:numId w:val="9"/>
              </w:numPr>
              <w:tabs>
                <w:tab w:val="clear" w:pos="720"/>
                <w:tab w:val="num" w:pos="372"/>
              </w:tabs>
              <w:spacing w:before="60" w:after="60" w:line="240" w:lineRule="auto"/>
              <w:ind w:left="372"/>
              <w:rPr>
                <w:rFonts w:ascii="Book Antiqua" w:hAnsi="Book Antiqua" w:cs="Arial"/>
                <w:sz w:val="20"/>
                <w:szCs w:val="20"/>
                <w:lang w:val="en-US"/>
              </w:rPr>
            </w:pPr>
            <w:r w:rsidRPr="00EC1298">
              <w:rPr>
                <w:rFonts w:ascii="Book Antiqua" w:hAnsi="Book Antiqua" w:cs="Arial"/>
                <w:sz w:val="20"/>
                <w:szCs w:val="20"/>
                <w:lang w:val="en-US"/>
              </w:rPr>
              <w:t>possible interventions from provincial authorities and other stakeholders.</w:t>
            </w:r>
          </w:p>
          <w:p w:rsidR="00351F2C" w:rsidRPr="00EC1298" w:rsidRDefault="00351F2C" w:rsidP="003E3CBA">
            <w:pPr>
              <w:numPr>
                <w:ilvl w:val="0"/>
                <w:numId w:val="9"/>
              </w:numPr>
              <w:tabs>
                <w:tab w:val="clear" w:pos="720"/>
                <w:tab w:val="num" w:pos="372"/>
              </w:tabs>
              <w:spacing w:before="60" w:after="60" w:line="240" w:lineRule="auto"/>
              <w:ind w:left="372"/>
              <w:rPr>
                <w:rFonts w:ascii="Book Antiqua" w:hAnsi="Book Antiqua" w:cs="Arial"/>
                <w:sz w:val="20"/>
                <w:szCs w:val="20"/>
                <w:lang w:val="en-US"/>
              </w:rPr>
            </w:pPr>
            <w:r w:rsidRPr="00EC1298">
              <w:rPr>
                <w:rFonts w:ascii="Book Antiqua" w:hAnsi="Book Antiqua" w:cs="Arial"/>
                <w:sz w:val="20"/>
                <w:szCs w:val="20"/>
                <w:lang w:val="en-US"/>
              </w:rPr>
              <w:t>does not have the advantages of Option B</w:t>
            </w:r>
          </w:p>
        </w:tc>
      </w:tr>
      <w:tr w:rsidR="00351F2C" w:rsidRPr="00EC1298">
        <w:trPr>
          <w:trHeight w:val="345"/>
        </w:trPr>
        <w:tc>
          <w:tcPr>
            <w:tcW w:w="228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480D3D" w:rsidP="003E3CBA">
            <w:pPr>
              <w:numPr>
                <w:ilvl w:val="0"/>
                <w:numId w:val="18"/>
              </w:numPr>
              <w:spacing w:before="60" w:after="60" w:line="240" w:lineRule="auto"/>
              <w:rPr>
                <w:rFonts w:ascii="Book Antiqua" w:hAnsi="Book Antiqua" w:cs="Arial"/>
                <w:sz w:val="20"/>
                <w:szCs w:val="20"/>
                <w:lang w:val="en-US"/>
              </w:rPr>
            </w:pPr>
            <w:r>
              <w:rPr>
                <w:rFonts w:ascii="Book Antiqua" w:hAnsi="Book Antiqua" w:cs="Arial"/>
                <w:sz w:val="20"/>
                <w:szCs w:val="20"/>
                <w:lang w:val="en-US"/>
              </w:rPr>
              <w:t>REDD+</w:t>
            </w:r>
            <w:r w:rsidR="00351F2C" w:rsidRPr="00EC1298">
              <w:rPr>
                <w:rFonts w:ascii="Book Antiqua" w:hAnsi="Book Antiqua" w:cs="Arial"/>
                <w:sz w:val="20"/>
                <w:szCs w:val="20"/>
                <w:lang w:val="en-US"/>
              </w:rPr>
              <w:t xml:space="preserve"> Fund established at national, provincial and district levels</w:t>
            </w:r>
          </w:p>
        </w:tc>
        <w:tc>
          <w:tcPr>
            <w:tcW w:w="336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3E3CBA">
            <w:pPr>
              <w:numPr>
                <w:ilvl w:val="0"/>
                <w:numId w:val="9"/>
              </w:numPr>
              <w:tabs>
                <w:tab w:val="clear" w:pos="720"/>
                <w:tab w:val="num" w:pos="372"/>
              </w:tabs>
              <w:spacing w:before="60" w:after="60" w:line="240" w:lineRule="auto"/>
              <w:ind w:left="372"/>
              <w:rPr>
                <w:rFonts w:ascii="Book Antiqua" w:hAnsi="Book Antiqua" w:cs="Arial"/>
                <w:sz w:val="20"/>
                <w:szCs w:val="20"/>
                <w:lang w:val="en-US"/>
              </w:rPr>
            </w:pPr>
            <w:r w:rsidRPr="00EC1298">
              <w:rPr>
                <w:rFonts w:ascii="Book Antiqua" w:hAnsi="Book Antiqua" w:cs="Arial"/>
                <w:sz w:val="20"/>
                <w:szCs w:val="20"/>
                <w:lang w:val="en-US"/>
              </w:rPr>
              <w:t>see Option A</w:t>
            </w:r>
          </w:p>
          <w:p w:rsidR="00351F2C" w:rsidRPr="00EC1298" w:rsidRDefault="00351F2C" w:rsidP="003E3CBA">
            <w:pPr>
              <w:numPr>
                <w:ilvl w:val="0"/>
                <w:numId w:val="9"/>
              </w:numPr>
              <w:tabs>
                <w:tab w:val="clear" w:pos="720"/>
                <w:tab w:val="num" w:pos="372"/>
              </w:tabs>
              <w:spacing w:before="60" w:after="60" w:line="240" w:lineRule="auto"/>
              <w:ind w:left="372"/>
              <w:rPr>
                <w:rFonts w:ascii="Book Antiqua" w:hAnsi="Book Antiqua" w:cs="Arial"/>
                <w:sz w:val="20"/>
                <w:szCs w:val="20"/>
                <w:lang w:val="en-US"/>
              </w:rPr>
            </w:pPr>
            <w:r w:rsidRPr="00EC1298">
              <w:rPr>
                <w:rFonts w:ascii="Book Antiqua" w:hAnsi="Book Antiqua" w:cs="Arial"/>
                <w:sz w:val="20"/>
                <w:szCs w:val="20"/>
                <w:lang w:val="en-US"/>
              </w:rPr>
              <w:t>better opportunities and capacity to respond to local conditions</w:t>
            </w:r>
          </w:p>
          <w:p w:rsidR="00351F2C" w:rsidRPr="00EC1298" w:rsidRDefault="00351F2C" w:rsidP="003E3CBA">
            <w:pPr>
              <w:numPr>
                <w:ilvl w:val="0"/>
                <w:numId w:val="9"/>
              </w:numPr>
              <w:tabs>
                <w:tab w:val="clear" w:pos="720"/>
                <w:tab w:val="num" w:pos="372"/>
              </w:tabs>
              <w:spacing w:before="60" w:after="60" w:line="240" w:lineRule="auto"/>
              <w:ind w:left="372"/>
              <w:rPr>
                <w:rFonts w:ascii="Book Antiqua" w:hAnsi="Book Antiqua" w:cs="Arial"/>
                <w:sz w:val="20"/>
                <w:szCs w:val="20"/>
                <w:lang w:val="en-US"/>
              </w:rPr>
            </w:pPr>
            <w:r w:rsidRPr="00EC1298">
              <w:rPr>
                <w:rFonts w:ascii="Book Antiqua" w:hAnsi="Book Antiqua" w:cs="Arial"/>
                <w:sz w:val="20"/>
                <w:szCs w:val="20"/>
                <w:lang w:val="en-US"/>
              </w:rPr>
              <w:t>more accountable to local population</w:t>
            </w:r>
          </w:p>
        </w:tc>
        <w:tc>
          <w:tcPr>
            <w:tcW w:w="312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3E3CBA">
            <w:pPr>
              <w:numPr>
                <w:ilvl w:val="0"/>
                <w:numId w:val="9"/>
              </w:numPr>
              <w:tabs>
                <w:tab w:val="clear" w:pos="720"/>
                <w:tab w:val="num" w:pos="372"/>
              </w:tabs>
              <w:spacing w:before="60" w:after="60" w:line="240" w:lineRule="auto"/>
              <w:ind w:left="372"/>
              <w:rPr>
                <w:rFonts w:ascii="Book Antiqua" w:hAnsi="Book Antiqua" w:cs="Arial"/>
                <w:sz w:val="20"/>
                <w:szCs w:val="20"/>
                <w:lang w:val="en-US"/>
              </w:rPr>
            </w:pPr>
            <w:r w:rsidRPr="00EC1298">
              <w:rPr>
                <w:rFonts w:ascii="Book Antiqua" w:hAnsi="Book Antiqua" w:cs="Arial"/>
                <w:sz w:val="20"/>
                <w:szCs w:val="20"/>
                <w:lang w:val="en-US"/>
              </w:rPr>
              <w:t>possible interventions from provincial and district authorities and other stakeholders</w:t>
            </w:r>
          </w:p>
          <w:p w:rsidR="00351F2C" w:rsidRPr="00EC1298" w:rsidRDefault="00351F2C" w:rsidP="003E3CBA">
            <w:pPr>
              <w:numPr>
                <w:ilvl w:val="0"/>
                <w:numId w:val="9"/>
              </w:numPr>
              <w:tabs>
                <w:tab w:val="clear" w:pos="720"/>
                <w:tab w:val="num" w:pos="372"/>
              </w:tabs>
              <w:spacing w:before="60" w:after="60" w:line="240" w:lineRule="auto"/>
              <w:ind w:left="372"/>
              <w:rPr>
                <w:rFonts w:ascii="Book Antiqua" w:hAnsi="Book Antiqua" w:cs="Arial"/>
                <w:sz w:val="20"/>
                <w:szCs w:val="20"/>
                <w:lang w:val="en-US"/>
              </w:rPr>
            </w:pPr>
            <w:r w:rsidRPr="00EC1298">
              <w:rPr>
                <w:rFonts w:ascii="Book Antiqua" w:hAnsi="Book Antiqua" w:cs="Arial"/>
                <w:sz w:val="20"/>
                <w:szCs w:val="20"/>
                <w:lang w:val="en-US"/>
              </w:rPr>
              <w:t>additional transaction costs</w:t>
            </w:r>
          </w:p>
        </w:tc>
      </w:tr>
      <w:tr w:rsidR="00351F2C" w:rsidRPr="00EC1298">
        <w:trPr>
          <w:trHeight w:val="280"/>
        </w:trPr>
        <w:tc>
          <w:tcPr>
            <w:tcW w:w="228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480D3D" w:rsidP="003E3CBA">
            <w:pPr>
              <w:numPr>
                <w:ilvl w:val="0"/>
                <w:numId w:val="18"/>
              </w:numPr>
              <w:spacing w:before="60" w:after="60" w:line="240" w:lineRule="auto"/>
              <w:rPr>
                <w:rFonts w:ascii="Book Antiqua" w:hAnsi="Book Antiqua" w:cs="Arial"/>
                <w:sz w:val="20"/>
                <w:szCs w:val="20"/>
                <w:lang w:val="en-US"/>
              </w:rPr>
            </w:pPr>
            <w:r>
              <w:rPr>
                <w:rFonts w:ascii="Book Antiqua" w:hAnsi="Book Antiqua" w:cs="Arial"/>
                <w:sz w:val="20"/>
                <w:szCs w:val="20"/>
                <w:lang w:val="en-US"/>
              </w:rPr>
              <w:t>REDD+</w:t>
            </w:r>
            <w:r w:rsidR="00351F2C" w:rsidRPr="00EC1298">
              <w:rPr>
                <w:rFonts w:ascii="Book Antiqua" w:hAnsi="Book Antiqua" w:cs="Arial"/>
                <w:sz w:val="20"/>
                <w:szCs w:val="20"/>
                <w:lang w:val="en-US"/>
              </w:rPr>
              <w:t xml:space="preserve"> Fund established at national and district levels</w:t>
            </w:r>
          </w:p>
        </w:tc>
        <w:tc>
          <w:tcPr>
            <w:tcW w:w="336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3E3CBA">
            <w:pPr>
              <w:numPr>
                <w:ilvl w:val="0"/>
                <w:numId w:val="9"/>
              </w:numPr>
              <w:tabs>
                <w:tab w:val="clear" w:pos="720"/>
                <w:tab w:val="num" w:pos="372"/>
              </w:tabs>
              <w:spacing w:before="60" w:after="60" w:line="240" w:lineRule="auto"/>
              <w:ind w:left="372"/>
              <w:rPr>
                <w:rFonts w:ascii="Book Antiqua" w:hAnsi="Book Antiqua" w:cs="Arial"/>
                <w:sz w:val="20"/>
                <w:szCs w:val="20"/>
                <w:lang w:val="en-US"/>
              </w:rPr>
            </w:pPr>
            <w:r w:rsidRPr="00EC1298">
              <w:rPr>
                <w:rFonts w:ascii="Book Antiqua" w:hAnsi="Book Antiqua" w:cs="Arial"/>
                <w:sz w:val="20"/>
                <w:szCs w:val="20"/>
                <w:lang w:val="en-US"/>
              </w:rPr>
              <w:t>avoid political interventions at the provincial level</w:t>
            </w:r>
          </w:p>
          <w:p w:rsidR="00351F2C" w:rsidRPr="00EC1298" w:rsidRDefault="00351F2C" w:rsidP="003E3CBA">
            <w:pPr>
              <w:numPr>
                <w:ilvl w:val="0"/>
                <w:numId w:val="9"/>
              </w:numPr>
              <w:tabs>
                <w:tab w:val="clear" w:pos="720"/>
                <w:tab w:val="num" w:pos="372"/>
              </w:tabs>
              <w:spacing w:before="60" w:after="60" w:line="240" w:lineRule="auto"/>
              <w:ind w:left="372"/>
              <w:rPr>
                <w:rFonts w:ascii="Book Antiqua" w:hAnsi="Book Antiqua" w:cs="Arial"/>
                <w:sz w:val="20"/>
                <w:szCs w:val="20"/>
                <w:lang w:val="en-US"/>
              </w:rPr>
            </w:pPr>
            <w:r w:rsidRPr="00EC1298">
              <w:rPr>
                <w:rFonts w:ascii="Book Antiqua" w:hAnsi="Book Antiqua" w:cs="Arial"/>
                <w:sz w:val="20"/>
                <w:szCs w:val="20"/>
                <w:lang w:val="en-US"/>
              </w:rPr>
              <w:t>lower transaction costs than Option B</w:t>
            </w:r>
          </w:p>
        </w:tc>
        <w:tc>
          <w:tcPr>
            <w:tcW w:w="3120" w:type="dxa"/>
            <w:tcBorders>
              <w:top w:val="single" w:sz="4" w:space="0" w:color="FFFFFF"/>
              <w:left w:val="single" w:sz="4" w:space="0" w:color="FFFFFF"/>
              <w:bottom w:val="single" w:sz="4" w:space="0" w:color="FFFFFF"/>
              <w:right w:val="single" w:sz="4" w:space="0" w:color="FFFFFF"/>
            </w:tcBorders>
            <w:shd w:val="clear" w:color="auto" w:fill="DBE5F1"/>
          </w:tcPr>
          <w:p w:rsidR="00351F2C" w:rsidRPr="00EC1298" w:rsidRDefault="00351F2C" w:rsidP="003E3CBA">
            <w:pPr>
              <w:numPr>
                <w:ilvl w:val="0"/>
                <w:numId w:val="9"/>
              </w:numPr>
              <w:tabs>
                <w:tab w:val="clear" w:pos="720"/>
                <w:tab w:val="num" w:pos="372"/>
              </w:tabs>
              <w:spacing w:before="60" w:after="60" w:line="240" w:lineRule="auto"/>
              <w:ind w:left="372"/>
              <w:rPr>
                <w:rFonts w:ascii="Book Antiqua" w:hAnsi="Book Antiqua" w:cs="Arial"/>
                <w:sz w:val="20"/>
                <w:szCs w:val="20"/>
                <w:lang w:val="en-US"/>
              </w:rPr>
            </w:pPr>
            <w:r w:rsidRPr="00EC1298">
              <w:rPr>
                <w:rFonts w:ascii="Book Antiqua" w:hAnsi="Book Antiqua" w:cs="Arial"/>
                <w:sz w:val="20"/>
                <w:szCs w:val="20"/>
                <w:lang w:val="en-US"/>
              </w:rPr>
              <w:t xml:space="preserve">does not match with </w:t>
            </w:r>
            <w:r w:rsidR="00480D3D">
              <w:rPr>
                <w:rFonts w:ascii="Book Antiqua" w:hAnsi="Book Antiqua" w:cs="Arial"/>
                <w:sz w:val="20"/>
                <w:szCs w:val="20"/>
                <w:lang w:val="en-US"/>
              </w:rPr>
              <w:t>Vietnamese</w:t>
            </w:r>
            <w:r w:rsidRPr="00EC1298">
              <w:rPr>
                <w:rFonts w:ascii="Book Antiqua" w:hAnsi="Book Antiqua" w:cs="Arial"/>
                <w:sz w:val="20"/>
                <w:szCs w:val="20"/>
                <w:lang w:val="en-US"/>
              </w:rPr>
              <w:t xml:space="preserve"> state administration system</w:t>
            </w:r>
          </w:p>
          <w:p w:rsidR="00351F2C" w:rsidRPr="00EC1298" w:rsidRDefault="00351F2C" w:rsidP="003E3CBA">
            <w:pPr>
              <w:numPr>
                <w:ilvl w:val="0"/>
                <w:numId w:val="9"/>
              </w:numPr>
              <w:tabs>
                <w:tab w:val="clear" w:pos="720"/>
                <w:tab w:val="num" w:pos="372"/>
              </w:tabs>
              <w:spacing w:before="60" w:after="60" w:line="240" w:lineRule="auto"/>
              <w:ind w:left="372"/>
              <w:rPr>
                <w:rFonts w:ascii="Book Antiqua" w:hAnsi="Book Antiqua" w:cs="Arial"/>
                <w:sz w:val="20"/>
                <w:szCs w:val="20"/>
                <w:lang w:val="en-US"/>
              </w:rPr>
            </w:pPr>
            <w:r w:rsidRPr="00EC1298">
              <w:rPr>
                <w:rFonts w:ascii="Book Antiqua" w:hAnsi="Book Antiqua" w:cs="Arial"/>
                <w:sz w:val="20"/>
                <w:szCs w:val="20"/>
                <w:lang w:val="en-US"/>
              </w:rPr>
              <w:t>lose the opportunities to make use of institutional strengths at provincial level</w:t>
            </w:r>
          </w:p>
        </w:tc>
      </w:tr>
    </w:tbl>
    <w:p w:rsidR="00351F2C" w:rsidRPr="00445F77" w:rsidRDefault="00351F2C" w:rsidP="004D47BB">
      <w:pPr>
        <w:spacing w:before="120" w:after="120"/>
        <w:rPr>
          <w:rFonts w:ascii="Arial" w:hAnsi="Arial" w:cs="Arial"/>
          <w:sz w:val="24"/>
          <w:szCs w:val="24"/>
          <w:lang w:val="en-US"/>
        </w:rPr>
      </w:pPr>
    </w:p>
    <w:tbl>
      <w:tblPr>
        <w:tblW w:w="5000" w:type="pct"/>
        <w:jc w:val="right"/>
        <w:tblBorders>
          <w:insideH w:val="single" w:sz="24" w:space="0" w:color="FFFFFF"/>
          <w:insideV w:val="single" w:sz="24" w:space="0" w:color="FFFFFF"/>
        </w:tblBorders>
        <w:tblLook w:val="00A0"/>
      </w:tblPr>
      <w:tblGrid>
        <w:gridCol w:w="1819"/>
        <w:gridCol w:w="7185"/>
      </w:tblGrid>
      <w:tr w:rsidR="00351F2C" w:rsidRPr="00445F77">
        <w:trPr>
          <w:tblHeader/>
          <w:jc w:val="right"/>
        </w:trPr>
        <w:tc>
          <w:tcPr>
            <w:tcW w:w="5000" w:type="pct"/>
            <w:gridSpan w:val="2"/>
            <w:tcBorders>
              <w:top w:val="single" w:sz="24" w:space="0" w:color="FFFFFF"/>
              <w:bottom w:val="single" w:sz="24" w:space="0" w:color="FFFFFF"/>
            </w:tcBorders>
            <w:shd w:val="clear" w:color="auto" w:fill="76923C"/>
            <w:vAlign w:val="center"/>
          </w:tcPr>
          <w:p w:rsidR="00351F2C" w:rsidRPr="00EC1298" w:rsidRDefault="00351F2C" w:rsidP="00A256CB">
            <w:pPr>
              <w:spacing w:after="0" w:line="240" w:lineRule="auto"/>
              <w:jc w:val="center"/>
              <w:rPr>
                <w:rFonts w:ascii="Book Antiqua" w:hAnsi="Book Antiqua" w:cs="Arial"/>
                <w:b/>
                <w:color w:val="FFFFFF"/>
                <w:sz w:val="24"/>
                <w:szCs w:val="24"/>
              </w:rPr>
            </w:pPr>
            <w:r w:rsidRPr="00EC1298">
              <w:rPr>
                <w:rFonts w:ascii="Book Antiqua" w:hAnsi="Book Antiqua" w:cs="Arial"/>
                <w:b/>
                <w:color w:val="FFFFFF"/>
                <w:sz w:val="24"/>
                <w:szCs w:val="24"/>
              </w:rPr>
              <w:t xml:space="preserve">POLICY DECISION </w:t>
            </w:r>
            <w:r w:rsidR="009C52FC">
              <w:rPr>
                <w:rFonts w:ascii="Book Antiqua" w:hAnsi="Book Antiqua" w:cs="Arial"/>
                <w:b/>
                <w:color w:val="FFFFFF"/>
                <w:sz w:val="24"/>
                <w:szCs w:val="24"/>
              </w:rPr>
              <w:t>4.2</w:t>
            </w:r>
          </w:p>
          <w:p w:rsidR="00351F2C" w:rsidRPr="00445F77" w:rsidRDefault="00351F2C" w:rsidP="00A256CB">
            <w:pPr>
              <w:spacing w:after="0" w:line="240" w:lineRule="auto"/>
              <w:jc w:val="center"/>
              <w:rPr>
                <w:rFonts w:ascii="Arial" w:hAnsi="Arial" w:cs="Arial"/>
                <w:b/>
                <w:color w:val="FFFFFF"/>
                <w:sz w:val="24"/>
                <w:szCs w:val="24"/>
              </w:rPr>
            </w:pPr>
            <w:r w:rsidRPr="00EC1298">
              <w:rPr>
                <w:rFonts w:ascii="Book Antiqua" w:hAnsi="Book Antiqua" w:cs="Arial"/>
                <w:b/>
                <w:color w:val="FFFFFF"/>
                <w:sz w:val="24"/>
                <w:szCs w:val="24"/>
              </w:rPr>
              <w:t xml:space="preserve">Sub-national levels at which </w:t>
            </w:r>
            <w:r w:rsidR="001B6D90">
              <w:rPr>
                <w:rFonts w:ascii="Book Antiqua" w:hAnsi="Book Antiqua" w:cs="Arial"/>
                <w:b/>
                <w:color w:val="FFFFFF"/>
                <w:sz w:val="24"/>
                <w:szCs w:val="24"/>
              </w:rPr>
              <w:t>REDD+</w:t>
            </w:r>
            <w:r w:rsidRPr="00EC1298">
              <w:rPr>
                <w:rFonts w:ascii="Book Antiqua" w:hAnsi="Book Antiqua" w:cs="Arial"/>
                <w:b/>
                <w:color w:val="FFFFFF"/>
                <w:sz w:val="24"/>
                <w:szCs w:val="24"/>
              </w:rPr>
              <w:t xml:space="preserve"> revenues should be managed</w:t>
            </w:r>
          </w:p>
        </w:tc>
      </w:tr>
      <w:tr w:rsidR="00351F2C" w:rsidRPr="00445F77">
        <w:trPr>
          <w:jc w:val="right"/>
        </w:trPr>
        <w:tc>
          <w:tcPr>
            <w:tcW w:w="1010" w:type="pct"/>
            <w:tcBorders>
              <w:top w:val="single" w:sz="24" w:space="0" w:color="FFFFFF"/>
              <w:bottom w:val="single" w:sz="8" w:space="0" w:color="FFFFFF"/>
              <w:right w:val="single" w:sz="24" w:space="0" w:color="FFFFFF"/>
            </w:tcBorders>
            <w:shd w:val="clear" w:color="auto" w:fill="C2D69B"/>
            <w:vAlign w:val="center"/>
          </w:tcPr>
          <w:p w:rsidR="00351F2C" w:rsidRPr="00EC1298" w:rsidRDefault="00351F2C" w:rsidP="00A256CB">
            <w:pPr>
              <w:spacing w:after="0" w:line="240" w:lineRule="auto"/>
              <w:rPr>
                <w:rFonts w:ascii="Book Antiqua" w:hAnsi="Book Antiqua" w:cs="Arial"/>
              </w:rPr>
            </w:pPr>
            <w:r w:rsidRPr="00EC1298">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351F2C" w:rsidRPr="00EC1298" w:rsidRDefault="00351F2C" w:rsidP="00A256CB">
            <w:pPr>
              <w:spacing w:after="0" w:line="240" w:lineRule="auto"/>
              <w:jc w:val="both"/>
              <w:rPr>
                <w:rFonts w:ascii="Book Antiqua" w:hAnsi="Book Antiqua" w:cs="Arial"/>
              </w:rPr>
            </w:pPr>
            <w:r w:rsidRPr="00EC1298">
              <w:rPr>
                <w:rFonts w:ascii="Book Antiqua" w:hAnsi="Book Antiqua" w:cs="Arial"/>
              </w:rPr>
              <w:t xml:space="preserve">The national government will receive </w:t>
            </w:r>
            <w:r w:rsidR="001B6D90">
              <w:rPr>
                <w:rFonts w:ascii="Book Antiqua" w:hAnsi="Book Antiqua" w:cs="Arial"/>
              </w:rPr>
              <w:t>REDD+</w:t>
            </w:r>
            <w:r w:rsidRPr="00EC1298">
              <w:rPr>
                <w:rFonts w:ascii="Book Antiqua" w:hAnsi="Book Antiqua" w:cs="Arial"/>
              </w:rPr>
              <w:t xml:space="preserve"> funding from the international community (see </w:t>
            </w:r>
            <w:r w:rsidR="00F5648E">
              <w:rPr>
                <w:rFonts w:ascii="Book Antiqua" w:hAnsi="Book Antiqua" w:cs="Arial"/>
              </w:rPr>
              <w:t>Policy Decision</w:t>
            </w:r>
            <w:r w:rsidRPr="00EC1298">
              <w:rPr>
                <w:rFonts w:ascii="Book Antiqua" w:hAnsi="Book Antiqua" w:cs="Arial"/>
              </w:rPr>
              <w:t xml:space="preserve"> 2).  These revenues will then need to be disbursed to those who have incurred costs in reducing emissions, with distribution to the ultimate beneficiaries, particularly people living in and around forest areas who have changed their behavior in response to </w:t>
            </w:r>
            <w:r w:rsidR="00480D3D">
              <w:rPr>
                <w:rFonts w:ascii="Book Antiqua" w:hAnsi="Book Antiqua" w:cs="Arial"/>
              </w:rPr>
              <w:t>REDD+</w:t>
            </w:r>
            <w:r w:rsidRPr="00EC1298">
              <w:rPr>
                <w:rFonts w:ascii="Book Antiqua" w:hAnsi="Book Antiqua" w:cs="Arial"/>
              </w:rPr>
              <w:t xml:space="preserve"> incentives.</w:t>
            </w:r>
          </w:p>
          <w:p w:rsidR="00351F2C" w:rsidRPr="00EC1298" w:rsidRDefault="00351F2C" w:rsidP="00A256CB">
            <w:pPr>
              <w:spacing w:after="0" w:line="240" w:lineRule="auto"/>
              <w:jc w:val="both"/>
              <w:rPr>
                <w:rFonts w:ascii="Book Antiqua" w:hAnsi="Book Antiqua" w:cs="Arial"/>
              </w:rPr>
            </w:pPr>
          </w:p>
          <w:p w:rsidR="00351F2C" w:rsidRPr="00EC1298" w:rsidRDefault="00351F2C" w:rsidP="009C52FC">
            <w:pPr>
              <w:spacing w:after="0" w:line="240" w:lineRule="auto"/>
              <w:jc w:val="both"/>
              <w:rPr>
                <w:rFonts w:ascii="Book Antiqua" w:hAnsi="Book Antiqua" w:cs="Arial"/>
              </w:rPr>
            </w:pPr>
            <w:r w:rsidRPr="00EC1298">
              <w:rPr>
                <w:rFonts w:ascii="Book Antiqua" w:hAnsi="Book Antiqua" w:cs="Arial"/>
              </w:rPr>
              <w:t>There are trade-offs to be considered in this regard.  The greater the number of hierarchical levels at which revenues are managed, the less cost-effective the mechanism is likely to be. There will tend to be higher implementation costs, and a higher the risk of rent-seeking and corruption.  On the other hand, fewer hierarchical levels make it harder to ensure efficiency and equity in the disbursement, because of the “distance” between the source and target of the funds.</w:t>
            </w:r>
          </w:p>
        </w:tc>
      </w:tr>
      <w:tr w:rsidR="00351F2C" w:rsidRPr="00445F77">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351F2C" w:rsidRPr="00EC1298" w:rsidRDefault="00351F2C" w:rsidP="00A256CB">
            <w:pPr>
              <w:spacing w:after="0" w:line="240" w:lineRule="auto"/>
              <w:rPr>
                <w:rFonts w:ascii="Book Antiqua" w:hAnsi="Book Antiqua" w:cs="Arial"/>
              </w:rPr>
            </w:pPr>
            <w:r w:rsidRPr="00EC1298">
              <w:rPr>
                <w:rFonts w:ascii="Book Antiqua" w:hAnsi="Book Antiqua" w:cs="Arial"/>
              </w:rPr>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351F2C" w:rsidRPr="00A605C9" w:rsidRDefault="001B6D90" w:rsidP="008227FD">
            <w:pPr>
              <w:pStyle w:val="ListParagraph"/>
              <w:numPr>
                <w:ilvl w:val="0"/>
                <w:numId w:val="144"/>
              </w:numPr>
              <w:spacing w:after="0" w:line="240" w:lineRule="auto"/>
              <w:ind w:left="219" w:hanging="270"/>
              <w:jc w:val="both"/>
              <w:rPr>
                <w:rFonts w:ascii="Book Antiqua" w:hAnsi="Book Antiqua" w:cs="Arial"/>
              </w:rPr>
            </w:pPr>
            <w:r w:rsidRPr="00A605C9">
              <w:rPr>
                <w:rFonts w:ascii="Book Antiqua" w:hAnsi="Book Antiqua" w:cs="Arial"/>
              </w:rPr>
              <w:t>REDD+</w:t>
            </w:r>
            <w:r w:rsidR="00351F2C" w:rsidRPr="00A605C9">
              <w:rPr>
                <w:rFonts w:ascii="Book Antiqua" w:hAnsi="Book Antiqua" w:cs="Arial"/>
              </w:rPr>
              <w:t xml:space="preserve"> revenues managed at national and provincial levels </w:t>
            </w:r>
          </w:p>
          <w:p w:rsidR="00351F2C" w:rsidRPr="00A605C9" w:rsidRDefault="001B6D90" w:rsidP="008227FD">
            <w:pPr>
              <w:pStyle w:val="ListParagraph"/>
              <w:numPr>
                <w:ilvl w:val="0"/>
                <w:numId w:val="144"/>
              </w:numPr>
              <w:spacing w:after="0" w:line="240" w:lineRule="auto"/>
              <w:ind w:left="219" w:hanging="270"/>
              <w:jc w:val="both"/>
              <w:rPr>
                <w:rFonts w:ascii="Book Antiqua" w:hAnsi="Book Antiqua" w:cs="Arial"/>
              </w:rPr>
            </w:pPr>
            <w:r w:rsidRPr="00A605C9">
              <w:rPr>
                <w:rFonts w:ascii="Book Antiqua" w:hAnsi="Book Antiqua" w:cs="Arial"/>
              </w:rPr>
              <w:t>REDD+</w:t>
            </w:r>
            <w:r w:rsidR="00351F2C" w:rsidRPr="00A605C9">
              <w:rPr>
                <w:rFonts w:ascii="Book Antiqua" w:hAnsi="Book Antiqua" w:cs="Arial"/>
              </w:rPr>
              <w:t xml:space="preserve"> revenues managed at national, provincial and district levels</w:t>
            </w:r>
          </w:p>
          <w:p w:rsidR="00351F2C" w:rsidRPr="00A605C9" w:rsidRDefault="001B6D90" w:rsidP="008227FD">
            <w:pPr>
              <w:pStyle w:val="ListParagraph"/>
              <w:numPr>
                <w:ilvl w:val="0"/>
                <w:numId w:val="144"/>
              </w:numPr>
              <w:spacing w:after="0" w:line="240" w:lineRule="auto"/>
              <w:ind w:left="219" w:hanging="270"/>
              <w:jc w:val="both"/>
              <w:rPr>
                <w:rFonts w:ascii="Book Antiqua" w:hAnsi="Book Antiqua" w:cs="Arial"/>
              </w:rPr>
            </w:pPr>
            <w:r w:rsidRPr="00A605C9">
              <w:rPr>
                <w:rFonts w:ascii="Book Antiqua" w:hAnsi="Book Antiqua" w:cs="Arial"/>
              </w:rPr>
              <w:t>REDD+</w:t>
            </w:r>
            <w:r w:rsidR="00351F2C" w:rsidRPr="00A605C9">
              <w:rPr>
                <w:rFonts w:ascii="Book Antiqua" w:hAnsi="Book Antiqua" w:cs="Arial"/>
              </w:rPr>
              <w:t xml:space="preserve"> revenues managed at national and district levels</w:t>
            </w:r>
          </w:p>
        </w:tc>
      </w:tr>
      <w:tr w:rsidR="00A605C9" w:rsidRPr="00445F77">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A605C9" w:rsidRPr="00EC1298" w:rsidRDefault="00A605C9" w:rsidP="00A256CB">
            <w:pPr>
              <w:spacing w:after="0" w:line="240" w:lineRule="auto"/>
              <w:rPr>
                <w:rFonts w:ascii="Book Antiqua" w:hAnsi="Book Antiqua" w:cs="Arial"/>
              </w:rPr>
            </w:pPr>
            <w:r w:rsidRPr="00EC1298">
              <w:rPr>
                <w:rFonts w:ascii="Book Antiqua" w:hAnsi="Book Antiqua" w:cs="Arial"/>
              </w:rPr>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A605C9" w:rsidRPr="003C0FC0" w:rsidRDefault="00A605C9" w:rsidP="003561C4">
            <w:pPr>
              <w:spacing w:after="0" w:line="240" w:lineRule="auto"/>
              <w:jc w:val="both"/>
              <w:rPr>
                <w:rFonts w:ascii="Book Antiqua" w:hAnsi="Book Antiqua" w:cs="Arial"/>
              </w:rPr>
            </w:pPr>
            <w:r w:rsidRPr="003C0FC0">
              <w:rPr>
                <w:rFonts w:ascii="Book Antiqua" w:hAnsi="Book Antiqua" w:cs="Arial"/>
              </w:rPr>
              <w:t xml:space="preserve">Option C (REDD+ revenues managed at national and district levels) is not recommended, as it bypasses the province, which is an important administrative level for forest management and planning.  For initial piloting of REDD+, Option A may be initially adopted.  However, once experience has been developed, provided the additional transaction costs are not prohibitive, and especially when appropriate capacity has </w:t>
            </w:r>
            <w:r w:rsidRPr="003C0FC0">
              <w:rPr>
                <w:rFonts w:ascii="Book Antiqua" w:hAnsi="Book Antiqua" w:cs="Arial"/>
              </w:rPr>
              <w:lastRenderedPageBreak/>
              <w:t>been built at province and district level, including the establishment of district level funds, Option B should be adopted.</w:t>
            </w:r>
          </w:p>
        </w:tc>
      </w:tr>
      <w:tr w:rsidR="00A605C9" w:rsidRPr="00445F77">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A605C9" w:rsidRPr="00EC1298" w:rsidRDefault="00A605C9" w:rsidP="00A256CB">
            <w:pPr>
              <w:spacing w:after="0" w:line="240" w:lineRule="auto"/>
              <w:rPr>
                <w:rFonts w:ascii="Book Antiqua" w:hAnsi="Book Antiqua" w:cs="Arial"/>
              </w:rPr>
            </w:pPr>
            <w:r>
              <w:rPr>
                <w:rFonts w:ascii="Book Antiqua" w:hAnsi="Book Antiqua" w:cs="Arial"/>
              </w:rPr>
              <w:lastRenderedPageBreak/>
              <w:t>Actions required to confirm policy option</w:t>
            </w:r>
          </w:p>
        </w:tc>
        <w:tc>
          <w:tcPr>
            <w:tcW w:w="3990" w:type="pct"/>
            <w:tcBorders>
              <w:top w:val="single" w:sz="8" w:space="0" w:color="FFFFFF"/>
              <w:left w:val="single" w:sz="24" w:space="0" w:color="FFFFFF"/>
              <w:bottom w:val="single" w:sz="8" w:space="0" w:color="FFFFFF"/>
            </w:tcBorders>
            <w:shd w:val="clear" w:color="auto" w:fill="D6E3BC"/>
            <w:vAlign w:val="center"/>
          </w:tcPr>
          <w:p w:rsidR="00A605C9" w:rsidRPr="003C0FC0" w:rsidRDefault="00A605C9" w:rsidP="003561C4">
            <w:pPr>
              <w:spacing w:after="0" w:line="240" w:lineRule="auto"/>
              <w:jc w:val="both"/>
              <w:rPr>
                <w:rFonts w:ascii="Book Antiqua" w:hAnsi="Book Antiqua" w:cs="Arial"/>
              </w:rPr>
            </w:pPr>
            <w:r w:rsidRPr="003C0FC0">
              <w:rPr>
                <w:rFonts w:ascii="Book Antiqua" w:hAnsi="Book Antiqua" w:cs="Arial"/>
              </w:rPr>
              <w:t>Piloting of REDD+ revenue management structures in a small number of provinces and for capacity building at province and district level should be undertaken over a period of at least 2 years to gain lessons concerning the costs, efficiency and effectiveness of management of REDD+ revenues at multiple levels.  Note that PFES pilots have not yet had to address this issue of disbursement from national down to local level.</w:t>
            </w:r>
          </w:p>
        </w:tc>
      </w:tr>
    </w:tbl>
    <w:p w:rsidR="00351F2C" w:rsidRPr="00445F77" w:rsidRDefault="00351F2C" w:rsidP="009C52FC">
      <w:pPr>
        <w:spacing w:after="0"/>
        <w:rPr>
          <w:rFonts w:ascii="Arial" w:hAnsi="Arial" w:cs="Arial"/>
          <w:sz w:val="24"/>
          <w:szCs w:val="24"/>
        </w:rPr>
      </w:pPr>
    </w:p>
    <w:p w:rsidR="00351F2C" w:rsidRPr="00445F77" w:rsidRDefault="00351F2C" w:rsidP="009C52FC">
      <w:pPr>
        <w:pStyle w:val="Heading3"/>
        <w:spacing w:before="0" w:after="0"/>
        <w:rPr>
          <w:rFonts w:ascii="Arial" w:hAnsi="Arial" w:cs="Arial"/>
          <w:lang w:val="en-US"/>
        </w:rPr>
      </w:pPr>
      <w:bookmarkStart w:id="235" w:name="_Toc243929952"/>
      <w:bookmarkStart w:id="236" w:name="_Toc243984135"/>
      <w:bookmarkStart w:id="237" w:name="_Toc244327661"/>
      <w:bookmarkStart w:id="238" w:name="_Toc244327910"/>
      <w:bookmarkStart w:id="239" w:name="_Toc244586175"/>
      <w:bookmarkStart w:id="240" w:name="_Toc249079543"/>
      <w:r w:rsidRPr="00445F77">
        <w:rPr>
          <w:rFonts w:ascii="Arial" w:hAnsi="Arial" w:cs="Arial"/>
          <w:lang w:val="en-US"/>
        </w:rPr>
        <w:t xml:space="preserve">A phased approach to the establishment of a national </w:t>
      </w:r>
      <w:r w:rsidR="00480D3D">
        <w:rPr>
          <w:rFonts w:ascii="Arial" w:hAnsi="Arial" w:cs="Arial"/>
          <w:lang w:val="en-US"/>
        </w:rPr>
        <w:t>REDD+</w:t>
      </w:r>
      <w:r w:rsidRPr="00445F77">
        <w:rPr>
          <w:rFonts w:ascii="Arial" w:hAnsi="Arial" w:cs="Arial"/>
          <w:lang w:val="en-US"/>
        </w:rPr>
        <w:t xml:space="preserve"> Fund</w:t>
      </w:r>
      <w:bookmarkEnd w:id="235"/>
      <w:bookmarkEnd w:id="236"/>
      <w:bookmarkEnd w:id="237"/>
      <w:bookmarkEnd w:id="238"/>
      <w:bookmarkEnd w:id="239"/>
      <w:bookmarkEnd w:id="240"/>
    </w:p>
    <w:p w:rsidR="00351F2C" w:rsidRPr="00EC1298" w:rsidRDefault="00C47C3B" w:rsidP="009C52FC">
      <w:pPr>
        <w:spacing w:after="0"/>
        <w:jc w:val="both"/>
        <w:rPr>
          <w:rFonts w:ascii="Book Antiqua" w:hAnsi="Book Antiqua" w:cs="Arial"/>
          <w:lang w:val="en-US"/>
        </w:rPr>
      </w:pPr>
      <w:r w:rsidRPr="00EC1298">
        <w:rPr>
          <w:rFonts w:ascii="Book Antiqua" w:hAnsi="Book Antiqua" w:cs="Arial"/>
          <w:lang w:val="en-US"/>
        </w:rPr>
        <w:fldChar w:fldCharType="begin"/>
      </w:r>
      <w:r w:rsidR="009C52FC" w:rsidRPr="00EC1298">
        <w:rPr>
          <w:rFonts w:ascii="Book Antiqua" w:hAnsi="Book Antiqua" w:cs="Arial"/>
          <w:lang w:val="en-US"/>
        </w:rPr>
        <w:instrText xml:space="preserve"> QUOTE "(Pedroni et al. 2009)" </w:instrText>
      </w:r>
      <w:r w:rsidRPr="00EC1298">
        <w:rPr>
          <w:rFonts w:ascii="Book Antiqua" w:hAnsi="Book Antiqua" w:cs="Arial"/>
          <w:vanish/>
          <w:lang w:val="en-US"/>
        </w:rPr>
        <w:fldChar w:fldCharType="begin"/>
      </w:r>
      <w:r w:rsidR="009C52FC" w:rsidRPr="00EC1298">
        <w:rPr>
          <w:rFonts w:ascii="Book Antiqua" w:hAnsi="Book Antiqua" w:cs="Arial"/>
          <w:vanish/>
          <w:lang w:val="en-US"/>
        </w:rPr>
        <w:instrText xml:space="preserve"> ADDIN REFMAN ÿ\11\05‘\19\01\00\00\00\15(Pedroni et al. 2009)\00\15\00cC:\5CDocuments and Settings\5CAdministrator\5CDesktop\5CUN-REDD study\5COwn documents\5CUN-REDD study reference\03\00\0210%Pedroni, Dutschke, et al. 2009 10 /id\00%\00 </w:instrText>
      </w:r>
      <w:r w:rsidRPr="00EC1298">
        <w:rPr>
          <w:rFonts w:ascii="Book Antiqua" w:hAnsi="Book Antiqua" w:cs="Arial"/>
          <w:vanish/>
          <w:lang w:val="en-US"/>
        </w:rPr>
        <w:fldChar w:fldCharType="end"/>
      </w:r>
      <w:r w:rsidRPr="00EC1298">
        <w:rPr>
          <w:rFonts w:ascii="Book Antiqua" w:hAnsi="Book Antiqua" w:cs="Arial"/>
          <w:lang w:val="en-US"/>
        </w:rPr>
        <w:fldChar w:fldCharType="separate"/>
      </w:r>
      <w:r w:rsidR="009C52FC" w:rsidRPr="00EC1298">
        <w:rPr>
          <w:rFonts w:ascii="Book Antiqua" w:hAnsi="Book Antiqua" w:cs="Arial"/>
          <w:lang w:val="en-US"/>
        </w:rPr>
        <w:t xml:space="preserve">Pedroni et al. </w:t>
      </w:r>
      <w:r w:rsidR="009C52FC">
        <w:rPr>
          <w:rFonts w:ascii="Book Antiqua" w:hAnsi="Book Antiqua" w:cs="Arial"/>
          <w:lang w:val="en-US"/>
        </w:rPr>
        <w:t>(</w:t>
      </w:r>
      <w:r w:rsidR="009C52FC" w:rsidRPr="00EC1298">
        <w:rPr>
          <w:rFonts w:ascii="Book Antiqua" w:hAnsi="Book Antiqua" w:cs="Arial"/>
          <w:lang w:val="en-US"/>
        </w:rPr>
        <w:t>2009)</w:t>
      </w:r>
      <w:r w:rsidRPr="00EC1298">
        <w:rPr>
          <w:rFonts w:ascii="Book Antiqua" w:hAnsi="Book Antiqua" w:cs="Arial"/>
          <w:lang w:val="en-US"/>
        </w:rPr>
        <w:fldChar w:fldCharType="end"/>
      </w:r>
      <w:r w:rsidR="009C52FC">
        <w:rPr>
          <w:rFonts w:ascii="Book Antiqua" w:hAnsi="Book Antiqua" w:cs="Arial"/>
          <w:lang w:val="en-US"/>
        </w:rPr>
        <w:t xml:space="preserve"> have recommended a so-called “nested approach” to </w:t>
      </w:r>
      <w:r w:rsidR="001B6D90">
        <w:rPr>
          <w:rFonts w:ascii="Book Antiqua" w:hAnsi="Book Antiqua" w:cs="Arial"/>
          <w:lang w:val="en-US"/>
        </w:rPr>
        <w:t>REDD+</w:t>
      </w:r>
      <w:r w:rsidR="009C52FC">
        <w:rPr>
          <w:rFonts w:ascii="Book Antiqua" w:hAnsi="Book Antiqua" w:cs="Arial"/>
          <w:lang w:val="en-US"/>
        </w:rPr>
        <w:t xml:space="preserve"> implementation, under which initially </w:t>
      </w:r>
      <w:r w:rsidR="009C52FC" w:rsidRPr="00EC1298">
        <w:rPr>
          <w:rFonts w:ascii="Book Antiqua" w:hAnsi="Book Antiqua" w:cs="Arial"/>
          <w:lang w:val="en-US"/>
        </w:rPr>
        <w:t xml:space="preserve">project-level and sub-national </w:t>
      </w:r>
      <w:r w:rsidR="00480D3D">
        <w:rPr>
          <w:rFonts w:ascii="Book Antiqua" w:hAnsi="Book Antiqua" w:cs="Arial"/>
          <w:lang w:val="en-US"/>
        </w:rPr>
        <w:t>REDD+</w:t>
      </w:r>
      <w:r w:rsidR="009C52FC" w:rsidRPr="00EC1298">
        <w:rPr>
          <w:rFonts w:ascii="Book Antiqua" w:hAnsi="Book Antiqua" w:cs="Arial"/>
          <w:lang w:val="en-US"/>
        </w:rPr>
        <w:t xml:space="preserve"> schemes </w:t>
      </w:r>
      <w:r w:rsidR="009C52FC">
        <w:rPr>
          <w:rFonts w:ascii="Book Antiqua" w:hAnsi="Book Antiqua" w:cs="Arial"/>
          <w:lang w:val="en-US"/>
        </w:rPr>
        <w:t xml:space="preserve">are developed, followed by scaling up to </w:t>
      </w:r>
      <w:r w:rsidR="00351F2C" w:rsidRPr="00EC1298">
        <w:rPr>
          <w:rFonts w:ascii="Book Antiqua" w:hAnsi="Book Antiqua" w:cs="Arial"/>
          <w:lang w:val="en-US"/>
        </w:rPr>
        <w:t xml:space="preserve">national-level </w:t>
      </w:r>
      <w:r w:rsidR="009C52FC">
        <w:rPr>
          <w:rFonts w:ascii="Book Antiqua" w:hAnsi="Book Antiqua" w:cs="Arial"/>
          <w:lang w:val="en-US"/>
        </w:rPr>
        <w:t xml:space="preserve">planning and </w:t>
      </w:r>
      <w:r w:rsidR="00351F2C" w:rsidRPr="00EC1298">
        <w:rPr>
          <w:rFonts w:ascii="Book Antiqua" w:hAnsi="Book Antiqua" w:cs="Arial"/>
          <w:lang w:val="en-US"/>
        </w:rPr>
        <w:t xml:space="preserve">accounting. </w:t>
      </w:r>
      <w:r w:rsidR="009C52FC">
        <w:rPr>
          <w:rFonts w:ascii="Book Antiqua" w:hAnsi="Book Antiqua" w:cs="Arial"/>
          <w:lang w:val="en-US"/>
        </w:rPr>
        <w:t xml:space="preserve"> Such an approach is also embraced by the UNFCCC, for example, in paragraph 5 of FCCC/AWG</w:t>
      </w:r>
      <w:r w:rsidR="000D7D36">
        <w:rPr>
          <w:rFonts w:ascii="Book Antiqua" w:hAnsi="Book Antiqua" w:cs="Arial"/>
          <w:lang w:val="en-US"/>
        </w:rPr>
        <w:t>-</w:t>
      </w:r>
      <w:r w:rsidR="009C52FC">
        <w:rPr>
          <w:rFonts w:ascii="Book Antiqua" w:hAnsi="Book Antiqua" w:cs="Arial"/>
          <w:lang w:val="en-US"/>
        </w:rPr>
        <w:t>LCA/2009/L.7/Add.6.</w:t>
      </w:r>
    </w:p>
    <w:p w:rsidR="00351F2C" w:rsidRPr="00EC1298" w:rsidRDefault="00351F2C" w:rsidP="009C52FC">
      <w:pPr>
        <w:spacing w:after="0"/>
        <w:jc w:val="both"/>
        <w:rPr>
          <w:rFonts w:ascii="Book Antiqua" w:hAnsi="Book Antiqua" w:cs="Arial"/>
          <w:lang w:val="en-US"/>
        </w:rPr>
      </w:pPr>
    </w:p>
    <w:p w:rsidR="00351F2C" w:rsidRPr="00EC1298" w:rsidRDefault="009C52FC" w:rsidP="0041445F">
      <w:pPr>
        <w:spacing w:after="0"/>
        <w:jc w:val="both"/>
        <w:rPr>
          <w:rFonts w:ascii="Book Antiqua" w:hAnsi="Book Antiqua" w:cs="Arial"/>
        </w:rPr>
      </w:pPr>
      <w:r>
        <w:rPr>
          <w:rFonts w:ascii="Book Antiqua" w:hAnsi="Book Antiqua" w:cs="Arial"/>
          <w:lang w:val="en-US"/>
        </w:rPr>
        <w:t xml:space="preserve">As noted in Policy </w:t>
      </w:r>
      <w:r w:rsidR="00F5648E">
        <w:rPr>
          <w:rFonts w:ascii="Book Antiqua" w:hAnsi="Book Antiqua" w:cs="Arial"/>
          <w:lang w:val="en-US"/>
        </w:rPr>
        <w:t>Decision</w:t>
      </w:r>
      <w:r>
        <w:rPr>
          <w:rFonts w:ascii="Book Antiqua" w:hAnsi="Book Antiqua" w:cs="Arial"/>
          <w:lang w:val="en-US"/>
        </w:rPr>
        <w:t xml:space="preserve">s 3.1 and 4.2, piloting of key </w:t>
      </w:r>
      <w:r w:rsidR="001B6D90">
        <w:rPr>
          <w:rFonts w:ascii="Book Antiqua" w:hAnsi="Book Antiqua" w:cs="Arial"/>
          <w:lang w:val="en-US"/>
        </w:rPr>
        <w:t>REDD+</w:t>
      </w:r>
      <w:r>
        <w:rPr>
          <w:rFonts w:ascii="Book Antiqua" w:hAnsi="Book Antiqua" w:cs="Arial"/>
          <w:lang w:val="en-US"/>
        </w:rPr>
        <w:t xml:space="preserve"> BDS processes is recommended for Viet Nam, which therefore </w:t>
      </w:r>
      <w:r w:rsidR="00D3039D">
        <w:rPr>
          <w:rFonts w:ascii="Book Antiqua" w:hAnsi="Book Antiqua" w:cs="Arial"/>
          <w:lang w:val="en-US"/>
        </w:rPr>
        <w:t>represents</w:t>
      </w:r>
      <w:r w:rsidR="00351F2C" w:rsidRPr="00EC1298">
        <w:rPr>
          <w:rFonts w:ascii="Book Antiqua" w:hAnsi="Book Antiqua" w:cs="Arial"/>
          <w:lang w:val="en-US"/>
        </w:rPr>
        <w:t xml:space="preserve"> a phased approach </w:t>
      </w:r>
      <w:r w:rsidR="00AC12C1">
        <w:rPr>
          <w:rFonts w:ascii="Book Antiqua" w:hAnsi="Book Antiqua" w:cs="Arial"/>
          <w:lang w:val="en-US"/>
        </w:rPr>
        <w:t>analogous</w:t>
      </w:r>
      <w:r w:rsidR="00D3039D">
        <w:rPr>
          <w:rFonts w:ascii="Book Antiqua" w:hAnsi="Book Antiqua" w:cs="Arial"/>
          <w:lang w:val="en-US"/>
        </w:rPr>
        <w:t xml:space="preserve"> to the “nested approach”</w:t>
      </w:r>
      <w:r w:rsidR="00351F2C" w:rsidRPr="00EC1298">
        <w:rPr>
          <w:rFonts w:ascii="Book Antiqua" w:hAnsi="Book Antiqua" w:cs="Arial"/>
          <w:lang w:val="en-US"/>
        </w:rPr>
        <w:t xml:space="preserve">. </w:t>
      </w:r>
      <w:r w:rsidR="00D3039D">
        <w:rPr>
          <w:rFonts w:ascii="Book Antiqua" w:hAnsi="Book Antiqua" w:cs="Arial"/>
          <w:lang w:val="en-US"/>
        </w:rPr>
        <w:t xml:space="preserve"> </w:t>
      </w:r>
      <w:r w:rsidR="00351F2C" w:rsidRPr="00EC1298">
        <w:rPr>
          <w:rFonts w:ascii="Book Antiqua" w:hAnsi="Book Antiqua" w:cs="Arial"/>
          <w:lang w:val="en-US"/>
        </w:rPr>
        <w:t xml:space="preserve">A small number of </w:t>
      </w:r>
      <w:r w:rsidR="00D3039D">
        <w:rPr>
          <w:rFonts w:ascii="Book Antiqua" w:hAnsi="Book Antiqua" w:cs="Arial"/>
          <w:lang w:val="en-US"/>
        </w:rPr>
        <w:t xml:space="preserve">provinces and/or </w:t>
      </w:r>
      <w:r w:rsidR="00351F2C" w:rsidRPr="00EC1298">
        <w:rPr>
          <w:rFonts w:ascii="Book Antiqua" w:hAnsi="Book Antiqua" w:cs="Arial"/>
          <w:lang w:val="en-US"/>
        </w:rPr>
        <w:t xml:space="preserve">districts will be chosen to participate in the </w:t>
      </w:r>
      <w:r w:rsidR="00480D3D">
        <w:rPr>
          <w:rFonts w:ascii="Book Antiqua" w:hAnsi="Book Antiqua" w:cs="Arial"/>
          <w:lang w:val="en-US"/>
        </w:rPr>
        <w:t>programme</w:t>
      </w:r>
      <w:r w:rsidR="00351F2C" w:rsidRPr="00EC1298">
        <w:rPr>
          <w:rFonts w:ascii="Book Antiqua" w:hAnsi="Book Antiqua" w:cs="Arial"/>
          <w:lang w:val="en-US"/>
        </w:rPr>
        <w:t xml:space="preserve"> in </w:t>
      </w:r>
      <w:r w:rsidR="00D3039D">
        <w:rPr>
          <w:rFonts w:ascii="Book Antiqua" w:hAnsi="Book Antiqua" w:cs="Arial"/>
          <w:lang w:val="en-US"/>
        </w:rPr>
        <w:t>a</w:t>
      </w:r>
      <w:r w:rsidR="00351F2C" w:rsidRPr="00EC1298">
        <w:rPr>
          <w:rFonts w:ascii="Book Antiqua" w:hAnsi="Book Antiqua" w:cs="Arial"/>
          <w:lang w:val="en-US"/>
        </w:rPr>
        <w:t xml:space="preserve"> first phase</w:t>
      </w:r>
      <w:r w:rsidR="00D3039D">
        <w:rPr>
          <w:rFonts w:ascii="Book Antiqua" w:hAnsi="Book Antiqua" w:cs="Arial"/>
          <w:lang w:val="en-US"/>
        </w:rPr>
        <w:t xml:space="preserve">, from which lessons will be learned to permit up-scaling to </w:t>
      </w:r>
      <w:r w:rsidR="00351F2C" w:rsidRPr="00EC1298">
        <w:rPr>
          <w:rFonts w:ascii="Book Antiqua" w:hAnsi="Book Antiqua" w:cs="Arial"/>
          <w:lang w:val="en-US"/>
        </w:rPr>
        <w:t>national coverage.</w:t>
      </w:r>
      <w:r w:rsidR="00D3039D">
        <w:rPr>
          <w:rFonts w:ascii="Book Antiqua" w:hAnsi="Book Antiqua" w:cs="Arial"/>
          <w:lang w:val="en-US"/>
        </w:rPr>
        <w:t xml:space="preserve">  The GoV should </w:t>
      </w:r>
      <w:r w:rsidR="00351F2C" w:rsidRPr="00EC1298">
        <w:rPr>
          <w:rFonts w:ascii="Book Antiqua" w:hAnsi="Book Antiqua" w:cs="Arial"/>
        </w:rPr>
        <w:t xml:space="preserve">identify potential </w:t>
      </w:r>
      <w:r w:rsidR="00D3039D">
        <w:rPr>
          <w:rFonts w:ascii="Book Antiqua" w:hAnsi="Book Antiqua" w:cs="Arial"/>
        </w:rPr>
        <w:t>provinces and Districts as soon as possible</w:t>
      </w:r>
      <w:r w:rsidR="00351F2C" w:rsidRPr="00EC1298">
        <w:rPr>
          <w:rFonts w:ascii="Book Antiqua" w:hAnsi="Book Antiqua" w:cs="Arial"/>
        </w:rPr>
        <w:t xml:space="preserve"> for pilot</w:t>
      </w:r>
      <w:r w:rsidR="00D3039D">
        <w:rPr>
          <w:rFonts w:ascii="Book Antiqua" w:hAnsi="Book Antiqua" w:cs="Arial"/>
        </w:rPr>
        <w:t>ing</w:t>
      </w:r>
      <w:r w:rsidR="00351F2C" w:rsidRPr="00EC1298">
        <w:rPr>
          <w:rFonts w:ascii="Book Antiqua" w:hAnsi="Book Antiqua" w:cs="Arial"/>
        </w:rPr>
        <w:t xml:space="preserve"> </w:t>
      </w:r>
      <w:r w:rsidR="001B6D90">
        <w:rPr>
          <w:rFonts w:ascii="Book Antiqua" w:hAnsi="Book Antiqua" w:cs="Arial"/>
        </w:rPr>
        <w:t>REDD+</w:t>
      </w:r>
      <w:r w:rsidR="00D3039D">
        <w:rPr>
          <w:rFonts w:ascii="Book Antiqua" w:hAnsi="Book Antiqua" w:cs="Arial"/>
        </w:rPr>
        <w:t xml:space="preserve"> mechanisms</w:t>
      </w:r>
      <w:r w:rsidR="00351F2C" w:rsidRPr="00EC1298">
        <w:rPr>
          <w:rFonts w:ascii="Book Antiqua" w:hAnsi="Book Antiqua" w:cs="Arial"/>
        </w:rPr>
        <w:t xml:space="preserve"> (in addition to the two districts to be covered by </w:t>
      </w:r>
      <w:r w:rsidR="00D3039D">
        <w:rPr>
          <w:rFonts w:ascii="Book Antiqua" w:hAnsi="Book Antiqua" w:cs="Arial"/>
        </w:rPr>
        <w:t xml:space="preserve">the </w:t>
      </w:r>
      <w:r w:rsidR="00351F2C" w:rsidRPr="00EC1298">
        <w:rPr>
          <w:rFonts w:ascii="Book Antiqua" w:hAnsi="Book Antiqua" w:cs="Arial"/>
        </w:rPr>
        <w:t xml:space="preserve">UN-REDD </w:t>
      </w:r>
      <w:r w:rsidR="00D3039D">
        <w:rPr>
          <w:rFonts w:ascii="Book Antiqua" w:hAnsi="Book Antiqua" w:cs="Arial"/>
        </w:rPr>
        <w:t xml:space="preserve">programme </w:t>
      </w:r>
      <w:r w:rsidR="00351F2C" w:rsidRPr="00EC1298">
        <w:rPr>
          <w:rFonts w:ascii="Book Antiqua" w:hAnsi="Book Antiqua" w:cs="Arial"/>
        </w:rPr>
        <w:t xml:space="preserve">in Lam Dong). </w:t>
      </w:r>
    </w:p>
    <w:p w:rsidR="00351F2C" w:rsidRPr="00445F77" w:rsidRDefault="00351F2C" w:rsidP="0041445F">
      <w:pPr>
        <w:spacing w:after="0"/>
        <w:jc w:val="both"/>
        <w:rPr>
          <w:rFonts w:ascii="Arial" w:hAnsi="Arial" w:cs="Arial"/>
          <w:sz w:val="24"/>
          <w:szCs w:val="24"/>
          <w:lang w:val="en-US"/>
        </w:rPr>
      </w:pPr>
    </w:p>
    <w:p w:rsidR="00F12DE0" w:rsidRPr="00445F77" w:rsidRDefault="00F12DE0">
      <w:pPr>
        <w:spacing w:after="0" w:line="240" w:lineRule="auto"/>
        <w:rPr>
          <w:rFonts w:ascii="Arial" w:hAnsi="Arial" w:cs="Arial"/>
          <w:sz w:val="24"/>
          <w:szCs w:val="24"/>
          <w:lang w:val="en-US"/>
        </w:rPr>
      </w:pPr>
      <w:r w:rsidRPr="00445F77">
        <w:rPr>
          <w:rFonts w:ascii="Arial" w:hAnsi="Arial" w:cs="Arial"/>
          <w:sz w:val="24"/>
          <w:szCs w:val="24"/>
          <w:lang w:val="en-US"/>
        </w:rPr>
        <w:br w:type="page"/>
      </w:r>
    </w:p>
    <w:p w:rsidR="00351F2C" w:rsidRPr="00445F77" w:rsidRDefault="00351F2C" w:rsidP="002D0F33">
      <w:pPr>
        <w:pStyle w:val="Heading1"/>
      </w:pPr>
      <w:bookmarkStart w:id="241" w:name="_Toc244327911"/>
      <w:bookmarkStart w:id="242" w:name="_Toc244735070"/>
      <w:bookmarkStart w:id="243" w:name="_Toc244735659"/>
      <w:bookmarkStart w:id="244" w:name="_Toc252354736"/>
      <w:r w:rsidRPr="00445F77">
        <w:lastRenderedPageBreak/>
        <w:t>5: Costs and Retained Revenues</w:t>
      </w:r>
      <w:bookmarkEnd w:id="241"/>
      <w:bookmarkEnd w:id="242"/>
      <w:bookmarkEnd w:id="243"/>
      <w:bookmarkEnd w:id="244"/>
    </w:p>
    <w:p w:rsidR="00351F2C" w:rsidRPr="00445F77" w:rsidRDefault="00351F2C" w:rsidP="004238E6">
      <w:pPr>
        <w:spacing w:after="0" w:line="300" w:lineRule="exact"/>
        <w:jc w:val="both"/>
        <w:rPr>
          <w:rFonts w:ascii="Arial" w:hAnsi="Arial" w:cs="Arial"/>
          <w:sz w:val="24"/>
          <w:szCs w:val="24"/>
        </w:rPr>
      </w:pPr>
    </w:p>
    <w:p w:rsidR="00351F2C" w:rsidRPr="00EC1298" w:rsidRDefault="00351F2C" w:rsidP="00522F5C">
      <w:pPr>
        <w:spacing w:after="0" w:line="300" w:lineRule="exact"/>
        <w:jc w:val="both"/>
        <w:rPr>
          <w:rFonts w:ascii="Book Antiqua" w:hAnsi="Book Antiqua" w:cs="Arial"/>
        </w:rPr>
      </w:pPr>
      <w:r w:rsidRPr="00EC1298">
        <w:rPr>
          <w:rFonts w:ascii="Book Antiqua" w:hAnsi="Book Antiqua" w:cs="Arial"/>
        </w:rPr>
        <w:t xml:space="preserve">This chapter reviews options for determining how </w:t>
      </w:r>
      <w:r w:rsidR="00480D3D">
        <w:rPr>
          <w:rFonts w:ascii="Book Antiqua" w:hAnsi="Book Antiqua" w:cs="Arial"/>
        </w:rPr>
        <w:t>REDD+</w:t>
      </w:r>
      <w:r w:rsidRPr="00EC1298">
        <w:rPr>
          <w:rFonts w:ascii="Book Antiqua" w:hAnsi="Book Antiqua" w:cs="Arial"/>
        </w:rPr>
        <w:t xml:space="preserve"> funds might be distributed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It deals with the need to ensure that payments provide stakeholders with adequate financial and economic incentives to engage in the sustainable forest land and resource uses that are required to reduce emissions. </w:t>
      </w:r>
    </w:p>
    <w:p w:rsidR="00351F2C" w:rsidRPr="00EC1298" w:rsidRDefault="00351F2C" w:rsidP="00522F5C">
      <w:pPr>
        <w:spacing w:after="0" w:line="300" w:lineRule="exact"/>
        <w:jc w:val="both"/>
        <w:rPr>
          <w:rFonts w:ascii="Book Antiqua" w:hAnsi="Book Antiqua" w:cs="Arial"/>
        </w:rPr>
      </w:pPr>
    </w:p>
    <w:p w:rsidR="00351F2C" w:rsidRPr="00EC1298" w:rsidRDefault="00351F2C" w:rsidP="00522F5C">
      <w:pPr>
        <w:spacing w:after="0" w:line="300" w:lineRule="exact"/>
        <w:jc w:val="both"/>
        <w:rPr>
          <w:rFonts w:ascii="Book Antiqua" w:hAnsi="Book Antiqua" w:cs="Arial"/>
        </w:rPr>
      </w:pPr>
      <w:r w:rsidRPr="00EC1298">
        <w:rPr>
          <w:rFonts w:ascii="Book Antiqua" w:hAnsi="Book Antiqua" w:cs="Arial"/>
        </w:rPr>
        <w:t>Specifically, the chapter aims to answer the following questions:</w:t>
      </w:r>
    </w:p>
    <w:p w:rsidR="00351F2C" w:rsidRPr="00EC1298" w:rsidRDefault="00351F2C" w:rsidP="003E3CBA">
      <w:pPr>
        <w:pStyle w:val="ListParagraph"/>
        <w:numPr>
          <w:ilvl w:val="0"/>
          <w:numId w:val="2"/>
        </w:numPr>
        <w:spacing w:after="0" w:line="300" w:lineRule="exact"/>
        <w:ind w:left="284" w:hanging="284"/>
        <w:contextualSpacing w:val="0"/>
        <w:jc w:val="both"/>
        <w:rPr>
          <w:rFonts w:ascii="Book Antiqua" w:hAnsi="Book Antiqua" w:cs="Arial"/>
          <w:lang w:val="en-GB"/>
        </w:rPr>
      </w:pPr>
      <w:r w:rsidRPr="00EC1298">
        <w:rPr>
          <w:rFonts w:ascii="Book Antiqua" w:hAnsi="Book Antiqua" w:cs="Arial"/>
          <w:lang w:val="en-GB"/>
        </w:rPr>
        <w:t xml:space="preserve">What approximate level of long-term income could </w:t>
      </w:r>
      <w:r w:rsidR="00480D3D">
        <w:rPr>
          <w:rFonts w:ascii="Book Antiqua" w:hAnsi="Book Antiqua" w:cs="Arial"/>
          <w:lang w:val="en-GB"/>
        </w:rPr>
        <w:t>REDD+</w:t>
      </w:r>
      <w:r w:rsidRPr="00EC1298">
        <w:rPr>
          <w:rFonts w:ascii="Book Antiqua" w:hAnsi="Book Antiqua" w:cs="Arial"/>
          <w:lang w:val="en-GB"/>
        </w:rPr>
        <w:t xml:space="preserve"> generate for </w:t>
      </w:r>
      <w:smartTag w:uri="urn:schemas-microsoft-com:office:smarttags" w:element="country-region">
        <w:smartTag w:uri="urn:schemas-microsoft-com:office:smarttags" w:element="place">
          <w:r w:rsidR="00480D3D">
            <w:rPr>
              <w:rFonts w:ascii="Book Antiqua" w:hAnsi="Book Antiqua" w:cs="Arial"/>
              <w:lang w:val="en-GB"/>
            </w:rPr>
            <w:t>Viet Nam</w:t>
          </w:r>
        </w:smartTag>
      </w:smartTag>
      <w:r w:rsidRPr="00EC1298">
        <w:rPr>
          <w:rFonts w:ascii="Book Antiqua" w:hAnsi="Book Antiqua" w:cs="Arial"/>
          <w:lang w:val="en-GB"/>
        </w:rPr>
        <w:t>?</w:t>
      </w:r>
    </w:p>
    <w:p w:rsidR="00351F2C" w:rsidRPr="00EC1298" w:rsidRDefault="00351F2C" w:rsidP="003E3CBA">
      <w:pPr>
        <w:pStyle w:val="ListParagraph"/>
        <w:numPr>
          <w:ilvl w:val="0"/>
          <w:numId w:val="2"/>
        </w:numPr>
        <w:spacing w:after="0" w:line="300" w:lineRule="exact"/>
        <w:ind w:left="284" w:hanging="284"/>
        <w:contextualSpacing w:val="0"/>
        <w:jc w:val="both"/>
        <w:rPr>
          <w:rFonts w:ascii="Book Antiqua" w:hAnsi="Book Antiqua" w:cs="Arial"/>
          <w:lang w:val="en-GB"/>
        </w:rPr>
      </w:pPr>
      <w:r w:rsidRPr="00EC1298">
        <w:rPr>
          <w:rFonts w:ascii="Book Antiqua" w:hAnsi="Book Antiqua" w:cs="Arial"/>
          <w:lang w:val="en-GB"/>
        </w:rPr>
        <w:t xml:space="preserve">What percentage of </w:t>
      </w:r>
      <w:r w:rsidR="00480D3D">
        <w:rPr>
          <w:rFonts w:ascii="Book Antiqua" w:hAnsi="Book Antiqua" w:cs="Arial"/>
          <w:lang w:val="en-GB"/>
        </w:rPr>
        <w:t>REDD+</w:t>
      </w:r>
      <w:r w:rsidRPr="00EC1298">
        <w:rPr>
          <w:rFonts w:ascii="Book Antiqua" w:hAnsi="Book Antiqua" w:cs="Arial"/>
          <w:lang w:val="en-GB"/>
        </w:rPr>
        <w:t xml:space="preserve"> revenues should be retained by government at central and sub-national levels in order to cover management and administration costs? </w:t>
      </w:r>
    </w:p>
    <w:p w:rsidR="00351F2C" w:rsidRPr="00EC1298" w:rsidRDefault="00351F2C" w:rsidP="003E3CBA">
      <w:pPr>
        <w:pStyle w:val="ListParagraph"/>
        <w:numPr>
          <w:ilvl w:val="0"/>
          <w:numId w:val="2"/>
        </w:numPr>
        <w:spacing w:after="0" w:line="300" w:lineRule="exact"/>
        <w:ind w:left="284" w:hanging="284"/>
        <w:contextualSpacing w:val="0"/>
        <w:jc w:val="both"/>
        <w:rPr>
          <w:rFonts w:ascii="Book Antiqua" w:hAnsi="Book Antiqua" w:cs="Arial"/>
          <w:lang w:val="en-GB"/>
        </w:rPr>
      </w:pPr>
      <w:r w:rsidRPr="00EC1298">
        <w:rPr>
          <w:rFonts w:ascii="Book Antiqua" w:hAnsi="Book Antiqua" w:cs="Arial"/>
          <w:lang w:val="en-GB"/>
        </w:rPr>
        <w:t xml:space="preserve">To what extent should cost-recovery principles and other economic and financial calculations guide the level at which </w:t>
      </w:r>
      <w:r w:rsidR="00480D3D">
        <w:rPr>
          <w:rFonts w:ascii="Book Antiqua" w:hAnsi="Book Antiqua" w:cs="Arial"/>
          <w:lang w:val="en-GB"/>
        </w:rPr>
        <w:t>REDD+</w:t>
      </w:r>
      <w:r w:rsidRPr="00EC1298">
        <w:rPr>
          <w:rFonts w:ascii="Book Antiqua" w:hAnsi="Book Antiqua" w:cs="Arial"/>
          <w:lang w:val="en-GB"/>
        </w:rPr>
        <w:t xml:space="preserve"> payments are set?</w:t>
      </w:r>
    </w:p>
    <w:p w:rsidR="00351F2C" w:rsidRPr="00EC1298" w:rsidRDefault="00351F2C" w:rsidP="003E3CBA">
      <w:pPr>
        <w:pStyle w:val="ListParagraph"/>
        <w:numPr>
          <w:ilvl w:val="0"/>
          <w:numId w:val="2"/>
        </w:numPr>
        <w:spacing w:after="0" w:line="300" w:lineRule="exact"/>
        <w:ind w:left="284" w:hanging="284"/>
        <w:contextualSpacing w:val="0"/>
        <w:jc w:val="both"/>
        <w:rPr>
          <w:rFonts w:ascii="Book Antiqua" w:hAnsi="Book Antiqua" w:cs="Arial"/>
          <w:lang w:val="en-GB"/>
        </w:rPr>
      </w:pPr>
      <w:r w:rsidRPr="00EC1298">
        <w:rPr>
          <w:rFonts w:ascii="Book Antiqua" w:hAnsi="Book Antiqua" w:cs="Arial"/>
          <w:lang w:val="en-GB"/>
        </w:rPr>
        <w:t xml:space="preserve">For what purposes and activities should </w:t>
      </w:r>
      <w:r w:rsidR="00480D3D">
        <w:rPr>
          <w:rFonts w:ascii="Book Antiqua" w:hAnsi="Book Antiqua" w:cs="Arial"/>
          <w:lang w:val="en-GB"/>
        </w:rPr>
        <w:t>REDD+</w:t>
      </w:r>
      <w:r w:rsidRPr="00EC1298">
        <w:rPr>
          <w:rFonts w:ascii="Book Antiqua" w:hAnsi="Book Antiqua" w:cs="Arial"/>
          <w:lang w:val="en-GB"/>
        </w:rPr>
        <w:t xml:space="preserve"> funds be retained and distributed? and</w:t>
      </w:r>
    </w:p>
    <w:p w:rsidR="00351F2C" w:rsidRPr="00EC1298" w:rsidRDefault="00351F2C" w:rsidP="003E3CBA">
      <w:pPr>
        <w:pStyle w:val="ListParagraph"/>
        <w:numPr>
          <w:ilvl w:val="0"/>
          <w:numId w:val="2"/>
        </w:numPr>
        <w:spacing w:after="0" w:line="300" w:lineRule="exact"/>
        <w:ind w:left="284" w:hanging="284"/>
        <w:contextualSpacing w:val="0"/>
        <w:jc w:val="both"/>
        <w:rPr>
          <w:rFonts w:ascii="Book Antiqua" w:hAnsi="Book Antiqua" w:cs="Arial"/>
          <w:lang w:val="en-GB"/>
        </w:rPr>
      </w:pPr>
      <w:r w:rsidRPr="00EC1298">
        <w:rPr>
          <w:rFonts w:ascii="Book Antiqua" w:hAnsi="Book Antiqua" w:cs="Arial"/>
          <w:lang w:val="en-GB"/>
        </w:rPr>
        <w:t xml:space="preserve">How should </w:t>
      </w:r>
      <w:r w:rsidR="00480D3D">
        <w:rPr>
          <w:rFonts w:ascii="Book Antiqua" w:hAnsi="Book Antiqua" w:cs="Arial"/>
          <w:lang w:val="en-GB"/>
        </w:rPr>
        <w:t>REDD+</w:t>
      </w:r>
      <w:r w:rsidRPr="00EC1298">
        <w:rPr>
          <w:rFonts w:ascii="Book Antiqua" w:hAnsi="Book Antiqua" w:cs="Arial"/>
          <w:lang w:val="en-GB"/>
        </w:rPr>
        <w:t xml:space="preserve"> payments to beneficiaries be phased?</w:t>
      </w:r>
    </w:p>
    <w:p w:rsidR="00351F2C" w:rsidRPr="00EC1298" w:rsidRDefault="00351F2C" w:rsidP="00522F5C">
      <w:pPr>
        <w:tabs>
          <w:tab w:val="left" w:pos="3484"/>
        </w:tabs>
        <w:spacing w:after="0" w:line="300" w:lineRule="exact"/>
        <w:jc w:val="both"/>
        <w:rPr>
          <w:rFonts w:ascii="Book Antiqua" w:hAnsi="Book Antiqua" w:cs="Arial"/>
        </w:rPr>
      </w:pPr>
    </w:p>
    <w:p w:rsidR="00351F2C" w:rsidRPr="00EC1298" w:rsidRDefault="00351F2C" w:rsidP="00522F5C">
      <w:pPr>
        <w:spacing w:after="0" w:line="300" w:lineRule="exact"/>
        <w:jc w:val="both"/>
        <w:rPr>
          <w:rFonts w:ascii="Book Antiqua" w:hAnsi="Book Antiqua" w:cs="Arial"/>
        </w:rPr>
      </w:pPr>
      <w:r w:rsidRPr="00EC1298">
        <w:rPr>
          <w:rFonts w:ascii="Book Antiqua" w:hAnsi="Book Antiqua" w:cs="Arial"/>
        </w:rPr>
        <w:t>The chapter begins (Section</w:t>
      </w:r>
      <w:r w:rsidR="007A43CB">
        <w:rPr>
          <w:rFonts w:ascii="Book Antiqua" w:hAnsi="Book Antiqua" w:cs="Arial"/>
        </w:rPr>
        <w:t xml:space="preserve"> 5.1</w:t>
      </w:r>
      <w:r w:rsidRPr="00EC1298">
        <w:rPr>
          <w:rFonts w:ascii="Book Antiqua" w:hAnsi="Book Antiqua" w:cs="Arial"/>
        </w:rPr>
        <w:t xml:space="preserve">) by looking at the revenues that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may potentially receive as </w:t>
      </w:r>
      <w:r w:rsidR="00480D3D">
        <w:rPr>
          <w:rFonts w:ascii="Book Antiqua" w:hAnsi="Book Antiqua" w:cs="Arial"/>
        </w:rPr>
        <w:t>REDD+</w:t>
      </w:r>
      <w:r w:rsidRPr="00EC1298">
        <w:rPr>
          <w:rFonts w:ascii="Book Antiqua" w:hAnsi="Book Antiqua" w:cs="Arial"/>
        </w:rPr>
        <w:t xml:space="preserve"> payments (Question a). </w:t>
      </w:r>
      <w:r w:rsidR="007A43CB">
        <w:rPr>
          <w:rFonts w:ascii="Book Antiqua" w:hAnsi="Book Antiqua" w:cs="Arial"/>
        </w:rPr>
        <w:t xml:space="preserve"> </w:t>
      </w:r>
      <w:r w:rsidRPr="00EC1298">
        <w:rPr>
          <w:rFonts w:ascii="Book Antiqua" w:hAnsi="Book Antiqua" w:cs="Arial"/>
        </w:rPr>
        <w:t xml:space="preserve">The methodology and process to calculate how much </w:t>
      </w:r>
      <w:r w:rsidR="00480D3D">
        <w:rPr>
          <w:rFonts w:ascii="Book Antiqua" w:hAnsi="Book Antiqua" w:cs="Arial"/>
        </w:rPr>
        <w:t>REDD+</w:t>
      </w:r>
      <w:r w:rsidRPr="00EC1298">
        <w:rPr>
          <w:rFonts w:ascii="Book Antiqua" w:hAnsi="Book Antiqua" w:cs="Arial"/>
        </w:rPr>
        <w:t xml:space="preserve"> funding will flow from the global community to individual countries is still under debate, and lies outside the scope of this study. It is nevertheless important to have in mind a broad estimate of the amount of financial resources that might be expected under different future scenarios and models for </w:t>
      </w:r>
      <w:r w:rsidR="00480D3D">
        <w:rPr>
          <w:rFonts w:ascii="Book Antiqua" w:hAnsi="Book Antiqua" w:cs="Arial"/>
        </w:rPr>
        <w:t>REDD+</w:t>
      </w:r>
      <w:r w:rsidRPr="00EC1298">
        <w:rPr>
          <w:rFonts w:ascii="Book Antiqua" w:hAnsi="Book Antiqua" w:cs="Arial"/>
        </w:rPr>
        <w:t xml:space="preserve">. This will determine the amount of benefits that are available for distribution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w:t>
      </w:r>
    </w:p>
    <w:p w:rsidR="00351F2C" w:rsidRPr="00EC1298" w:rsidRDefault="00351F2C" w:rsidP="00522F5C">
      <w:pPr>
        <w:spacing w:after="0" w:line="300" w:lineRule="exact"/>
        <w:jc w:val="both"/>
        <w:rPr>
          <w:rFonts w:ascii="Book Antiqua" w:hAnsi="Book Antiqua" w:cs="Arial"/>
        </w:rPr>
      </w:pPr>
    </w:p>
    <w:p w:rsidR="00351F2C" w:rsidRPr="00EC1298" w:rsidRDefault="00351F2C" w:rsidP="00522F5C">
      <w:pPr>
        <w:spacing w:after="0" w:line="300" w:lineRule="exact"/>
        <w:jc w:val="both"/>
        <w:rPr>
          <w:rFonts w:ascii="Book Antiqua" w:hAnsi="Book Antiqua" w:cs="Arial"/>
        </w:rPr>
      </w:pPr>
      <w:r w:rsidRPr="00EC1298">
        <w:rPr>
          <w:rFonts w:ascii="Book Antiqua" w:hAnsi="Book Antiqua" w:cs="Arial"/>
        </w:rPr>
        <w:t xml:space="preserve">The main focus of the chapter is on identifying the principles that might be applied to decide how much </w:t>
      </w:r>
      <w:r w:rsidR="00480D3D">
        <w:rPr>
          <w:rFonts w:ascii="Book Antiqua" w:hAnsi="Book Antiqua" w:cs="Arial"/>
        </w:rPr>
        <w:t>REDD+</w:t>
      </w:r>
      <w:r w:rsidRPr="00EC1298">
        <w:rPr>
          <w:rFonts w:ascii="Book Antiqua" w:hAnsi="Book Antiqua" w:cs="Arial"/>
        </w:rPr>
        <w:t xml:space="preserve"> revenue should be retained at different levels, by different groups and for different activities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(Questions b, c, d and e). The chapter identifies three main categories of costs that need to be reflected in the amount and distribution of benefits: implementation costs, transactions costs and opportunity costs. It presents the methods that have been proposed for calculating these costs in the context of </w:t>
      </w:r>
      <w:r w:rsidR="00480D3D">
        <w:rPr>
          <w:rFonts w:ascii="Book Antiqua" w:hAnsi="Book Antiqua" w:cs="Arial"/>
        </w:rPr>
        <w:t>REDD+</w:t>
      </w:r>
      <w:r w:rsidRPr="00EC1298">
        <w:rPr>
          <w:rFonts w:ascii="Book Antiqua" w:hAnsi="Book Antiqua" w:cs="Arial"/>
        </w:rPr>
        <w:t xml:space="preserve">, and looks at examples of their application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and elsewhere (Section</w:t>
      </w:r>
      <w:r w:rsidR="007A43CB">
        <w:rPr>
          <w:rFonts w:ascii="Book Antiqua" w:hAnsi="Book Antiqua" w:cs="Arial"/>
        </w:rPr>
        <w:t xml:space="preserve"> 5.2</w:t>
      </w:r>
      <w:r w:rsidRPr="00EC1298">
        <w:rPr>
          <w:rFonts w:ascii="Book Antiqua" w:hAnsi="Book Antiqua" w:cs="Arial"/>
        </w:rPr>
        <w:t>). This section also assesses lessons learned from experiences of factoring additional premiums and incentives over and above cost-recovery (known as “</w:t>
      </w:r>
      <w:r w:rsidR="00480D3D">
        <w:rPr>
          <w:rFonts w:ascii="Book Antiqua" w:hAnsi="Book Antiqua" w:cs="Arial"/>
        </w:rPr>
        <w:t>REDD+</w:t>
      </w:r>
      <w:r w:rsidRPr="00EC1298">
        <w:rPr>
          <w:rFonts w:ascii="Book Antiqua" w:hAnsi="Book Antiqua" w:cs="Arial"/>
        </w:rPr>
        <w:t xml:space="preserve"> rents”) into BDSs. The criteria that have been used to date for determining how forest and conservation revenues are distributed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are reviewed in the light of the likely future requirements of a </w:t>
      </w:r>
      <w:r w:rsidR="00480D3D">
        <w:rPr>
          <w:rFonts w:ascii="Book Antiqua" w:hAnsi="Book Antiqua" w:cs="Arial"/>
        </w:rPr>
        <w:t>REDD+</w:t>
      </w:r>
      <w:r w:rsidRPr="00EC1298">
        <w:rPr>
          <w:rFonts w:ascii="Book Antiqua" w:hAnsi="Book Antiqua" w:cs="Arial"/>
        </w:rPr>
        <w:t xml:space="preserve"> BDS (Section</w:t>
      </w:r>
      <w:r w:rsidR="007A43CB">
        <w:rPr>
          <w:rFonts w:ascii="Book Antiqua" w:hAnsi="Book Antiqua" w:cs="Arial"/>
        </w:rPr>
        <w:t xml:space="preserve"> 5.3</w:t>
      </w:r>
      <w:r w:rsidRPr="00EC1298">
        <w:rPr>
          <w:rFonts w:ascii="Book Antiqua" w:hAnsi="Book Antiqua" w:cs="Arial"/>
        </w:rPr>
        <w:t>).</w:t>
      </w:r>
    </w:p>
    <w:p w:rsidR="00351F2C" w:rsidRPr="00EC1298" w:rsidRDefault="00351F2C" w:rsidP="00522F5C">
      <w:pPr>
        <w:spacing w:after="0" w:line="300" w:lineRule="exact"/>
        <w:jc w:val="both"/>
        <w:rPr>
          <w:rFonts w:ascii="Book Antiqua" w:hAnsi="Book Antiqua" w:cs="Arial"/>
        </w:rPr>
      </w:pPr>
    </w:p>
    <w:p w:rsidR="00351F2C" w:rsidRPr="00EC1298" w:rsidRDefault="00351F2C" w:rsidP="00522F5C">
      <w:pPr>
        <w:spacing w:after="0" w:line="300" w:lineRule="exact"/>
        <w:jc w:val="both"/>
        <w:rPr>
          <w:rFonts w:ascii="Book Antiqua" w:hAnsi="Book Antiqua" w:cs="Arial"/>
        </w:rPr>
      </w:pPr>
      <w:r w:rsidRPr="00EC1298">
        <w:rPr>
          <w:rFonts w:ascii="Book Antiqua" w:hAnsi="Book Antiqua" w:cs="Arial"/>
        </w:rPr>
        <w:t>The chapter concludes (Section</w:t>
      </w:r>
      <w:r w:rsidR="007A43CB">
        <w:rPr>
          <w:rFonts w:ascii="Book Antiqua" w:hAnsi="Book Antiqua" w:cs="Arial"/>
        </w:rPr>
        <w:t xml:space="preserve"> 5.4</w:t>
      </w:r>
      <w:r w:rsidRPr="00EC1298">
        <w:rPr>
          <w:rFonts w:ascii="Book Antiqua" w:hAnsi="Book Antiqua" w:cs="Arial"/>
        </w:rPr>
        <w:t xml:space="preserve">) by weighing up the issues, strengths and potential constraints of different options for factoring revenue retention, cost-recovery and incentive considerations into Viet Nam’s </w:t>
      </w:r>
      <w:r w:rsidR="00480D3D">
        <w:rPr>
          <w:rFonts w:ascii="Book Antiqua" w:hAnsi="Book Antiqua" w:cs="Arial"/>
        </w:rPr>
        <w:t>REDD+</w:t>
      </w:r>
      <w:r w:rsidRPr="00EC1298">
        <w:rPr>
          <w:rFonts w:ascii="Book Antiqua" w:hAnsi="Book Antiqua" w:cs="Arial"/>
        </w:rPr>
        <w:t xml:space="preserve"> payment distribution system. It then makes recommendations (Section</w:t>
      </w:r>
      <w:r w:rsidR="00FF7504">
        <w:rPr>
          <w:rFonts w:ascii="Book Antiqua" w:hAnsi="Book Antiqua" w:cs="Arial"/>
        </w:rPr>
        <w:t xml:space="preserve"> 5.5</w:t>
      </w:r>
      <w:r w:rsidRPr="00EC1298">
        <w:rPr>
          <w:rFonts w:ascii="Book Antiqua" w:hAnsi="Book Antiqua" w:cs="Arial"/>
        </w:rPr>
        <w:t xml:space="preserve">) about possible criteria and principles for assessing the costs and activities for which </w:t>
      </w:r>
      <w:r w:rsidR="00480D3D">
        <w:rPr>
          <w:rFonts w:ascii="Book Antiqua" w:hAnsi="Book Antiqua" w:cs="Arial"/>
        </w:rPr>
        <w:t>REDD+</w:t>
      </w:r>
      <w:r w:rsidRPr="00EC1298">
        <w:rPr>
          <w:rFonts w:ascii="Book Antiqua" w:hAnsi="Book Antiqua" w:cs="Arial"/>
        </w:rPr>
        <w:t xml:space="preserve"> funds may be retained and distributed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specifying informational and policy requirements and identifying a workplan for implementation.</w:t>
      </w:r>
    </w:p>
    <w:p w:rsidR="00351F2C" w:rsidRPr="00445F77" w:rsidRDefault="00351F2C" w:rsidP="00522F5C">
      <w:pPr>
        <w:spacing w:after="0"/>
        <w:rPr>
          <w:rFonts w:ascii="Arial" w:hAnsi="Arial" w:cs="Arial"/>
          <w:sz w:val="24"/>
          <w:szCs w:val="24"/>
        </w:rPr>
      </w:pPr>
    </w:p>
    <w:p w:rsidR="00351F2C" w:rsidRPr="00445F77" w:rsidRDefault="00351F2C" w:rsidP="00A256CB">
      <w:pPr>
        <w:pStyle w:val="Heading2"/>
        <w:rPr>
          <w:rFonts w:ascii="Arial" w:hAnsi="Arial" w:cs="Arial"/>
          <w:sz w:val="24"/>
          <w:szCs w:val="24"/>
        </w:rPr>
      </w:pPr>
      <w:bookmarkStart w:id="245" w:name="_Toc244735660"/>
      <w:bookmarkStart w:id="246" w:name="_Toc252354737"/>
      <w:bookmarkStart w:id="247" w:name="_Toc242777308"/>
      <w:bookmarkStart w:id="248" w:name="_Toc242848561"/>
      <w:bookmarkStart w:id="249" w:name="_Toc242872651"/>
      <w:bookmarkStart w:id="250" w:name="_Toc242927141"/>
      <w:bookmarkStart w:id="251" w:name="_Toc242942783"/>
      <w:bookmarkStart w:id="252" w:name="_Ref243026529"/>
      <w:bookmarkStart w:id="253" w:name="_Toc243740826"/>
      <w:r w:rsidRPr="00445F77">
        <w:rPr>
          <w:rFonts w:ascii="Arial" w:hAnsi="Arial" w:cs="Arial"/>
          <w:sz w:val="24"/>
          <w:szCs w:val="24"/>
        </w:rPr>
        <w:lastRenderedPageBreak/>
        <w:t xml:space="preserve">5.1 </w:t>
      </w:r>
      <w:bookmarkStart w:id="254" w:name="_Toc244735071"/>
      <w:bookmarkStart w:id="255" w:name="_Toc243984136"/>
      <w:bookmarkStart w:id="256" w:name="_Toc244327662"/>
      <w:bookmarkStart w:id="257" w:name="_Toc244327912"/>
      <w:r w:rsidRPr="00445F77">
        <w:rPr>
          <w:rFonts w:ascii="Arial" w:hAnsi="Arial" w:cs="Arial"/>
          <w:sz w:val="24"/>
          <w:szCs w:val="24"/>
        </w:rPr>
        <w:t xml:space="preserve">Analysis of potential </w:t>
      </w:r>
      <w:r w:rsidR="00480D3D">
        <w:rPr>
          <w:rFonts w:ascii="Arial" w:hAnsi="Arial" w:cs="Arial"/>
          <w:sz w:val="24"/>
          <w:szCs w:val="24"/>
        </w:rPr>
        <w:t>REDD+</w:t>
      </w:r>
      <w:r w:rsidRPr="00445F77">
        <w:rPr>
          <w:rFonts w:ascii="Arial" w:hAnsi="Arial" w:cs="Arial"/>
          <w:sz w:val="24"/>
          <w:szCs w:val="24"/>
        </w:rPr>
        <w:t xml:space="preserve"> revenue flows to </w:t>
      </w:r>
      <w:smartTag w:uri="urn:schemas-microsoft-com:office:smarttags" w:element="country-region">
        <w:smartTag w:uri="urn:schemas-microsoft-com:office:smarttags" w:element="place">
          <w:r w:rsidRPr="00445F77">
            <w:rPr>
              <w:rFonts w:ascii="Arial" w:hAnsi="Arial" w:cs="Arial"/>
              <w:sz w:val="24"/>
              <w:szCs w:val="24"/>
            </w:rPr>
            <w:t>Viet Nam</w:t>
          </w:r>
        </w:smartTag>
      </w:smartTag>
      <w:bookmarkEnd w:id="245"/>
      <w:bookmarkEnd w:id="246"/>
      <w:bookmarkEnd w:id="254"/>
      <w:r w:rsidRPr="00445F77">
        <w:rPr>
          <w:rFonts w:ascii="Arial" w:hAnsi="Arial" w:cs="Arial"/>
          <w:sz w:val="24"/>
          <w:szCs w:val="24"/>
        </w:rPr>
        <w:t xml:space="preserve"> </w:t>
      </w:r>
      <w:bookmarkEnd w:id="247"/>
      <w:bookmarkEnd w:id="248"/>
      <w:bookmarkEnd w:id="249"/>
      <w:bookmarkEnd w:id="250"/>
      <w:bookmarkEnd w:id="251"/>
      <w:bookmarkEnd w:id="252"/>
      <w:bookmarkEnd w:id="253"/>
      <w:bookmarkEnd w:id="255"/>
      <w:bookmarkEnd w:id="256"/>
      <w:bookmarkEnd w:id="257"/>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The </w:t>
      </w:r>
      <w:r w:rsidR="00480D3D">
        <w:rPr>
          <w:rFonts w:ascii="Book Antiqua" w:hAnsi="Book Antiqua" w:cs="Arial"/>
        </w:rPr>
        <w:t>GoV</w:t>
      </w:r>
      <w:r w:rsidRPr="00EC1298">
        <w:rPr>
          <w:rFonts w:ascii="Book Antiqua" w:hAnsi="Book Antiqua" w:cs="Arial"/>
        </w:rPr>
        <w:t xml:space="preserve"> will have to take numerous decisions in implementing a REDD</w:t>
      </w:r>
      <w:r w:rsidR="00CF152A">
        <w:rPr>
          <w:rFonts w:ascii="Book Antiqua" w:hAnsi="Book Antiqua" w:cs="Arial"/>
        </w:rPr>
        <w:t xml:space="preserve">+ </w:t>
      </w:r>
      <w:r w:rsidRPr="00EC1298">
        <w:rPr>
          <w:rFonts w:ascii="Book Antiqua" w:hAnsi="Book Antiqua" w:cs="Arial"/>
        </w:rPr>
        <w:t xml:space="preserve">compliant BDS.  While some of these decisions may be simple and uncontroversial, others may represent significant changes from the traditional approach to benefit sharing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The willingness of the government to engage in bold and innovative approaches to benefit sharing will depend, in part, on the magnitude of the potential benefits. Therefore it will be advantageous to be able to estimate, at least approximately, the volume of </w:t>
      </w:r>
      <w:r w:rsidR="00480D3D">
        <w:rPr>
          <w:rFonts w:ascii="Book Antiqua" w:hAnsi="Book Antiqua" w:cs="Arial"/>
        </w:rPr>
        <w:t>REDD+</w:t>
      </w:r>
      <w:r w:rsidRPr="00EC1298">
        <w:rPr>
          <w:rFonts w:ascii="Book Antiqua" w:hAnsi="Book Antiqua" w:cs="Arial"/>
        </w:rPr>
        <w:t xml:space="preserve"> revenues that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might expect.</w:t>
      </w:r>
    </w:p>
    <w:p w:rsidR="00351F2C" w:rsidRPr="00EC1298" w:rsidRDefault="00351F2C" w:rsidP="00522F5C">
      <w:pPr>
        <w:spacing w:after="0"/>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Any such estimation, however, faces problems.  First, the scope of </w:t>
      </w:r>
      <w:r w:rsidR="00480D3D">
        <w:rPr>
          <w:rFonts w:ascii="Book Antiqua" w:hAnsi="Book Antiqua" w:cs="Arial"/>
        </w:rPr>
        <w:t>REDD+</w:t>
      </w:r>
      <w:r w:rsidRPr="00EC1298">
        <w:rPr>
          <w:rFonts w:ascii="Book Antiqua" w:hAnsi="Book Antiqua" w:cs="Arial"/>
        </w:rPr>
        <w:t xml:space="preserve"> remains under discussion by Parties to the UNFCCC, so it remains unclear as to what might qualify as an emission reduction under </w:t>
      </w:r>
      <w:r w:rsidR="00480D3D">
        <w:rPr>
          <w:rFonts w:ascii="Book Antiqua" w:hAnsi="Book Antiqua" w:cs="Arial"/>
        </w:rPr>
        <w:t>REDD+</w:t>
      </w:r>
      <w:r w:rsidRPr="00EC1298">
        <w:rPr>
          <w:rFonts w:ascii="Book Antiqua" w:hAnsi="Book Antiqua" w:cs="Arial"/>
        </w:rPr>
        <w:t>.  Obviously, the inclusion of sustainable forest management, conservation and enhancement of carbon stocks (</w:t>
      </w:r>
      <w:r w:rsidR="001B6D90">
        <w:rPr>
          <w:rFonts w:ascii="Book Antiqua" w:hAnsi="Book Antiqua" w:cs="Arial"/>
        </w:rPr>
        <w:t>REDD+</w:t>
      </w:r>
      <w:r w:rsidRPr="00EC1298">
        <w:rPr>
          <w:rFonts w:ascii="Book Antiqua" w:hAnsi="Book Antiqua" w:cs="Arial"/>
        </w:rPr>
        <w:t xml:space="preserve">) would make a significant different to a country like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whose gross forest area has been expanding over the past 15 years.  Likewise, the definition of forest would affect the potential for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to earn </w:t>
      </w:r>
      <w:r w:rsidR="00480D3D">
        <w:rPr>
          <w:rFonts w:ascii="Book Antiqua" w:hAnsi="Book Antiqua" w:cs="Arial"/>
        </w:rPr>
        <w:t>REDD+</w:t>
      </w:r>
      <w:r w:rsidRPr="00EC1298">
        <w:rPr>
          <w:rFonts w:ascii="Book Antiqua" w:hAnsi="Book Antiqua" w:cs="Arial"/>
        </w:rPr>
        <w:t xml:space="preserve"> credits.  The methodology of formulating the REL, including the time period over which it is calculated will also be significant.</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Another set of problems relates to data availability and quality.  Accurate assessment of changes to carbon stocks in all five carbon pools considered under </w:t>
      </w:r>
      <w:r w:rsidR="00480D3D">
        <w:rPr>
          <w:rFonts w:ascii="Book Antiqua" w:hAnsi="Book Antiqua" w:cs="Arial"/>
        </w:rPr>
        <w:t>REDD+</w:t>
      </w:r>
      <w:r w:rsidRPr="00EC1298">
        <w:rPr>
          <w:rFonts w:ascii="Book Antiqua" w:hAnsi="Book Antiqua" w:cs="Arial"/>
        </w:rPr>
        <w:t xml:space="preserve"> (above-ground biomass; below-ground biomass, dead wood, litter, and soil organic matter) requires accurate data at a scale that reflects on-the-ground differences in carbon densities, as well as data on forest area change and degradation.  Such high quality data is generally not available and certainly not available systematically at a national level.  Finally, predicting </w:t>
      </w:r>
      <w:r w:rsidR="00480D3D">
        <w:rPr>
          <w:rFonts w:ascii="Book Antiqua" w:hAnsi="Book Antiqua" w:cs="Arial"/>
        </w:rPr>
        <w:t>REDD+</w:t>
      </w:r>
      <w:r w:rsidRPr="00EC1298">
        <w:rPr>
          <w:rFonts w:ascii="Book Antiqua" w:hAnsi="Book Antiqua" w:cs="Arial"/>
        </w:rPr>
        <w:t xml:space="preserve"> revenues involves predictions of unknown factors, such as the future price of carbon.</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Despite these problems, various authors have attempted to make such estimates.  For example, Ebeling and Yasué (2008), in a review of prospects for carbon finance at a global level, generate a figure of €43.2 million/year (approximately US$60 million/year) as potential income from </w:t>
      </w:r>
      <w:r w:rsidR="00480D3D">
        <w:rPr>
          <w:rFonts w:ascii="Book Antiqua" w:hAnsi="Book Antiqua" w:cs="Arial"/>
        </w:rPr>
        <w:t>REDD+</w:t>
      </w:r>
      <w:r w:rsidRPr="00EC1298">
        <w:rPr>
          <w:rFonts w:ascii="Book Antiqua" w:hAnsi="Book Antiqua" w:cs="Arial"/>
        </w:rPr>
        <w:t xml:space="preserve"> through carbon trading for </w:t>
      </w:r>
      <w:smartTag w:uri="urn:schemas-microsoft-com:office:smarttags" w:element="country-region">
        <w:smartTag w:uri="urn:schemas-microsoft-com:office:smarttags" w:element="place">
          <w:r w:rsidR="00480D3D">
            <w:rPr>
              <w:rFonts w:ascii="Book Antiqua" w:hAnsi="Book Antiqua" w:cs="Arial"/>
            </w:rPr>
            <w:t>Viet Nam</w:t>
          </w:r>
        </w:smartTag>
      </w:smartTag>
      <w:r w:rsidRPr="00EC1298">
        <w:rPr>
          <w:rFonts w:ascii="Book Antiqua" w:hAnsi="Book Antiqua" w:cs="Arial"/>
        </w:rPr>
        <w:t xml:space="preserve">.  The Osiris spreadsheet tool (Busch et al., 2009) allows calculations to be made under various scenarios related to REL calculations and other variables, although all estimates are based on deforestation rates only.  Depending on the scenario, potential </w:t>
      </w:r>
      <w:r w:rsidR="00480D3D">
        <w:rPr>
          <w:rFonts w:ascii="Book Antiqua" w:hAnsi="Book Antiqua" w:cs="Arial"/>
        </w:rPr>
        <w:t>REDD+</w:t>
      </w:r>
      <w:r w:rsidRPr="00EC1298">
        <w:rPr>
          <w:rFonts w:ascii="Book Antiqua" w:hAnsi="Book Antiqua" w:cs="Arial"/>
        </w:rPr>
        <w:t xml:space="preserve"> revenues for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vary widely, up to a maximum of about US$73 million/year.</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Inevitably, such estimates derived from global data sets and based on global models are unreliable at the individual country level.  This is especially true for a country like Viet Nam with highly diverse forest types, and where a superficial increase in gross forest area masks the fact that significant losses of natural forests still occurs, while forest degradation is also widespread.  A loss of 100 hectares of natural forest, balanced by 100 hectares of new plantations, yielding zero net deforestation, does not equate to zero net emissions due to dramatically different carbon densities, so models using gross deforestation data will under-estimate emissions.</w:t>
      </w:r>
    </w:p>
    <w:p w:rsidR="00351F2C" w:rsidRPr="00EC1298" w:rsidRDefault="00351F2C" w:rsidP="00522F5C">
      <w:pPr>
        <w:spacing w:after="0"/>
        <w:jc w:val="both"/>
        <w:rPr>
          <w:rFonts w:ascii="Book Antiqua" w:hAnsi="Book Antiqua" w:cs="Arial"/>
        </w:rPr>
      </w:pPr>
    </w:p>
    <w:p w:rsidR="00351F2C" w:rsidRPr="00EC1298" w:rsidRDefault="00351F2C" w:rsidP="007A43CB">
      <w:pPr>
        <w:spacing w:after="0"/>
        <w:jc w:val="both"/>
        <w:rPr>
          <w:rFonts w:ascii="Book Antiqua" w:hAnsi="Book Antiqua" w:cs="Arial"/>
        </w:rPr>
      </w:pPr>
      <w:r w:rsidRPr="00EC1298">
        <w:rPr>
          <w:rFonts w:ascii="Book Antiqua" w:hAnsi="Book Antiqua" w:cs="Arial"/>
        </w:rPr>
        <w:t>The SNV programme in Viet Nam has been analyzing data related to forest changes us</w:t>
      </w:r>
      <w:r w:rsidR="000209A9">
        <w:rPr>
          <w:rFonts w:ascii="Book Antiqua" w:hAnsi="Book Antiqua" w:cs="Arial"/>
        </w:rPr>
        <w:t>i</w:t>
      </w:r>
      <w:r w:rsidRPr="00EC1298">
        <w:rPr>
          <w:rFonts w:ascii="Book Antiqua" w:hAnsi="Book Antiqua" w:cs="Arial"/>
        </w:rPr>
        <w:t>ng</w:t>
      </w:r>
      <w:r w:rsidR="001D3AF1">
        <w:rPr>
          <w:rFonts w:ascii="Book Antiqua" w:hAnsi="Book Antiqua" w:cs="Arial"/>
        </w:rPr>
        <w:t xml:space="preserve"> </w:t>
      </w:r>
      <w:r w:rsidR="001D3AF1" w:rsidRPr="001D3AF1">
        <w:rPr>
          <w:rFonts w:ascii="Book Antiqua" w:hAnsi="Book Antiqua" w:cs="Arial"/>
        </w:rPr>
        <w:t>Vegetation Continuous Fields (VCF), a remote sensing product based on</w:t>
      </w:r>
      <w:r w:rsidRPr="00EC1298">
        <w:rPr>
          <w:rFonts w:ascii="Book Antiqua" w:hAnsi="Book Antiqua" w:cs="Arial"/>
        </w:rPr>
        <w:t xml:space="preserve"> low-</w:t>
      </w:r>
      <w:r w:rsidRPr="003A1EA6">
        <w:rPr>
          <w:rFonts w:ascii="Book Antiqua" w:hAnsi="Book Antiqua" w:cs="Arial"/>
        </w:rPr>
        <w:t xml:space="preserve">resolution </w:t>
      </w:r>
      <w:r w:rsidR="003A1EA6" w:rsidRPr="003A1EA6">
        <w:rPr>
          <w:rFonts w:ascii="Book Antiqua" w:hAnsi="Book Antiqua" w:cs="Arial"/>
          <w:color w:val="000000"/>
        </w:rPr>
        <w:t>Moderate Resolution Imaging Spectroradiometer</w:t>
      </w:r>
      <w:r w:rsidR="003A1EA6" w:rsidRPr="003A1EA6">
        <w:rPr>
          <w:rFonts w:ascii="Book Antiqua" w:hAnsi="Book Antiqua" w:cs="Arial"/>
        </w:rPr>
        <w:t xml:space="preserve"> </w:t>
      </w:r>
      <w:r w:rsidR="003A1EA6">
        <w:rPr>
          <w:rFonts w:ascii="Book Antiqua" w:hAnsi="Book Antiqua" w:cs="Arial"/>
        </w:rPr>
        <w:t>(</w:t>
      </w:r>
      <w:r w:rsidRPr="003A1EA6">
        <w:rPr>
          <w:rFonts w:ascii="Book Antiqua" w:hAnsi="Book Antiqua" w:cs="Arial"/>
        </w:rPr>
        <w:t>MODIS</w:t>
      </w:r>
      <w:r w:rsidR="003A1EA6">
        <w:rPr>
          <w:rFonts w:ascii="Book Antiqua" w:hAnsi="Book Antiqua" w:cs="Arial"/>
        </w:rPr>
        <w:t>)</w:t>
      </w:r>
      <w:r w:rsidRPr="00EC1298">
        <w:rPr>
          <w:rFonts w:ascii="Book Antiqua" w:hAnsi="Book Antiqua" w:cs="Arial"/>
        </w:rPr>
        <w:t xml:space="preserve"> data.  Despite the low resolution of the forest change data and </w:t>
      </w:r>
      <w:r w:rsidR="001D3AF1">
        <w:rPr>
          <w:rFonts w:ascii="Book Antiqua" w:hAnsi="Book Antiqua" w:cs="Arial"/>
        </w:rPr>
        <w:t xml:space="preserve">the </w:t>
      </w:r>
      <w:r w:rsidRPr="00EC1298">
        <w:rPr>
          <w:rFonts w:ascii="Book Antiqua" w:hAnsi="Book Antiqua" w:cs="Arial"/>
        </w:rPr>
        <w:t>availability of only tier 1 carbon density data</w:t>
      </w:r>
      <w:r w:rsidRPr="00EC1298">
        <w:rPr>
          <w:rStyle w:val="FootnoteReference"/>
          <w:rFonts w:ascii="Book Antiqua" w:hAnsi="Book Antiqua" w:cs="Arial"/>
        </w:rPr>
        <w:footnoteReference w:id="38"/>
      </w:r>
      <w:r w:rsidRPr="00EC1298">
        <w:rPr>
          <w:rFonts w:ascii="Book Antiqua" w:hAnsi="Book Antiqua" w:cs="Arial"/>
        </w:rPr>
        <w:t xml:space="preserve">, </w:t>
      </w:r>
      <w:r w:rsidR="001D3AF1" w:rsidRPr="001D3AF1">
        <w:rPr>
          <w:rFonts w:ascii="Book Antiqua" w:hAnsi="Book Antiqua" w:cs="Arial"/>
        </w:rPr>
        <w:t xml:space="preserve">these sources were combined to provide rough </w:t>
      </w:r>
      <w:r w:rsidRPr="00EC1298">
        <w:rPr>
          <w:rFonts w:ascii="Book Antiqua" w:hAnsi="Book Antiqua" w:cs="Arial"/>
        </w:rPr>
        <w:t xml:space="preserve">estimates of potential </w:t>
      </w:r>
      <w:r w:rsidR="00480D3D">
        <w:rPr>
          <w:rFonts w:ascii="Book Antiqua" w:hAnsi="Book Antiqua" w:cs="Arial"/>
        </w:rPr>
        <w:t>REDD+</w:t>
      </w:r>
      <w:r w:rsidRPr="00EC1298">
        <w:rPr>
          <w:rFonts w:ascii="Book Antiqua" w:hAnsi="Book Antiqua" w:cs="Arial"/>
        </w:rPr>
        <w:t xml:space="preserve"> revenues </w:t>
      </w:r>
      <w:r w:rsidR="001D3AF1" w:rsidRPr="001D3AF1">
        <w:rPr>
          <w:rFonts w:ascii="Book Antiqua" w:hAnsi="Book Antiqua" w:cs="Arial"/>
        </w:rPr>
        <w:t>based on the carbon content of above-ground and below-ground biomass</w:t>
      </w:r>
      <w:r w:rsidRPr="00EC1298">
        <w:rPr>
          <w:rFonts w:ascii="Book Antiqua" w:hAnsi="Book Antiqua" w:cs="Arial"/>
        </w:rPr>
        <w:t xml:space="preserve">.  </w:t>
      </w:r>
      <w:r w:rsidR="001D3AF1">
        <w:rPr>
          <w:rFonts w:ascii="Book Antiqua" w:hAnsi="Book Antiqua" w:cs="Arial"/>
        </w:rPr>
        <w:t>The i</w:t>
      </w:r>
      <w:r w:rsidRPr="00EC1298">
        <w:rPr>
          <w:rFonts w:ascii="Book Antiqua" w:hAnsi="Book Antiqua" w:cs="Arial"/>
        </w:rPr>
        <w:t xml:space="preserve">nitial </w:t>
      </w:r>
      <w:r w:rsidR="001D3AF1">
        <w:rPr>
          <w:rFonts w:ascii="Book Antiqua" w:hAnsi="Book Antiqua" w:cs="Arial"/>
        </w:rPr>
        <w:t xml:space="preserve">conservative </w:t>
      </w:r>
      <w:r w:rsidRPr="00EC1298">
        <w:rPr>
          <w:rFonts w:ascii="Book Antiqua" w:hAnsi="Book Antiqua" w:cs="Arial"/>
        </w:rPr>
        <w:t xml:space="preserve">estimates by SNV are that </w:t>
      </w:r>
      <w:r w:rsidR="001D3AF1" w:rsidRPr="001D3AF1">
        <w:rPr>
          <w:rFonts w:ascii="Book Antiqua" w:hAnsi="Book Antiqua" w:cs="Arial"/>
        </w:rPr>
        <w:t xml:space="preserve">net emissions from deforestation in </w:t>
      </w:r>
      <w:smartTag w:uri="urn:schemas-microsoft-com:office:smarttags" w:element="country-region">
        <w:smartTag w:uri="urn:schemas-microsoft-com:office:smarttags" w:element="place">
          <w:r w:rsidR="001D3AF1" w:rsidRPr="001D3AF1">
            <w:rPr>
              <w:rFonts w:ascii="Book Antiqua" w:hAnsi="Book Antiqua" w:cs="Arial"/>
            </w:rPr>
            <w:t>Viet</w:t>
          </w:r>
          <w:r w:rsidR="00095CDA">
            <w:rPr>
              <w:rFonts w:ascii="Book Antiqua" w:hAnsi="Book Antiqua" w:cs="Arial"/>
            </w:rPr>
            <w:t xml:space="preserve"> N</w:t>
          </w:r>
          <w:r w:rsidR="001D3AF1" w:rsidRPr="001D3AF1">
            <w:rPr>
              <w:rFonts w:ascii="Book Antiqua" w:hAnsi="Book Antiqua" w:cs="Arial"/>
            </w:rPr>
            <w:t>am</w:t>
          </w:r>
        </w:smartTag>
      </w:smartTag>
      <w:r w:rsidR="001D3AF1" w:rsidRPr="001D3AF1">
        <w:rPr>
          <w:rFonts w:ascii="Book Antiqua" w:hAnsi="Book Antiqua" w:cs="Arial"/>
        </w:rPr>
        <w:t xml:space="preserve"> </w:t>
      </w:r>
      <w:r w:rsidR="00095CDA">
        <w:rPr>
          <w:rFonts w:ascii="Book Antiqua" w:hAnsi="Book Antiqua" w:cs="Arial"/>
        </w:rPr>
        <w:t xml:space="preserve">may </w:t>
      </w:r>
      <w:r w:rsidR="001D3AF1" w:rsidRPr="001D3AF1">
        <w:rPr>
          <w:rFonts w:ascii="Book Antiqua" w:hAnsi="Book Antiqua" w:cs="Arial"/>
        </w:rPr>
        <w:t>be in the range of 12 million tonnes of carbon per year.  Assuming a carbon price of US$5/</w:t>
      </w:r>
      <w:r w:rsidR="00B77313">
        <w:rPr>
          <w:rFonts w:ascii="Book Antiqua" w:hAnsi="Book Antiqua" w:cs="Arial"/>
        </w:rPr>
        <w:t>t</w:t>
      </w:r>
      <w:r w:rsidR="001D3AF1" w:rsidRPr="001D3AF1">
        <w:rPr>
          <w:rFonts w:ascii="Book Antiqua" w:hAnsi="Book Antiqua" w:cs="Arial"/>
        </w:rPr>
        <w:t>C</w:t>
      </w:r>
      <w:r w:rsidR="00B77313">
        <w:rPr>
          <w:rFonts w:ascii="Book Antiqua" w:hAnsi="Book Antiqua" w:cs="Arial"/>
        </w:rPr>
        <w:t xml:space="preserve"> ($1.3</w:t>
      </w:r>
      <w:r w:rsidR="00B5359F">
        <w:rPr>
          <w:rFonts w:ascii="Book Antiqua" w:hAnsi="Book Antiqua" w:cs="Arial"/>
        </w:rPr>
        <w:t>7</w:t>
      </w:r>
      <w:r w:rsidR="00B77313">
        <w:rPr>
          <w:rFonts w:ascii="Book Antiqua" w:hAnsi="Book Antiqua" w:cs="Arial"/>
        </w:rPr>
        <w:t>/tC0</w:t>
      </w:r>
      <w:r w:rsidR="00B77313" w:rsidRPr="00903E2A">
        <w:rPr>
          <w:rFonts w:ascii="Book Antiqua" w:hAnsi="Book Antiqua" w:cs="Arial"/>
          <w:vertAlign w:val="subscript"/>
        </w:rPr>
        <w:t>2</w:t>
      </w:r>
      <w:r w:rsidR="00B77313">
        <w:rPr>
          <w:rFonts w:ascii="Book Antiqua" w:hAnsi="Book Antiqua" w:cs="Arial"/>
        </w:rPr>
        <w:t>)</w:t>
      </w:r>
      <w:r w:rsidR="001D3AF1" w:rsidRPr="001D3AF1">
        <w:rPr>
          <w:rFonts w:ascii="Book Antiqua" w:hAnsi="Book Antiqua" w:cs="Arial"/>
        </w:rPr>
        <w:t xml:space="preserve">, and a </w:t>
      </w:r>
      <w:r w:rsidR="00B77313">
        <w:rPr>
          <w:rFonts w:ascii="Book Antiqua" w:hAnsi="Book Antiqua" w:cs="Arial"/>
        </w:rPr>
        <w:t xml:space="preserve">50% </w:t>
      </w:r>
      <w:r w:rsidR="001D3AF1" w:rsidRPr="001D3AF1">
        <w:rPr>
          <w:rFonts w:ascii="Book Antiqua" w:hAnsi="Book Antiqua" w:cs="Arial"/>
        </w:rPr>
        <w:t xml:space="preserve">success rate nationally in the reduction of deforestation relative to business as usual, this could equate to </w:t>
      </w:r>
      <w:r w:rsidRPr="00EC1298">
        <w:rPr>
          <w:rFonts w:ascii="Book Antiqua" w:hAnsi="Book Antiqua" w:cs="Arial"/>
        </w:rPr>
        <w:t xml:space="preserve">revenues from </w:t>
      </w:r>
      <w:r w:rsidRPr="00B77313">
        <w:rPr>
          <w:rFonts w:ascii="Book Antiqua" w:hAnsi="Book Antiqua" w:cs="Arial"/>
        </w:rPr>
        <w:t>RED</w:t>
      </w:r>
      <w:r w:rsidRPr="00EC1298">
        <w:rPr>
          <w:rFonts w:ascii="Book Antiqua" w:hAnsi="Book Antiqua" w:cs="Arial"/>
        </w:rPr>
        <w:t xml:space="preserve"> (i.e. deforestation alone) in the range of US$55-70 million/year</w:t>
      </w:r>
      <w:r w:rsidRPr="00EC1298">
        <w:rPr>
          <w:rStyle w:val="FootnoteReference"/>
          <w:rFonts w:ascii="Book Antiqua" w:hAnsi="Book Antiqua" w:cs="Arial"/>
        </w:rPr>
        <w:footnoteReference w:id="39"/>
      </w:r>
      <w:r w:rsidRPr="00EC1298">
        <w:rPr>
          <w:rFonts w:ascii="Book Antiqua" w:hAnsi="Book Antiqua" w:cs="Arial"/>
        </w:rPr>
        <w:t xml:space="preserve">.  </w:t>
      </w:r>
    </w:p>
    <w:p w:rsidR="00351F2C" w:rsidRPr="00EC1298" w:rsidRDefault="00351F2C" w:rsidP="007A43CB">
      <w:pPr>
        <w:spacing w:after="0"/>
        <w:jc w:val="both"/>
        <w:rPr>
          <w:rFonts w:ascii="Book Antiqua" w:hAnsi="Book Antiqua" w:cs="Arial"/>
        </w:rPr>
      </w:pPr>
    </w:p>
    <w:p w:rsidR="00351F2C" w:rsidRPr="00EC1298" w:rsidRDefault="00351F2C" w:rsidP="007A43CB">
      <w:pPr>
        <w:spacing w:after="0"/>
        <w:jc w:val="both"/>
        <w:rPr>
          <w:rFonts w:ascii="Book Antiqua" w:hAnsi="Book Antiqua" w:cs="Arial"/>
          <w:color w:val="000000"/>
        </w:rPr>
      </w:pPr>
      <w:r w:rsidRPr="00EC1298">
        <w:rPr>
          <w:rFonts w:ascii="Book Antiqua" w:hAnsi="Book Antiqua" w:cs="Arial"/>
        </w:rPr>
        <w:t xml:space="preserve">While difficult to estimate, revenues for </w:t>
      </w:r>
      <w:r w:rsidR="00480D3D">
        <w:rPr>
          <w:rFonts w:ascii="Book Antiqua" w:hAnsi="Book Antiqua" w:cs="Arial"/>
        </w:rPr>
        <w:t>REDD</w:t>
      </w:r>
      <w:r w:rsidRPr="00EC1298">
        <w:rPr>
          <w:rFonts w:ascii="Book Antiqua" w:hAnsi="Book Antiqua" w:cs="Arial"/>
        </w:rPr>
        <w:t xml:space="preserve"> and </w:t>
      </w:r>
      <w:r w:rsidR="001B6D90">
        <w:rPr>
          <w:rFonts w:ascii="Book Antiqua" w:hAnsi="Book Antiqua" w:cs="Arial"/>
        </w:rPr>
        <w:t>REDD+</w:t>
      </w:r>
      <w:r w:rsidRPr="00EC1298">
        <w:rPr>
          <w:rFonts w:ascii="Book Antiqua" w:hAnsi="Book Antiqua" w:cs="Arial"/>
        </w:rPr>
        <w:t xml:space="preserve"> (i.e., including forest degradation for </w:t>
      </w:r>
      <w:r w:rsidR="00480D3D">
        <w:rPr>
          <w:rFonts w:ascii="Book Antiqua" w:hAnsi="Book Antiqua" w:cs="Arial"/>
        </w:rPr>
        <w:t>REDD</w:t>
      </w:r>
      <w:r w:rsidRPr="00EC1298">
        <w:rPr>
          <w:rFonts w:ascii="Book Antiqua" w:hAnsi="Book Antiqua" w:cs="Arial"/>
        </w:rPr>
        <w:t xml:space="preserve">, and also including enhancement of forest carbon sinks for </w:t>
      </w:r>
      <w:r w:rsidR="001B6D90">
        <w:rPr>
          <w:rFonts w:ascii="Book Antiqua" w:hAnsi="Book Antiqua" w:cs="Arial"/>
        </w:rPr>
        <w:t>REDD+</w:t>
      </w:r>
      <w:r w:rsidRPr="00EC1298">
        <w:rPr>
          <w:rFonts w:ascii="Book Antiqua" w:hAnsi="Book Antiqua" w:cs="Arial"/>
        </w:rPr>
        <w:t xml:space="preserve">) are expected to be higher than for RED.  </w:t>
      </w:r>
      <w:bookmarkStart w:id="258" w:name="_Toc242848562"/>
      <w:bookmarkStart w:id="259" w:name="_Toc242872652"/>
      <w:bookmarkStart w:id="260" w:name="_Toc242927142"/>
      <w:bookmarkStart w:id="261" w:name="_Toc242942784"/>
      <w:bookmarkStart w:id="262" w:name="_Ref243026540"/>
      <w:r w:rsidRPr="00EC1298">
        <w:rPr>
          <w:rFonts w:ascii="Book Antiqua" w:hAnsi="Book Antiqua" w:cs="Arial"/>
        </w:rPr>
        <w:t xml:space="preserve"> </w:t>
      </w:r>
      <w:r w:rsidRPr="00EC1298">
        <w:rPr>
          <w:rFonts w:ascii="Book Antiqua" w:hAnsi="Book Antiqua" w:cs="Arial"/>
          <w:color w:val="000000"/>
        </w:rPr>
        <w:t xml:space="preserve">In summary, therefore, annual </w:t>
      </w:r>
      <w:r w:rsidR="00480D3D">
        <w:rPr>
          <w:rFonts w:ascii="Book Antiqua" w:hAnsi="Book Antiqua" w:cs="Arial"/>
          <w:color w:val="000000"/>
        </w:rPr>
        <w:t>REDD+</w:t>
      </w:r>
      <w:r w:rsidRPr="00EC1298">
        <w:rPr>
          <w:rFonts w:ascii="Book Antiqua" w:hAnsi="Book Antiqua" w:cs="Arial"/>
          <w:color w:val="000000"/>
        </w:rPr>
        <w:t xml:space="preserve"> revenues for Viet Nam in the range of US$80-1</w:t>
      </w:r>
      <w:r w:rsidR="00B4562C">
        <w:rPr>
          <w:rFonts w:ascii="Book Antiqua" w:hAnsi="Book Antiqua" w:cs="Arial"/>
          <w:color w:val="000000"/>
        </w:rPr>
        <w:t>0</w:t>
      </w:r>
      <w:r w:rsidRPr="00EC1298">
        <w:rPr>
          <w:rFonts w:ascii="Book Antiqua" w:hAnsi="Book Antiqua" w:cs="Arial"/>
          <w:color w:val="000000"/>
        </w:rPr>
        <w:t xml:space="preserve">0 million seem to be realistic.  To put this number into perspective, it is triple current ODA to the forestry sector in </w:t>
      </w:r>
      <w:smartTag w:uri="urn:schemas-microsoft-com:office:smarttags" w:element="country-region">
        <w:smartTag w:uri="urn:schemas-microsoft-com:office:smarttags" w:element="place">
          <w:r w:rsidR="00480D3D">
            <w:rPr>
              <w:rFonts w:ascii="Book Antiqua" w:hAnsi="Book Antiqua" w:cs="Arial"/>
              <w:color w:val="000000"/>
            </w:rPr>
            <w:t>Viet Nam</w:t>
          </w:r>
        </w:smartTag>
      </w:smartTag>
      <w:r w:rsidRPr="00EC1298">
        <w:rPr>
          <w:rFonts w:ascii="Book Antiqua" w:hAnsi="Book Antiqua" w:cs="Arial"/>
          <w:color w:val="000000"/>
        </w:rPr>
        <w:t>.</w:t>
      </w:r>
    </w:p>
    <w:p w:rsidR="00351F2C" w:rsidRPr="00445F77" w:rsidRDefault="00351F2C" w:rsidP="007A43CB">
      <w:pPr>
        <w:spacing w:after="0"/>
        <w:rPr>
          <w:rFonts w:ascii="Arial" w:hAnsi="Arial" w:cs="Arial"/>
          <w:color w:val="000000"/>
          <w:sz w:val="24"/>
          <w:szCs w:val="24"/>
        </w:rPr>
      </w:pPr>
    </w:p>
    <w:p w:rsidR="00351F2C" w:rsidRPr="00445F77" w:rsidRDefault="00351F2C" w:rsidP="007A43CB">
      <w:pPr>
        <w:pStyle w:val="Heading2"/>
        <w:spacing w:before="0" w:after="0"/>
        <w:rPr>
          <w:rFonts w:ascii="Arial" w:hAnsi="Arial" w:cs="Arial"/>
          <w:sz w:val="24"/>
          <w:szCs w:val="24"/>
        </w:rPr>
      </w:pPr>
      <w:bookmarkStart w:id="263" w:name="_Ref243445146"/>
      <w:bookmarkStart w:id="264" w:name="_Toc243740827"/>
      <w:bookmarkStart w:id="265" w:name="_Toc244735661"/>
      <w:bookmarkStart w:id="266" w:name="_Toc252354738"/>
      <w:r w:rsidRPr="00445F77">
        <w:rPr>
          <w:rFonts w:ascii="Arial" w:hAnsi="Arial" w:cs="Arial"/>
          <w:sz w:val="24"/>
          <w:szCs w:val="24"/>
        </w:rPr>
        <w:t xml:space="preserve">5.2 </w:t>
      </w:r>
      <w:bookmarkStart w:id="267" w:name="_Toc243984137"/>
      <w:bookmarkStart w:id="268" w:name="_Toc244327663"/>
      <w:bookmarkStart w:id="269" w:name="_Toc244327913"/>
      <w:bookmarkStart w:id="270" w:name="_Toc244735072"/>
      <w:r w:rsidRPr="00445F77">
        <w:rPr>
          <w:rFonts w:ascii="Arial" w:hAnsi="Arial" w:cs="Arial"/>
          <w:sz w:val="24"/>
          <w:szCs w:val="24"/>
        </w:rPr>
        <w:t xml:space="preserve">International practice in defining and calculating the costs of </w:t>
      </w:r>
      <w:r w:rsidR="00480D3D">
        <w:rPr>
          <w:rFonts w:ascii="Arial" w:hAnsi="Arial" w:cs="Arial"/>
          <w:sz w:val="24"/>
          <w:szCs w:val="24"/>
        </w:rPr>
        <w:t>REDD+</w:t>
      </w:r>
      <w:bookmarkEnd w:id="258"/>
      <w:bookmarkEnd w:id="259"/>
      <w:bookmarkEnd w:id="260"/>
      <w:bookmarkEnd w:id="261"/>
      <w:bookmarkEnd w:id="262"/>
      <w:bookmarkEnd w:id="263"/>
      <w:bookmarkEnd w:id="264"/>
      <w:bookmarkEnd w:id="265"/>
      <w:bookmarkEnd w:id="266"/>
      <w:bookmarkEnd w:id="267"/>
      <w:bookmarkEnd w:id="268"/>
      <w:bookmarkEnd w:id="269"/>
      <w:bookmarkEnd w:id="270"/>
    </w:p>
    <w:p w:rsidR="00351F2C" w:rsidRPr="00EC1298" w:rsidRDefault="00351F2C" w:rsidP="007A43CB">
      <w:pPr>
        <w:spacing w:after="0"/>
        <w:jc w:val="both"/>
        <w:rPr>
          <w:rFonts w:ascii="Book Antiqua" w:hAnsi="Book Antiqua" w:cs="Arial"/>
        </w:rPr>
      </w:pPr>
      <w:r w:rsidRPr="00EC1298">
        <w:rPr>
          <w:rFonts w:ascii="Book Antiqua" w:hAnsi="Book Antiqua" w:cs="Arial"/>
        </w:rPr>
        <w:t xml:space="preserve">There seems little doubt that, in designing a REDD-compliant BDS for Viet Nam, it will be necessary to carry out a rudimentary analysis of how much it will cost to initiate and implement </w:t>
      </w:r>
      <w:r w:rsidR="00480D3D">
        <w:rPr>
          <w:rFonts w:ascii="Book Antiqua" w:hAnsi="Book Antiqua" w:cs="Arial"/>
        </w:rPr>
        <w:t>REDD+</w:t>
      </w:r>
      <w:r w:rsidRPr="00EC1298">
        <w:rPr>
          <w:rFonts w:ascii="Book Antiqua" w:hAnsi="Book Antiqua" w:cs="Arial"/>
        </w:rPr>
        <w:t xml:space="preserve"> measures, and to whom these costs will accrue. Cost recovery is a minimum condition for </w:t>
      </w:r>
      <w:r w:rsidR="00480D3D">
        <w:rPr>
          <w:rFonts w:ascii="Book Antiqua" w:hAnsi="Book Antiqua" w:cs="Arial"/>
        </w:rPr>
        <w:t>REDD+</w:t>
      </w:r>
      <w:r w:rsidRPr="00EC1298">
        <w:rPr>
          <w:rFonts w:ascii="Book Antiqua" w:hAnsi="Book Antiqua" w:cs="Arial"/>
        </w:rPr>
        <w:t xml:space="preserve"> payments to be effective.</w:t>
      </w:r>
    </w:p>
    <w:p w:rsidR="00351F2C" w:rsidRPr="00EC1298" w:rsidRDefault="00351F2C" w:rsidP="007A43CB">
      <w:pPr>
        <w:spacing w:after="0"/>
        <w:jc w:val="both"/>
        <w:rPr>
          <w:rFonts w:ascii="Book Antiqua" w:hAnsi="Book Antiqua" w:cs="Arial"/>
        </w:rPr>
      </w:pPr>
    </w:p>
    <w:p w:rsidR="00351F2C" w:rsidRPr="00EC1298" w:rsidRDefault="00351F2C" w:rsidP="007A43CB">
      <w:pPr>
        <w:spacing w:after="0"/>
        <w:jc w:val="both"/>
        <w:rPr>
          <w:rFonts w:ascii="Book Antiqua" w:hAnsi="Book Antiqua" w:cs="Arial"/>
        </w:rPr>
      </w:pPr>
      <w:r w:rsidRPr="00EC1298">
        <w:rPr>
          <w:rFonts w:ascii="Book Antiqua" w:hAnsi="Book Antiqua" w:cs="Arial"/>
        </w:rPr>
        <w:t xml:space="preserve">Although over the last few years there has been a considerable amount of work carried out on calculating the costs of </w:t>
      </w:r>
      <w:r w:rsidR="00480D3D">
        <w:rPr>
          <w:rFonts w:ascii="Book Antiqua" w:hAnsi="Book Antiqua" w:cs="Arial"/>
        </w:rPr>
        <w:t>REDD+</w:t>
      </w:r>
      <w:r w:rsidRPr="00EC1298">
        <w:rPr>
          <w:rFonts w:ascii="Book Antiqua" w:hAnsi="Book Antiqua" w:cs="Arial"/>
        </w:rPr>
        <w:t xml:space="preserve">, this has focused on determining the overall amount of funding that should be provided by the global community or on producing cost figures at country levels (see, for example, Eliasch 2008, Grieg-Gran 2006, Kindermann </w:t>
      </w:r>
      <w:r w:rsidRPr="00EC1298">
        <w:rPr>
          <w:rFonts w:ascii="Book Antiqua" w:hAnsi="Book Antiqua" w:cs="Arial"/>
          <w:i/>
          <w:iCs/>
        </w:rPr>
        <w:t>et al</w:t>
      </w:r>
      <w:r w:rsidRPr="00EC1298">
        <w:rPr>
          <w:rFonts w:ascii="Book Antiqua" w:hAnsi="Book Antiqua" w:cs="Arial"/>
        </w:rPr>
        <w:t xml:space="preserve"> 2008, Stern </w:t>
      </w:r>
      <w:r w:rsidR="006730F6" w:rsidRPr="00EC1298">
        <w:rPr>
          <w:rFonts w:ascii="Book Antiqua" w:hAnsi="Book Antiqua" w:cs="Arial"/>
        </w:rPr>
        <w:t>200</w:t>
      </w:r>
      <w:r w:rsidR="006730F6">
        <w:rPr>
          <w:rFonts w:ascii="Book Antiqua" w:hAnsi="Book Antiqua" w:cs="Arial"/>
        </w:rPr>
        <w:t>6</w:t>
      </w:r>
      <w:r w:rsidRPr="00EC1298">
        <w:rPr>
          <w:rFonts w:ascii="Book Antiqua" w:hAnsi="Book Antiqua" w:cs="Arial"/>
        </w:rPr>
        <w:t xml:space="preserve">). These types of aggregated estimates provide very little guidance as to how to determine national costs for Viet Nam, or how to incorporate either the multiplicity of actions that will be required to comply with </w:t>
      </w:r>
      <w:r w:rsidR="00480D3D">
        <w:rPr>
          <w:rFonts w:ascii="Book Antiqua" w:hAnsi="Book Antiqua" w:cs="Arial"/>
        </w:rPr>
        <w:t>REDD+</w:t>
      </w:r>
      <w:r w:rsidRPr="00EC1298">
        <w:rPr>
          <w:rFonts w:ascii="Book Antiqua" w:hAnsi="Book Antiqua" w:cs="Arial"/>
        </w:rPr>
        <w:t xml:space="preserve"> or the ecological, land-use, market, economic and social diversity that exists in the country.</w:t>
      </w:r>
    </w:p>
    <w:p w:rsidR="00351F2C" w:rsidRPr="00EC1298" w:rsidRDefault="00351F2C" w:rsidP="007A43CB">
      <w:pPr>
        <w:spacing w:after="0"/>
        <w:jc w:val="both"/>
        <w:rPr>
          <w:rFonts w:ascii="Book Antiqua" w:hAnsi="Book Antiqua" w:cs="Arial"/>
        </w:rPr>
      </w:pPr>
    </w:p>
    <w:p w:rsidR="00B4351F" w:rsidRDefault="00351F2C" w:rsidP="00B4351F">
      <w:pPr>
        <w:jc w:val="both"/>
        <w:rPr>
          <w:rFonts w:ascii="Book Antiqua" w:hAnsi="Book Antiqua" w:cs="Arial"/>
        </w:rPr>
      </w:pPr>
      <w:r w:rsidRPr="00EC1298">
        <w:rPr>
          <w:rFonts w:ascii="Book Antiqua" w:hAnsi="Book Antiqua" w:cs="Arial"/>
        </w:rPr>
        <w:t xml:space="preserve">There is however broad consensus that the key costs to be factored into </w:t>
      </w:r>
      <w:r w:rsidR="00480D3D">
        <w:rPr>
          <w:rFonts w:ascii="Book Antiqua" w:hAnsi="Book Antiqua" w:cs="Arial"/>
        </w:rPr>
        <w:t>REDD+</w:t>
      </w:r>
      <w:r w:rsidRPr="00EC1298">
        <w:rPr>
          <w:rFonts w:ascii="Book Antiqua" w:hAnsi="Book Antiqua" w:cs="Arial"/>
        </w:rPr>
        <w:t xml:space="preserve"> BDSs are implementation costs, transactions costs and opportunity costs</w:t>
      </w:r>
      <w:r w:rsidRPr="00EC1298">
        <w:rPr>
          <w:rStyle w:val="FootnoteReference"/>
          <w:rFonts w:ascii="Book Antiqua" w:hAnsi="Book Antiqua" w:cs="Arial"/>
        </w:rPr>
        <w:footnoteReference w:id="40"/>
      </w:r>
      <w:r w:rsidRPr="00EC1298">
        <w:rPr>
          <w:rFonts w:ascii="Book Antiqua" w:hAnsi="Book Antiqua" w:cs="Arial"/>
        </w:rPr>
        <w:t xml:space="preserve"> (</w:t>
      </w:r>
      <w:r w:rsidR="00C47C3B">
        <w:fldChar w:fldCharType="begin"/>
      </w:r>
      <w:r w:rsidR="00CC6495">
        <w:instrText xml:space="preserve"> REF _Ref242872116 \h  \* MERGEFORMAT </w:instrText>
      </w:r>
      <w:r w:rsidR="00C47C3B">
        <w:fldChar w:fldCharType="separate"/>
      </w:r>
    </w:p>
    <w:p w:rsidR="00B4351F" w:rsidRDefault="00B4351F" w:rsidP="00B4351F">
      <w:pPr>
        <w:jc w:val="both"/>
        <w:rPr>
          <w:rFonts w:ascii="Book Antiqua" w:hAnsi="Book Antiqua" w:cs="Arial"/>
        </w:rPr>
      </w:pPr>
    </w:p>
    <w:p w:rsidR="00B4351F" w:rsidRDefault="00B4351F" w:rsidP="007A43CB">
      <w:pPr>
        <w:pStyle w:val="Caption"/>
        <w:spacing w:after="0"/>
        <w:jc w:val="center"/>
        <w:rPr>
          <w:rFonts w:ascii="Book Antiqua" w:hAnsi="Book Antiqua" w:cs="Arial"/>
          <w:sz w:val="22"/>
          <w:szCs w:val="22"/>
        </w:rPr>
      </w:pPr>
    </w:p>
    <w:p w:rsidR="00351F2C" w:rsidRPr="00EC1298" w:rsidRDefault="00B4351F" w:rsidP="007A43CB">
      <w:pPr>
        <w:spacing w:after="0"/>
        <w:jc w:val="both"/>
        <w:rPr>
          <w:rFonts w:ascii="Book Antiqua" w:hAnsi="Book Antiqua" w:cs="Arial"/>
        </w:rPr>
      </w:pPr>
      <w:r w:rsidRPr="007A43CB">
        <w:rPr>
          <w:rFonts w:ascii="Book Antiqua" w:hAnsi="Book Antiqua" w:cs="Arial"/>
        </w:rPr>
        <w:lastRenderedPageBreak/>
        <w:t xml:space="preserve">Figure </w:t>
      </w:r>
      <w:r w:rsidR="00C47C3B">
        <w:fldChar w:fldCharType="end"/>
      </w:r>
      <w:r w:rsidR="00351F2C" w:rsidRPr="00EC1298">
        <w:rPr>
          <w:rFonts w:ascii="Book Antiqua" w:hAnsi="Book Antiqua" w:cs="Arial"/>
        </w:rPr>
        <w:t>5.1). These costs are described in this section. A fourth element, “</w:t>
      </w:r>
      <w:r w:rsidR="00480D3D">
        <w:rPr>
          <w:rFonts w:ascii="Book Antiqua" w:hAnsi="Book Antiqua" w:cs="Arial"/>
        </w:rPr>
        <w:t>REDD+</w:t>
      </w:r>
      <w:r w:rsidR="00351F2C" w:rsidRPr="00EC1298">
        <w:rPr>
          <w:rFonts w:ascii="Book Antiqua" w:hAnsi="Book Antiqua" w:cs="Arial"/>
        </w:rPr>
        <w:t xml:space="preserve"> rent” may also be added – this is elaborated in the next section of this chapter. These cost elements provide basic reference points for the design of a national </w:t>
      </w:r>
      <w:r w:rsidR="00765C66">
        <w:rPr>
          <w:rFonts w:ascii="Book Antiqua" w:hAnsi="Book Antiqua" w:cs="Arial"/>
        </w:rPr>
        <w:t>BDS</w:t>
      </w:r>
      <w:r w:rsidR="00351F2C" w:rsidRPr="00EC1298">
        <w:rPr>
          <w:rFonts w:ascii="Book Antiqua" w:hAnsi="Book Antiqua" w:cs="Arial"/>
        </w:rPr>
        <w:t xml:space="preserve"> for </w:t>
      </w:r>
      <w:smartTag w:uri="urn:schemas-microsoft-com:office:smarttags" w:element="country-region">
        <w:smartTag w:uri="urn:schemas-microsoft-com:office:smarttags" w:element="place">
          <w:r w:rsidR="00351F2C" w:rsidRPr="00EC1298">
            <w:rPr>
              <w:rFonts w:ascii="Book Antiqua" w:hAnsi="Book Antiqua" w:cs="Arial"/>
            </w:rPr>
            <w:t>Viet Nam</w:t>
          </w:r>
        </w:smartTag>
      </w:smartTag>
      <w:r w:rsidR="00351F2C" w:rsidRPr="00EC1298">
        <w:rPr>
          <w:rFonts w:ascii="Book Antiqua" w:hAnsi="Book Antiqua" w:cs="Arial"/>
        </w:rPr>
        <w:t>.</w:t>
      </w:r>
    </w:p>
    <w:p w:rsidR="00351F2C" w:rsidRPr="00445F77" w:rsidRDefault="00351F2C" w:rsidP="007A43CB">
      <w:pPr>
        <w:spacing w:after="0"/>
        <w:rPr>
          <w:rFonts w:ascii="Arial" w:hAnsi="Arial" w:cs="Arial"/>
          <w:sz w:val="24"/>
          <w:szCs w:val="24"/>
        </w:rPr>
      </w:pPr>
    </w:p>
    <w:p w:rsidR="007A43CB" w:rsidRDefault="007A43CB" w:rsidP="007A43CB">
      <w:pPr>
        <w:pStyle w:val="Caption"/>
        <w:spacing w:after="0"/>
        <w:jc w:val="center"/>
        <w:rPr>
          <w:rFonts w:ascii="Book Antiqua" w:hAnsi="Book Antiqua" w:cs="Arial"/>
          <w:sz w:val="22"/>
          <w:szCs w:val="22"/>
        </w:rPr>
      </w:pPr>
      <w:bookmarkStart w:id="271" w:name="_Ref242872116"/>
      <w:bookmarkStart w:id="272" w:name="_Toc243740852"/>
    </w:p>
    <w:p w:rsidR="007A43CB" w:rsidRDefault="007A43CB" w:rsidP="007A43CB">
      <w:pPr>
        <w:pStyle w:val="Caption"/>
        <w:spacing w:after="0"/>
        <w:jc w:val="center"/>
        <w:rPr>
          <w:rFonts w:ascii="Book Antiqua" w:hAnsi="Book Antiqua" w:cs="Arial"/>
          <w:sz w:val="22"/>
          <w:szCs w:val="22"/>
        </w:rPr>
      </w:pPr>
    </w:p>
    <w:p w:rsidR="007A43CB" w:rsidRDefault="007A43CB" w:rsidP="007A43CB">
      <w:pPr>
        <w:pStyle w:val="Caption"/>
        <w:spacing w:after="0"/>
        <w:jc w:val="center"/>
        <w:rPr>
          <w:rFonts w:ascii="Book Antiqua" w:hAnsi="Book Antiqua" w:cs="Arial"/>
          <w:sz w:val="22"/>
          <w:szCs w:val="22"/>
        </w:rPr>
      </w:pPr>
    </w:p>
    <w:p w:rsidR="00351F2C" w:rsidRPr="007A43CB" w:rsidRDefault="00351F2C" w:rsidP="007A43CB">
      <w:pPr>
        <w:pStyle w:val="Caption"/>
        <w:spacing w:after="0"/>
        <w:jc w:val="center"/>
        <w:rPr>
          <w:rFonts w:ascii="Book Antiqua" w:hAnsi="Book Antiqua" w:cs="Arial"/>
          <w:sz w:val="22"/>
          <w:szCs w:val="22"/>
        </w:rPr>
      </w:pPr>
      <w:r w:rsidRPr="007A43CB">
        <w:rPr>
          <w:rFonts w:ascii="Book Antiqua" w:hAnsi="Book Antiqua" w:cs="Arial"/>
          <w:sz w:val="22"/>
          <w:szCs w:val="22"/>
        </w:rPr>
        <w:t xml:space="preserve">Figure </w:t>
      </w:r>
      <w:bookmarkEnd w:id="271"/>
      <w:r w:rsidRPr="007A43CB">
        <w:rPr>
          <w:rFonts w:ascii="Book Antiqua" w:hAnsi="Book Antiqua" w:cs="Arial"/>
          <w:sz w:val="22"/>
          <w:szCs w:val="22"/>
        </w:rPr>
        <w:t xml:space="preserve">5.1: </w:t>
      </w:r>
      <w:r w:rsidR="00480D3D">
        <w:rPr>
          <w:rFonts w:ascii="Book Antiqua" w:hAnsi="Book Antiqua" w:cs="Arial"/>
          <w:sz w:val="22"/>
          <w:szCs w:val="22"/>
        </w:rPr>
        <w:t>REDD+</w:t>
      </w:r>
      <w:r w:rsidRPr="007A43CB">
        <w:rPr>
          <w:rFonts w:ascii="Book Antiqua" w:hAnsi="Book Antiqua" w:cs="Arial"/>
          <w:sz w:val="22"/>
          <w:szCs w:val="22"/>
        </w:rPr>
        <w:t xml:space="preserve"> costs</w:t>
      </w:r>
      <w:bookmarkEnd w:id="272"/>
    </w:p>
    <w:p w:rsidR="00351F2C" w:rsidRPr="00445F77" w:rsidRDefault="000D756D" w:rsidP="00246293">
      <w:pPr>
        <w:jc w:val="center"/>
        <w:rPr>
          <w:rFonts w:ascii="Arial" w:hAnsi="Arial" w:cs="Arial"/>
          <w:sz w:val="24"/>
          <w:szCs w:val="24"/>
        </w:rPr>
      </w:pPr>
      <w:r>
        <w:rPr>
          <w:rFonts w:ascii="Arial" w:hAnsi="Arial" w:cs="Arial"/>
          <w:noProof/>
          <w:sz w:val="24"/>
          <w:szCs w:val="24"/>
          <w:lang w:val="en-US"/>
        </w:rPr>
        <w:drawing>
          <wp:inline distT="0" distB="0" distL="0" distR="0">
            <wp:extent cx="6057900" cy="2181225"/>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057900" cy="2181225"/>
                    </a:xfrm>
                    <a:prstGeom prst="rect">
                      <a:avLst/>
                    </a:prstGeom>
                    <a:noFill/>
                    <a:ln w="9525">
                      <a:noFill/>
                      <a:miter lim="800000"/>
                      <a:headEnd/>
                      <a:tailEnd/>
                    </a:ln>
                  </pic:spPr>
                </pic:pic>
              </a:graphicData>
            </a:graphic>
          </wp:inline>
        </w:drawing>
      </w:r>
    </w:p>
    <w:p w:rsidR="00351F2C" w:rsidRPr="00445F77" w:rsidRDefault="00351F2C" w:rsidP="00FF7504">
      <w:pPr>
        <w:spacing w:after="0"/>
        <w:rPr>
          <w:rFonts w:ascii="Arial" w:hAnsi="Arial" w:cs="Arial"/>
          <w:sz w:val="24"/>
          <w:szCs w:val="24"/>
        </w:rPr>
      </w:pPr>
    </w:p>
    <w:p w:rsidR="00351F2C" w:rsidRPr="00445F77" w:rsidRDefault="00351F2C" w:rsidP="00FF7504">
      <w:pPr>
        <w:pStyle w:val="Heading3"/>
        <w:spacing w:before="0" w:after="0"/>
        <w:rPr>
          <w:rFonts w:ascii="Arial" w:hAnsi="Arial" w:cs="Arial"/>
        </w:rPr>
      </w:pPr>
      <w:bookmarkStart w:id="273" w:name="_Toc243740828"/>
      <w:bookmarkStart w:id="274" w:name="_Toc243984138"/>
      <w:bookmarkStart w:id="275" w:name="_Toc244327664"/>
      <w:bookmarkStart w:id="276" w:name="_Toc244327914"/>
      <w:bookmarkStart w:id="277" w:name="_Toc244735073"/>
      <w:bookmarkStart w:id="278" w:name="_Toc249079547"/>
      <w:r w:rsidRPr="00445F77">
        <w:rPr>
          <w:rFonts w:ascii="Arial" w:hAnsi="Arial" w:cs="Arial"/>
        </w:rPr>
        <w:t>Implementation costs</w:t>
      </w:r>
      <w:bookmarkEnd w:id="273"/>
      <w:bookmarkEnd w:id="274"/>
      <w:bookmarkEnd w:id="275"/>
      <w:bookmarkEnd w:id="276"/>
      <w:bookmarkEnd w:id="277"/>
      <w:bookmarkEnd w:id="278"/>
    </w:p>
    <w:p w:rsidR="00351F2C" w:rsidRPr="00EC1298" w:rsidRDefault="00351F2C" w:rsidP="00FF7504">
      <w:pPr>
        <w:spacing w:after="0"/>
        <w:jc w:val="both"/>
        <w:rPr>
          <w:rFonts w:ascii="Book Antiqua" w:hAnsi="Book Antiqua" w:cs="Arial"/>
        </w:rPr>
      </w:pPr>
      <w:r w:rsidRPr="00EC1298">
        <w:rPr>
          <w:rFonts w:ascii="Book Antiqua" w:hAnsi="Book Antiqua" w:cs="Arial"/>
        </w:rPr>
        <w:t xml:space="preserve">Implementation costs comprise the expenditures that are directly associated with actions leading to reduced deforestation and degradation, and hence reduced emissions. They include both investment and recurrent costs on items and activities that are required to make a </w:t>
      </w:r>
      <w:r w:rsidR="00480D3D">
        <w:rPr>
          <w:rFonts w:ascii="Book Antiqua" w:hAnsi="Book Antiqua" w:cs="Arial"/>
        </w:rPr>
        <w:t>REDD+</w:t>
      </w:r>
      <w:r w:rsidRPr="00EC1298">
        <w:rPr>
          <w:rFonts w:ascii="Book Antiqua" w:hAnsi="Book Antiqua" w:cs="Arial"/>
        </w:rPr>
        <w:t xml:space="preserve"> programme happen at national, sub-national and field-levels, such as forest management, patrolling, law enforcement, alternative livelihood programmes, law and policy development, training, education and awareness, and so on. In most (although not all) cases they will be borne as budgetary expenditures by national, provincial and district government and by commune authorities. </w:t>
      </w:r>
    </w:p>
    <w:p w:rsidR="00351F2C" w:rsidRPr="00EC1298" w:rsidRDefault="00351F2C" w:rsidP="00FF7504">
      <w:pPr>
        <w:spacing w:after="0"/>
        <w:jc w:val="both"/>
        <w:rPr>
          <w:rFonts w:ascii="Book Antiqua" w:hAnsi="Book Antiqua" w:cs="Arial"/>
        </w:rPr>
      </w:pPr>
    </w:p>
    <w:p w:rsidR="00351F2C" w:rsidRPr="00EC1298" w:rsidRDefault="00351F2C" w:rsidP="00FF7504">
      <w:pPr>
        <w:spacing w:after="0"/>
        <w:jc w:val="both"/>
        <w:rPr>
          <w:rFonts w:ascii="Book Antiqua" w:hAnsi="Book Antiqua" w:cs="Arial"/>
        </w:rPr>
      </w:pPr>
      <w:r w:rsidRPr="00EC1298">
        <w:rPr>
          <w:rFonts w:ascii="Book Antiqua" w:hAnsi="Book Antiqua" w:cs="Arial"/>
        </w:rPr>
        <w:t xml:space="preserve">Although detailed budgetary information on forest conservation expenditures by MARD, DARD and other responsible line agencies is already available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calculating REDD-specific costs will require the formulation of new budgets against agreed activities and targets. This cost information is relatively easy to put together – the costs are primarily financial (i.e. incurred as cash expenditures on marketed products), and can be calculated in the same way as other government and project budgets. </w:t>
      </w:r>
    </w:p>
    <w:p w:rsidR="00351F2C" w:rsidRPr="00445F77" w:rsidRDefault="00351F2C" w:rsidP="00FF7504">
      <w:pPr>
        <w:spacing w:after="0"/>
        <w:rPr>
          <w:rFonts w:ascii="Arial" w:hAnsi="Arial" w:cs="Arial"/>
          <w:sz w:val="24"/>
          <w:szCs w:val="24"/>
        </w:rPr>
      </w:pPr>
    </w:p>
    <w:p w:rsidR="00351F2C" w:rsidRPr="00445F77" w:rsidRDefault="00351F2C" w:rsidP="00FF7504">
      <w:pPr>
        <w:pStyle w:val="Heading3"/>
        <w:spacing w:before="0" w:after="0"/>
        <w:rPr>
          <w:rFonts w:ascii="Arial" w:hAnsi="Arial" w:cs="Arial"/>
        </w:rPr>
      </w:pPr>
      <w:bookmarkStart w:id="279" w:name="_Toc243740829"/>
      <w:bookmarkStart w:id="280" w:name="_Toc243984139"/>
      <w:bookmarkStart w:id="281" w:name="_Toc244327665"/>
      <w:bookmarkStart w:id="282" w:name="_Toc244327915"/>
      <w:bookmarkStart w:id="283" w:name="_Toc244735074"/>
      <w:bookmarkStart w:id="284" w:name="_Toc249079548"/>
      <w:r w:rsidRPr="00445F77">
        <w:rPr>
          <w:rFonts w:ascii="Arial" w:hAnsi="Arial" w:cs="Arial"/>
        </w:rPr>
        <w:t>Transaction costs</w:t>
      </w:r>
      <w:bookmarkEnd w:id="279"/>
      <w:bookmarkEnd w:id="280"/>
      <w:bookmarkEnd w:id="281"/>
      <w:bookmarkEnd w:id="282"/>
      <w:bookmarkEnd w:id="283"/>
      <w:bookmarkEnd w:id="284"/>
    </w:p>
    <w:p w:rsidR="00351F2C" w:rsidRPr="00EC1298" w:rsidRDefault="00C47C3B" w:rsidP="00FF7504">
      <w:pPr>
        <w:spacing w:after="0"/>
        <w:jc w:val="both"/>
        <w:rPr>
          <w:rFonts w:ascii="Book Antiqua" w:hAnsi="Book Antiqua" w:cs="Arial"/>
        </w:rPr>
      </w:pPr>
      <w:r>
        <w:rPr>
          <w:rFonts w:ascii="Book Antiqua" w:hAnsi="Book Antiqua" w:cs="Arial"/>
          <w:noProof/>
          <w:lang w:val="en-US"/>
        </w:rPr>
        <w:pict>
          <v:shape id="_x0000_s1503" type="#_x0000_t202" style="position:absolute;left:0;text-align:left;margin-left:172.95pt;margin-top:269.4pt;width:268.15pt;height:194.2pt;z-index:251621888;mso-position-horizontal-relative:margin" fillcolor="#dbe5f1" strokecolor="#1f497d" strokeweight="1.5pt">
            <v:shadow on="t" color="#365f91" opacity=".5" offset="4pt,4pt" offset2="-4pt,-4pt"/>
            <v:textbox style="mso-next-textbox:#_x0000_s1503" inset="1.5mm,1.5mm,1.5mm,1.5mm">
              <w:txbxContent>
                <w:p w:rsidR="00B4351F" w:rsidRPr="00F74FAA" w:rsidRDefault="00B4351F" w:rsidP="00654325">
                  <w:pPr>
                    <w:pStyle w:val="Caption"/>
                  </w:pPr>
                  <w:bookmarkStart w:id="285" w:name="_Ref242943090"/>
                  <w:bookmarkStart w:id="286" w:name="_Toc243740848"/>
                  <w:smartTag w:uri="urn:schemas-microsoft-com:office:smarttags" w:element="address">
                    <w:smartTag w:uri="urn:schemas-microsoft-com:office:smarttags" w:element="Street">
                      <w:r w:rsidRPr="00F74FAA">
                        <w:t>Box</w:t>
                      </w:r>
                    </w:smartTag>
                    <w:r w:rsidRPr="00F74FAA">
                      <w:t xml:space="preserve"> </w:t>
                    </w:r>
                    <w:bookmarkEnd w:id="285"/>
                    <w:r>
                      <w:t>5</w:t>
                    </w:r>
                    <w:r w:rsidRPr="00F74FAA">
                      <w:t>.1</w:t>
                    </w:r>
                  </w:smartTag>
                  <w:r w:rsidRPr="00F74FAA">
                    <w:t>:  International estimates of REDD transactions costs</w:t>
                  </w:r>
                  <w:bookmarkEnd w:id="286"/>
                </w:p>
                <w:p w:rsidR="00B4351F" w:rsidRPr="00F74FAA" w:rsidRDefault="00B4351F" w:rsidP="00654325">
                  <w:pPr>
                    <w:pStyle w:val="Bullets"/>
                    <w:spacing w:line="240" w:lineRule="auto"/>
                    <w:ind w:left="180" w:hanging="180"/>
                    <w:jc w:val="left"/>
                    <w:rPr>
                      <w:rFonts w:ascii="Calibri" w:hAnsi="Calibri" w:cs="Calibri"/>
                    </w:rPr>
                  </w:pPr>
                  <w:r w:rsidRPr="00F74FAA">
                    <w:rPr>
                      <w:rFonts w:ascii="Calibri" w:hAnsi="Calibri" w:cs="Calibri"/>
                    </w:rPr>
                    <w:t>IPCC estimates that it will cost between $0.05 and $0.60 per hectare to establish national vegetation carbon inventories (IPCC 2007).</w:t>
                  </w:r>
                </w:p>
                <w:p w:rsidR="00B4351F" w:rsidRPr="00F74FAA" w:rsidRDefault="00B4351F" w:rsidP="00654325">
                  <w:pPr>
                    <w:pStyle w:val="Bullets"/>
                    <w:spacing w:line="240" w:lineRule="auto"/>
                    <w:ind w:left="187" w:hanging="187"/>
                    <w:jc w:val="left"/>
                    <w:rPr>
                      <w:rFonts w:ascii="Calibri" w:hAnsi="Calibri" w:cs="Calibri"/>
                    </w:rPr>
                  </w:pPr>
                  <w:r w:rsidRPr="00F74FAA">
                    <w:rPr>
                      <w:rFonts w:ascii="Calibri" w:hAnsi="Calibri" w:cs="Calibri"/>
                    </w:rPr>
                    <w:t xml:space="preserve">It is envisaged that it will cost countries between US$14 million to US$92 million over 5 years to undertake a national-baseline approach to REDD (Hoare </w:t>
                  </w:r>
                  <w:r w:rsidRPr="00F74FAA">
                    <w:rPr>
                      <w:rFonts w:ascii="Calibri" w:hAnsi="Calibri" w:cs="Calibri"/>
                      <w:i/>
                      <w:iCs/>
                    </w:rPr>
                    <w:t>et al</w:t>
                  </w:r>
                  <w:r w:rsidRPr="00F74FAA">
                    <w:rPr>
                      <w:rFonts w:ascii="Calibri" w:hAnsi="Calibri" w:cs="Calibri"/>
                    </w:rPr>
                    <w:t xml:space="preserve"> 2008). </w:t>
                  </w:r>
                </w:p>
                <w:p w:rsidR="00B4351F" w:rsidRPr="00F74FAA" w:rsidRDefault="00B4351F" w:rsidP="00654325">
                  <w:pPr>
                    <w:pStyle w:val="Bullets"/>
                    <w:spacing w:line="240" w:lineRule="auto"/>
                    <w:ind w:left="180" w:hanging="180"/>
                    <w:jc w:val="left"/>
                    <w:rPr>
                      <w:rFonts w:ascii="Calibri" w:hAnsi="Calibri" w:cs="Calibri"/>
                    </w:rPr>
                  </w:pPr>
                  <w:r w:rsidRPr="00F74FAA">
                    <w:rPr>
                      <w:rFonts w:ascii="Calibri" w:hAnsi="Calibri" w:cs="Calibri"/>
                    </w:rPr>
                    <w:t>R-PINs prepared for REDD activities indicate the average country readiness costs are something over US$3 million, including just under US$0.5 million each for REDD management and developing a REDD strategy, and just over US$1 million for designing a monitoring, reporting and verification system. (UNFCCC 2009).</w:t>
                  </w:r>
                </w:p>
              </w:txbxContent>
            </v:textbox>
            <w10:wrap type="square" anchorx="margin"/>
            <w10:anchorlock/>
          </v:shape>
        </w:pict>
      </w:r>
      <w:r w:rsidR="00351F2C" w:rsidRPr="00EC1298">
        <w:rPr>
          <w:rFonts w:ascii="Book Antiqua" w:hAnsi="Book Antiqua" w:cs="Arial"/>
        </w:rPr>
        <w:t xml:space="preserve">Transaction costs are the costs of establishing that </w:t>
      </w:r>
      <w:r w:rsidR="00480D3D">
        <w:rPr>
          <w:rFonts w:ascii="Book Antiqua" w:hAnsi="Book Antiqua" w:cs="Arial"/>
        </w:rPr>
        <w:t>REDD+</w:t>
      </w:r>
      <w:r w:rsidR="00351F2C" w:rsidRPr="00EC1298">
        <w:rPr>
          <w:rFonts w:ascii="Book Antiqua" w:hAnsi="Book Antiqua" w:cs="Arial"/>
        </w:rPr>
        <w:t xml:space="preserve"> activities have achieved a </w:t>
      </w:r>
      <w:r w:rsidR="00351F2C" w:rsidRPr="00EC1298">
        <w:rPr>
          <w:rFonts w:ascii="Book Antiqua" w:hAnsi="Book Antiqua" w:cs="Arial"/>
        </w:rPr>
        <w:lastRenderedPageBreak/>
        <w:t xml:space="preserve">specified level of emissions reductions, and of setting up and managing the payment distribution system. They are usually dealt with separately from implementation costs, because they do not directly reduce deforestation or forest degradation. Including both start-up and recurrent costs, transactions costs comprise expenditures on quantifying existing carbon stocks and measuring changes in them, developing a </w:t>
      </w:r>
      <w:r w:rsidR="00480D3D">
        <w:rPr>
          <w:rFonts w:ascii="Book Antiqua" w:hAnsi="Book Antiqua" w:cs="Arial"/>
        </w:rPr>
        <w:t>REDD+</w:t>
      </w:r>
      <w:r w:rsidR="00351F2C" w:rsidRPr="00EC1298">
        <w:rPr>
          <w:rFonts w:ascii="Book Antiqua" w:hAnsi="Book Antiqua" w:cs="Arial"/>
        </w:rPr>
        <w:t xml:space="preserve"> strategy, preparing and negotiating </w:t>
      </w:r>
      <w:r w:rsidR="00480D3D">
        <w:rPr>
          <w:rFonts w:ascii="Book Antiqua" w:hAnsi="Book Antiqua" w:cs="Arial"/>
        </w:rPr>
        <w:t>REDD+</w:t>
      </w:r>
      <w:r w:rsidR="00351F2C" w:rsidRPr="00EC1298">
        <w:rPr>
          <w:rFonts w:ascii="Book Antiqua" w:hAnsi="Book Antiqua" w:cs="Arial"/>
        </w:rPr>
        <w:t xml:space="preserve"> projects, validating and verifying them, monitoring and reporting on </w:t>
      </w:r>
      <w:r w:rsidR="00480D3D">
        <w:rPr>
          <w:rFonts w:ascii="Book Antiqua" w:hAnsi="Book Antiqua" w:cs="Arial"/>
        </w:rPr>
        <w:t>REDD+</w:t>
      </w:r>
      <w:r w:rsidR="00351F2C" w:rsidRPr="00EC1298">
        <w:rPr>
          <w:rFonts w:ascii="Book Antiqua" w:hAnsi="Book Antiqua" w:cs="Arial"/>
        </w:rPr>
        <w:t xml:space="preserve"> compliance, and so on. The bulk of transactions costs will be borne by government but may also be incurred by forest managers, land and resource users, intermediaries and third-party regulators. </w:t>
      </w:r>
    </w:p>
    <w:p w:rsidR="00351F2C" w:rsidRPr="00EC1298" w:rsidRDefault="00351F2C" w:rsidP="00522F5C">
      <w:pPr>
        <w:spacing w:after="0"/>
        <w:jc w:val="both"/>
        <w:rPr>
          <w:rFonts w:ascii="Book Antiqua" w:hAnsi="Book Antiqua" w:cs="Arial"/>
        </w:rPr>
      </w:pPr>
    </w:p>
    <w:p w:rsidR="00351F2C" w:rsidRPr="00EC1298" w:rsidRDefault="00351F2C" w:rsidP="00FF7504">
      <w:pPr>
        <w:spacing w:after="0"/>
        <w:jc w:val="both"/>
        <w:rPr>
          <w:rFonts w:ascii="Book Antiqua" w:hAnsi="Book Antiqua" w:cs="Arial"/>
        </w:rPr>
      </w:pPr>
      <w:r w:rsidRPr="00EC1298">
        <w:rPr>
          <w:rFonts w:ascii="Book Antiqua" w:hAnsi="Book Antiqua" w:cs="Arial"/>
        </w:rPr>
        <w:t xml:space="preserve">It is worth noting that experience shows that </w:t>
      </w:r>
      <w:r w:rsidR="00480D3D">
        <w:rPr>
          <w:rFonts w:ascii="Book Antiqua" w:hAnsi="Book Antiqua" w:cs="Arial"/>
        </w:rPr>
        <w:t>REDD+</w:t>
      </w:r>
      <w:r w:rsidRPr="00EC1298">
        <w:rPr>
          <w:rFonts w:ascii="Book Antiqua" w:hAnsi="Book Antiqua" w:cs="Arial"/>
        </w:rPr>
        <w:t xml:space="preserve"> transactions costs are likely to be substantial, especially at the set-up stage (Hoare </w:t>
      </w:r>
      <w:r w:rsidRPr="00EC1298">
        <w:rPr>
          <w:rFonts w:ascii="Book Antiqua" w:hAnsi="Book Antiqua" w:cs="Arial"/>
          <w:i/>
          <w:iCs/>
        </w:rPr>
        <w:t>et al</w:t>
      </w:r>
      <w:r w:rsidRPr="00EC1298">
        <w:rPr>
          <w:rFonts w:ascii="Book Antiqua" w:hAnsi="Book Antiqua" w:cs="Arial"/>
        </w:rPr>
        <w:t xml:space="preserve"> 2008).  Some global estimates are outlined in </w:t>
      </w:r>
      <w:fldSimple w:instr=" REF _Ref242943090 \h  \* MERGEFORMAT ">
        <w:r w:rsidR="00B4351F" w:rsidRPr="00B4351F">
          <w:rPr>
            <w:rFonts w:ascii="Book Antiqua" w:hAnsi="Book Antiqua" w:cs="Arial"/>
          </w:rPr>
          <w:t xml:space="preserve">Box </w:t>
        </w:r>
      </w:fldSimple>
      <w:r w:rsidRPr="00EC1298">
        <w:rPr>
          <w:rFonts w:ascii="Book Antiqua" w:hAnsi="Book Antiqua" w:cs="Arial"/>
        </w:rPr>
        <w:t>5.1. An important aspect of the transaction costs is that they are likely to be mostly fixed rather than variable. This means that their cost, when expressed per tCO</w:t>
      </w:r>
      <w:r w:rsidRPr="00EC1298">
        <w:rPr>
          <w:rFonts w:ascii="Book Antiqua" w:hAnsi="Book Antiqua" w:cs="Arial"/>
          <w:vertAlign w:val="subscript"/>
        </w:rPr>
        <w:t>2</w:t>
      </w:r>
      <w:r w:rsidRPr="00EC1298">
        <w:rPr>
          <w:rFonts w:ascii="Book Antiqua" w:hAnsi="Book Antiqua" w:cs="Arial"/>
        </w:rPr>
        <w:t xml:space="preserve">e, will depend on how successfully deforestation is reduced and thus over how great an amount of emissions reductions they are spread (Bond </w:t>
      </w:r>
      <w:r w:rsidRPr="00EC1298">
        <w:rPr>
          <w:rFonts w:ascii="Book Antiqua" w:hAnsi="Book Antiqua" w:cs="Arial"/>
          <w:i/>
          <w:iCs/>
        </w:rPr>
        <w:t>et al</w:t>
      </w:r>
      <w:r w:rsidRPr="00EC1298">
        <w:rPr>
          <w:rFonts w:ascii="Book Antiqua" w:hAnsi="Book Antiqua" w:cs="Arial"/>
        </w:rPr>
        <w:t xml:space="preserve"> 2009).</w:t>
      </w:r>
    </w:p>
    <w:p w:rsidR="00351F2C" w:rsidRPr="00EC1298" w:rsidRDefault="00351F2C" w:rsidP="00FF7504">
      <w:pPr>
        <w:spacing w:after="0"/>
        <w:jc w:val="both"/>
        <w:rPr>
          <w:rFonts w:ascii="Book Antiqua" w:hAnsi="Book Antiqua" w:cs="Arial"/>
        </w:rPr>
      </w:pPr>
    </w:p>
    <w:p w:rsidR="00351F2C" w:rsidRPr="00EC1298" w:rsidRDefault="00351F2C" w:rsidP="00FF7504">
      <w:pPr>
        <w:spacing w:after="0"/>
        <w:jc w:val="both"/>
        <w:rPr>
          <w:rFonts w:ascii="Book Antiqua" w:hAnsi="Book Antiqua" w:cs="Arial"/>
        </w:rPr>
      </w:pPr>
      <w:r w:rsidRPr="00EC1298">
        <w:rPr>
          <w:rFonts w:ascii="Book Antiqua" w:hAnsi="Book Antiqua" w:cs="Arial"/>
        </w:rPr>
        <w:t xml:space="preserve">As is with implementation costs, calculating transactions costs for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will be a relatively straightforward exercise. It will however necessitate that specific, new budgets for reducing emissions are prepared, the cost elements of which will depend on the global modalities and requirements for </w:t>
      </w:r>
      <w:r w:rsidR="00480D3D">
        <w:rPr>
          <w:rFonts w:ascii="Book Antiqua" w:hAnsi="Book Antiqua" w:cs="Arial"/>
        </w:rPr>
        <w:t>REDD+</w:t>
      </w:r>
      <w:r w:rsidRPr="00EC1298">
        <w:rPr>
          <w:rFonts w:ascii="Book Antiqua" w:hAnsi="Book Antiqua" w:cs="Arial"/>
        </w:rPr>
        <w:t xml:space="preserve"> that are eventually decided.</w:t>
      </w:r>
    </w:p>
    <w:p w:rsidR="00351F2C" w:rsidRPr="00445F77" w:rsidRDefault="00351F2C" w:rsidP="00FF7504">
      <w:pPr>
        <w:spacing w:after="0"/>
        <w:rPr>
          <w:rFonts w:ascii="Arial" w:hAnsi="Arial" w:cs="Arial"/>
          <w:sz w:val="24"/>
          <w:szCs w:val="24"/>
        </w:rPr>
      </w:pPr>
    </w:p>
    <w:p w:rsidR="00351F2C" w:rsidRPr="00445F77" w:rsidRDefault="00351F2C" w:rsidP="00FF7504">
      <w:pPr>
        <w:pStyle w:val="Heading3"/>
        <w:spacing w:before="0" w:after="0"/>
        <w:rPr>
          <w:rFonts w:ascii="Arial" w:hAnsi="Arial" w:cs="Arial"/>
        </w:rPr>
      </w:pPr>
      <w:bookmarkStart w:id="287" w:name="_Toc243740830"/>
      <w:bookmarkStart w:id="288" w:name="_Toc243984140"/>
      <w:bookmarkStart w:id="289" w:name="_Toc244327666"/>
      <w:bookmarkStart w:id="290" w:name="_Toc244327916"/>
      <w:bookmarkStart w:id="291" w:name="_Toc244735075"/>
      <w:bookmarkStart w:id="292" w:name="_Toc249079549"/>
      <w:smartTag w:uri="urn:schemas-microsoft-com:office:smarttags" w:element="place">
        <w:r w:rsidRPr="00445F77">
          <w:rPr>
            <w:rFonts w:ascii="Arial" w:hAnsi="Arial" w:cs="Arial"/>
          </w:rPr>
          <w:t>Opportunity</w:t>
        </w:r>
      </w:smartTag>
      <w:r w:rsidRPr="00445F77">
        <w:rPr>
          <w:rFonts w:ascii="Arial" w:hAnsi="Arial" w:cs="Arial"/>
        </w:rPr>
        <w:t xml:space="preserve"> costs</w:t>
      </w:r>
      <w:bookmarkEnd w:id="287"/>
      <w:bookmarkEnd w:id="288"/>
      <w:bookmarkEnd w:id="289"/>
      <w:bookmarkEnd w:id="290"/>
      <w:bookmarkEnd w:id="291"/>
      <w:bookmarkEnd w:id="292"/>
    </w:p>
    <w:p w:rsidR="00351F2C" w:rsidRPr="00EC1298" w:rsidRDefault="00351F2C" w:rsidP="00FF7504">
      <w:pPr>
        <w:spacing w:after="0"/>
        <w:jc w:val="both"/>
        <w:rPr>
          <w:rFonts w:ascii="Book Antiqua" w:hAnsi="Book Antiqua" w:cs="Arial"/>
        </w:rPr>
      </w:pPr>
      <w:smartTag w:uri="urn:schemas-microsoft-com:office:smarttags" w:element="place">
        <w:r w:rsidRPr="00EC1298">
          <w:rPr>
            <w:rFonts w:ascii="Book Antiqua" w:hAnsi="Book Antiqua" w:cs="Arial"/>
          </w:rPr>
          <w:t>Opportunity</w:t>
        </w:r>
      </w:smartTag>
      <w:r w:rsidRPr="00EC1298">
        <w:rPr>
          <w:rFonts w:ascii="Book Antiqua" w:hAnsi="Book Antiqua" w:cs="Arial"/>
        </w:rPr>
        <w:t xml:space="preserve"> costs will probably be the most significant and widely-distributed </w:t>
      </w:r>
      <w:r w:rsidR="00480D3D">
        <w:rPr>
          <w:rFonts w:ascii="Book Antiqua" w:hAnsi="Book Antiqua" w:cs="Arial"/>
        </w:rPr>
        <w:t>REDD+</w:t>
      </w:r>
      <w:r w:rsidRPr="00EC1298">
        <w:rPr>
          <w:rFonts w:ascii="Book Antiqua" w:hAnsi="Book Antiqua" w:cs="Arial"/>
        </w:rPr>
        <w:t xml:space="preserve"> costs. Choosing not to deforest or degrade forests reduces the economic opportunities for using forest lands and resources, meaning a loss of benefits. Examples include income and revenues from harvesting timber and non-timber forest products, or from converting forest land to agriculture or other developments. These foregone benefits are the opportunity costs of </w:t>
      </w:r>
      <w:r w:rsidR="00480D3D">
        <w:rPr>
          <w:rFonts w:ascii="Book Antiqua" w:hAnsi="Book Antiqua" w:cs="Arial"/>
        </w:rPr>
        <w:t>REDD+</w:t>
      </w:r>
      <w:r w:rsidRPr="00EC1298">
        <w:rPr>
          <w:rFonts w:ascii="Book Antiqua" w:hAnsi="Book Antiqua" w:cs="Arial"/>
        </w:rPr>
        <w:t xml:space="preserve">. </w:t>
      </w:r>
    </w:p>
    <w:p w:rsidR="00351F2C" w:rsidRPr="00EC1298" w:rsidRDefault="00351F2C" w:rsidP="00FF7504">
      <w:pPr>
        <w:spacing w:after="0"/>
        <w:jc w:val="both"/>
        <w:rPr>
          <w:rFonts w:ascii="Book Antiqua" w:hAnsi="Book Antiqua" w:cs="Arial"/>
        </w:rPr>
      </w:pPr>
    </w:p>
    <w:p w:rsidR="00351F2C" w:rsidRPr="00EC1298" w:rsidRDefault="00351F2C" w:rsidP="00FF7504">
      <w:pPr>
        <w:spacing w:after="0"/>
        <w:jc w:val="both"/>
        <w:rPr>
          <w:rFonts w:ascii="Book Antiqua" w:hAnsi="Book Antiqua" w:cs="Arial"/>
        </w:rPr>
      </w:pPr>
      <w:r w:rsidRPr="00EC1298">
        <w:rPr>
          <w:rFonts w:ascii="Book Antiqua" w:hAnsi="Book Antiqua" w:cs="Arial"/>
        </w:rPr>
        <w:t xml:space="preserve">Opportunity costs will accrue at all levels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Examples of national and sub-national opportunity costs include foregone tax revenues from certain commercial and industrial forest land and resource uses. Examples of local opportunity costs include reduced income and other benefits from the conversion of forest to agriculture, and possible reductions in the value of goods sourced from forest products. A key characteristic is that these costs will be for the most part felt as real losses to forest managers in terms of foregone income, subsistence products and commodities. An appreciation of opportunity costs thus has an important bearing when deciding on the amount and distribution of </w:t>
      </w:r>
      <w:r w:rsidR="00480D3D">
        <w:rPr>
          <w:rFonts w:ascii="Book Antiqua" w:hAnsi="Book Antiqua" w:cs="Arial"/>
        </w:rPr>
        <w:t>REDD+</w:t>
      </w:r>
      <w:r w:rsidRPr="00EC1298">
        <w:rPr>
          <w:rFonts w:ascii="Book Antiqua" w:hAnsi="Book Antiqua" w:cs="Arial"/>
        </w:rPr>
        <w:t xml:space="preserve"> payments for different groups.</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The difference between the returns to land and resource uses that would degrade or replace forests and those that avoid deforestation or forest degradation is a measure of the opportunity cost (normally expressed as costs per hectare), while the differences in carbon stocks indicates the avoided emissions from doing so (calculated as tCO</w:t>
      </w:r>
      <w:r w:rsidRPr="00EC1298">
        <w:rPr>
          <w:rFonts w:ascii="Book Antiqua" w:hAnsi="Book Antiqua" w:cs="Arial"/>
          <w:vertAlign w:val="subscript"/>
        </w:rPr>
        <w:t>2</w:t>
      </w:r>
      <w:r w:rsidRPr="00EC1298">
        <w:rPr>
          <w:rFonts w:ascii="Book Antiqua" w:hAnsi="Book Antiqua" w:cs="Arial"/>
        </w:rPr>
        <w:t xml:space="preserve">e/hectare). The </w:t>
      </w:r>
      <w:r w:rsidRPr="00EC1298">
        <w:rPr>
          <w:rFonts w:ascii="Book Antiqua" w:hAnsi="Book Antiqua" w:cs="Arial"/>
        </w:rPr>
        <w:lastRenderedPageBreak/>
        <w:t>opportunity costs of reducing emissions relate these two figures, and are presented as costs per tCO</w:t>
      </w:r>
      <w:r w:rsidRPr="00EC1298">
        <w:rPr>
          <w:rFonts w:ascii="Book Antiqua" w:hAnsi="Book Antiqua" w:cs="Arial"/>
          <w:vertAlign w:val="subscript"/>
        </w:rPr>
        <w:t>2</w:t>
      </w:r>
      <w:r w:rsidRPr="00EC1298">
        <w:rPr>
          <w:rFonts w:ascii="Book Antiqua" w:hAnsi="Book Antiqua" w:cs="Arial"/>
        </w:rPr>
        <w:t>e.</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There is a growing number of examples of opportunity cost calculations in relation to the design of </w:t>
      </w:r>
      <w:r w:rsidR="00480D3D">
        <w:rPr>
          <w:rFonts w:ascii="Book Antiqua" w:hAnsi="Book Antiqua" w:cs="Arial"/>
        </w:rPr>
        <w:t>REDD+</w:t>
      </w:r>
      <w:r w:rsidRPr="00EC1298">
        <w:rPr>
          <w:rFonts w:ascii="Book Antiqua" w:hAnsi="Book Antiqua" w:cs="Arial"/>
        </w:rPr>
        <w:t xml:space="preserve"> schemes (</w:t>
      </w:r>
      <w:fldSimple w:instr=" REF _Ref242943714 \h  \* MERGEFORMAT ">
        <w:r w:rsidR="00B4351F" w:rsidRPr="00B4351F">
          <w:rPr>
            <w:rFonts w:ascii="Book Antiqua" w:hAnsi="Book Antiqua" w:cs="Arial"/>
          </w:rPr>
          <w:t xml:space="preserve">Box </w:t>
        </w:r>
      </w:fldSimple>
      <w:r w:rsidRPr="00EC1298">
        <w:rPr>
          <w:rFonts w:ascii="Book Antiqua" w:hAnsi="Book Antiqua" w:cs="Arial"/>
        </w:rPr>
        <w:t xml:space="preserve">5.2). Most are concerned with determining the level and type of </w:t>
      </w:r>
      <w:r w:rsidR="00480D3D">
        <w:rPr>
          <w:rFonts w:ascii="Book Antiqua" w:hAnsi="Book Antiqua" w:cs="Arial"/>
        </w:rPr>
        <w:t>REDD+</w:t>
      </w:r>
      <w:r w:rsidRPr="00EC1298">
        <w:rPr>
          <w:rFonts w:ascii="Book Antiqua" w:hAnsi="Book Antiqua" w:cs="Arial"/>
        </w:rPr>
        <w:t xml:space="preserve"> payments that will be required to compensate landholders for avoided deforestation.</w:t>
      </w:r>
    </w:p>
    <w:p w:rsidR="00351F2C" w:rsidRPr="00EC1298" w:rsidRDefault="00351F2C" w:rsidP="00522F5C">
      <w:pPr>
        <w:spacing w:after="0"/>
        <w:jc w:val="both"/>
        <w:rPr>
          <w:rFonts w:ascii="Book Antiqua" w:hAnsi="Book Antiqua" w:cs="Arial"/>
        </w:rPr>
      </w:pPr>
    </w:p>
    <w:p w:rsidR="00351F2C" w:rsidRPr="00EC1298" w:rsidRDefault="00C47C3B" w:rsidP="00522F5C">
      <w:pPr>
        <w:spacing w:after="0"/>
        <w:jc w:val="both"/>
        <w:rPr>
          <w:rFonts w:ascii="Book Antiqua" w:hAnsi="Book Antiqua" w:cs="Arial"/>
        </w:rPr>
      </w:pPr>
      <w:r>
        <w:rPr>
          <w:rFonts w:ascii="Book Antiqua" w:hAnsi="Book Antiqua" w:cs="Arial"/>
          <w:noProof/>
          <w:lang w:val="en-US"/>
        </w:rPr>
        <w:pict>
          <v:shape id="_x0000_s1504" type="#_x0000_t202" style="position:absolute;left:0;text-align:left;margin-left:1.4pt;margin-top:8.3pt;width:252.55pt;height:535.45pt;z-index:251622912;mso-position-horizontal-relative:margin;mso-position-vertical-relative:margin" fillcolor="#dbe5f1" strokecolor="#1f497d" strokeweight="1.5pt">
            <v:shadow on="t" color="#365f91" opacity=".5" offset="4pt,4pt" offset2="-4pt,-4pt"/>
            <v:textbox style="mso-next-textbox:#_x0000_s1504" inset="1.5mm,1.5mm,1.5mm,1.5mm">
              <w:txbxContent>
                <w:p w:rsidR="00B4351F" w:rsidRPr="00F74FAA" w:rsidRDefault="00B4351F" w:rsidP="00FF7504">
                  <w:pPr>
                    <w:pStyle w:val="Caption"/>
                    <w:spacing w:line="240" w:lineRule="auto"/>
                  </w:pPr>
                  <w:bookmarkStart w:id="293" w:name="_Ref242943714"/>
                  <w:bookmarkStart w:id="294" w:name="_Toc243740849"/>
                  <w:r w:rsidRPr="00F74FAA">
                    <w:t xml:space="preserve">Box </w:t>
                  </w:r>
                  <w:bookmarkEnd w:id="293"/>
                  <w:r>
                    <w:t>5</w:t>
                  </w:r>
                  <w:r w:rsidRPr="00F74FAA">
                    <w:t>.2: International estimates of the opportunity costs of avoided deforestation in relation to REDD</w:t>
                  </w:r>
                  <w:bookmarkEnd w:id="294"/>
                </w:p>
                <w:p w:rsidR="00B4351F" w:rsidRPr="00F74FAA" w:rsidRDefault="00B4351F" w:rsidP="00A256CB">
                  <w:pPr>
                    <w:pStyle w:val="Bullets"/>
                    <w:spacing w:line="240" w:lineRule="auto"/>
                    <w:ind w:left="0" w:firstLine="0"/>
                    <w:jc w:val="left"/>
                    <w:rPr>
                      <w:rFonts w:ascii="Calibri" w:hAnsi="Calibri" w:cs="Calibri"/>
                    </w:rPr>
                  </w:pPr>
                  <w:r w:rsidRPr="00F74FAA">
                    <w:rPr>
                      <w:rFonts w:ascii="Calibri" w:hAnsi="Calibri" w:cs="Calibri"/>
                    </w:rPr>
                    <w:t>Research conducted in Cameroon, Indonesia, Peru and the Philippines uses a five-stage method to calculate the opportunity costs of land use change in relation to reduced carbon emissions. After describing major land uses, the model calculates their time-averaged carbon stocks. The third stage is to calculate Net Present Values for the private and social profitability of these land use categories. Land use change analysis using remote-sensing data and ground-truthing is conducted, followed by the identification of carbon-sequestering and carbon-emitting land use changes measured in terms of CO</w:t>
                  </w:r>
                  <w:r w:rsidRPr="00F74FAA">
                    <w:rPr>
                      <w:rFonts w:ascii="Calibri" w:hAnsi="Calibri" w:cs="Calibri"/>
                      <w:vertAlign w:val="subscript"/>
                    </w:rPr>
                    <w:t>2</w:t>
                  </w:r>
                  <w:r w:rsidRPr="00F74FAA">
                    <w:rPr>
                      <w:rFonts w:ascii="Calibri" w:hAnsi="Calibri" w:cs="Calibri"/>
                    </w:rPr>
                    <w:t>eq. The analysis finds that across most of the sites, 80% of land users earned less than US$5 in revenue per tonne of carbon lost due to land use change. Expressed in terms of tonnes of CO</w:t>
                  </w:r>
                  <w:r w:rsidRPr="00F74FAA">
                    <w:rPr>
                      <w:rFonts w:ascii="Calibri" w:hAnsi="Calibri" w:cs="Calibri"/>
                      <w:vertAlign w:val="subscript"/>
                    </w:rPr>
                    <w:t>2</w:t>
                  </w:r>
                  <w:r w:rsidRPr="00F74FAA">
                    <w:rPr>
                      <w:rFonts w:ascii="Calibri" w:hAnsi="Calibri" w:cs="Calibri"/>
                    </w:rPr>
                    <w:t xml:space="preserve">eq, the economic gains associated with deforestation are therefore very low. Although nearly all land use changes generated some increase in income for the land user, they did not greatly benefit poor local farmers (Minang </w:t>
                  </w:r>
                  <w:r w:rsidRPr="00F74FAA">
                    <w:rPr>
                      <w:rFonts w:ascii="Calibri" w:hAnsi="Calibri" w:cs="Calibri"/>
                      <w:i/>
                      <w:iCs/>
                    </w:rPr>
                    <w:t>et al</w:t>
                  </w:r>
                  <w:r w:rsidRPr="00F74FAA">
                    <w:rPr>
                      <w:rFonts w:ascii="Calibri" w:hAnsi="Calibri" w:cs="Calibri"/>
                    </w:rPr>
                    <w:t xml:space="preserve"> 2008).</w:t>
                  </w:r>
                </w:p>
                <w:p w:rsidR="00B4351F" w:rsidRPr="00F74FAA" w:rsidRDefault="00B4351F" w:rsidP="00A256CB">
                  <w:pPr>
                    <w:pStyle w:val="Bullets"/>
                    <w:spacing w:line="240" w:lineRule="auto"/>
                    <w:ind w:left="0" w:firstLine="0"/>
                    <w:jc w:val="left"/>
                    <w:rPr>
                      <w:rFonts w:ascii="Calibri" w:hAnsi="Calibri" w:cs="Calibri"/>
                    </w:rPr>
                  </w:pPr>
                  <w:r w:rsidRPr="00F74FAA">
                    <w:rPr>
                      <w:rFonts w:ascii="Calibri" w:hAnsi="Calibri" w:cs="Calibri"/>
                    </w:rPr>
                    <w:t>A comparison of the profitability of converting forest to oil palm versus conserv</w:t>
                  </w:r>
                  <w:r>
                    <w:rPr>
                      <w:rFonts w:ascii="Calibri" w:hAnsi="Calibri" w:cs="Calibri"/>
                    </w:rPr>
                    <w:t>ation</w:t>
                  </w:r>
                  <w:r w:rsidRPr="00F74FAA">
                    <w:rPr>
                      <w:rFonts w:ascii="Calibri" w:hAnsi="Calibri" w:cs="Calibri"/>
                    </w:rPr>
                    <w:t xml:space="preserve"> in Sumatra, Indonesia was carried out, involving the calculation of opportunity costs of avoided deforestation for landholders. </w:t>
                  </w:r>
                  <w:r>
                    <w:rPr>
                      <w:rFonts w:ascii="Calibri" w:hAnsi="Calibri" w:cs="Calibri"/>
                    </w:rPr>
                    <w:t>D</w:t>
                  </w:r>
                  <w:r w:rsidRPr="00F74FAA">
                    <w:rPr>
                      <w:rFonts w:ascii="Calibri" w:hAnsi="Calibri" w:cs="Calibri"/>
                    </w:rPr>
                    <w:t>ata on yields of fresh fruit, crude palm oil and palm kernels were collected, and potential revenues were estimated according to alternative pricing scenarios as well as plantation setup and annual operations costs. Five carbon</w:t>
                  </w:r>
                  <w:r>
                    <w:rPr>
                      <w:rFonts w:ascii="Calibri" w:hAnsi="Calibri" w:cs="Calibri"/>
                    </w:rPr>
                    <w:t xml:space="preserve"> pricing scenarios were applied</w:t>
                  </w:r>
                  <w:r w:rsidRPr="00F74FAA">
                    <w:rPr>
                      <w:rFonts w:ascii="Calibri" w:hAnsi="Calibri" w:cs="Calibri"/>
                    </w:rPr>
                    <w:t xml:space="preserve">. The findings show that converting a hectare of forest for palm oil production will be more profitable to land owners (yielding net present values of $3,835–$9,630) than preserving it for carbon credits ($614–$994), </w:t>
                  </w:r>
                  <w:r>
                    <w:rPr>
                      <w:rFonts w:ascii="Calibri" w:hAnsi="Calibri" w:cs="Calibri"/>
                    </w:rPr>
                    <w:t>under</w:t>
                  </w:r>
                  <w:r w:rsidRPr="00F74FAA">
                    <w:rPr>
                      <w:rFonts w:ascii="Calibri" w:hAnsi="Calibri" w:cs="Calibri"/>
                    </w:rPr>
                    <w:t xml:space="preserve"> voluntary carbon markets. Giving REDD credits price parity with carbon credits traded in compliance markets would boost the profitability of avoided deforestation (up to $6,605). </w:t>
                  </w:r>
                  <w:r>
                    <w:rPr>
                      <w:rFonts w:ascii="Calibri" w:hAnsi="Calibri" w:cs="Calibri"/>
                    </w:rPr>
                    <w:t>This suggests that un</w:t>
                  </w:r>
                  <w:r w:rsidRPr="00F74FAA">
                    <w:rPr>
                      <w:rFonts w:ascii="Calibri" w:hAnsi="Calibri" w:cs="Calibri"/>
                    </w:rPr>
                    <w:t xml:space="preserve">less post-2012 global climate policies legitimise the trading of carbon credits from avoided deforestation, REDD will not be able to compete with oil palm agriculture or similar profitable activities as an economically attractive land use option, in which case REDD will not be able to fulfil its primary function of avoiding deforestation (Butler </w:t>
                  </w:r>
                  <w:r w:rsidRPr="00F74FAA">
                    <w:rPr>
                      <w:rFonts w:ascii="Calibri" w:hAnsi="Calibri" w:cs="Calibri"/>
                      <w:i/>
                      <w:iCs/>
                    </w:rPr>
                    <w:t>et al</w:t>
                  </w:r>
                  <w:r w:rsidRPr="00F74FAA">
                    <w:rPr>
                      <w:rFonts w:ascii="Calibri" w:hAnsi="Calibri" w:cs="Calibri"/>
                    </w:rPr>
                    <w:t xml:space="preserve"> 2009).</w:t>
                  </w:r>
                </w:p>
              </w:txbxContent>
            </v:textbox>
            <w10:wrap type="square" anchorx="margin" anchory="margin"/>
            <w10:anchorlock/>
          </v:shape>
        </w:pict>
      </w:r>
      <w:r w:rsidR="00351F2C" w:rsidRPr="00EC1298">
        <w:rPr>
          <w:rFonts w:ascii="Book Antiqua" w:hAnsi="Book Antiqua" w:cs="Arial"/>
        </w:rPr>
        <w:t xml:space="preserve">There are as yet no systematic monetary estimates of the opportunity costs of deforestation or avoiding deforestation in </w:t>
      </w:r>
      <w:smartTag w:uri="urn:schemas-microsoft-com:office:smarttags" w:element="country-region">
        <w:smartTag w:uri="urn:schemas-microsoft-com:office:smarttags" w:element="place">
          <w:r w:rsidR="00351F2C" w:rsidRPr="00EC1298">
            <w:rPr>
              <w:rFonts w:ascii="Book Antiqua" w:hAnsi="Book Antiqua" w:cs="Arial"/>
            </w:rPr>
            <w:t>Viet Nam</w:t>
          </w:r>
        </w:smartTag>
      </w:smartTag>
      <w:r w:rsidR="00351F2C" w:rsidRPr="00EC1298">
        <w:rPr>
          <w:rFonts w:ascii="Book Antiqua" w:hAnsi="Book Antiqua" w:cs="Arial"/>
        </w:rPr>
        <w:t xml:space="preserve">, although studies are currently being carried out in relation to </w:t>
      </w:r>
      <w:r w:rsidR="00480D3D">
        <w:rPr>
          <w:rFonts w:ascii="Book Antiqua" w:hAnsi="Book Antiqua" w:cs="Arial"/>
        </w:rPr>
        <w:t>REDD+</w:t>
      </w:r>
      <w:r w:rsidR="00351F2C" w:rsidRPr="00EC1298">
        <w:rPr>
          <w:rFonts w:ascii="Book Antiqua" w:hAnsi="Book Antiqua" w:cs="Arial"/>
        </w:rPr>
        <w:t xml:space="preserve">. Estimating opportunity costs and identifying their distribution between different groups will, however, pose a considerable methodological and practical challenge. The huge diversity of forest types and land uses (and thus emissions reductions potential) in the country, as well as the rapidly changing conditions which will result in the returns to alternative economic opportunities altering over time, means that the range of opportunity costs which will be faced under </w:t>
      </w:r>
      <w:r w:rsidR="00480D3D">
        <w:rPr>
          <w:rFonts w:ascii="Book Antiqua" w:hAnsi="Book Antiqua" w:cs="Arial"/>
        </w:rPr>
        <w:t>REDD+</w:t>
      </w:r>
      <w:r w:rsidR="00351F2C" w:rsidRPr="00EC1298">
        <w:rPr>
          <w:rFonts w:ascii="Book Antiqua" w:hAnsi="Book Antiqua" w:cs="Arial"/>
        </w:rPr>
        <w:t xml:space="preserve"> is almost limitless. </w:t>
      </w:r>
    </w:p>
    <w:p w:rsidR="00351F2C" w:rsidRPr="00445F77" w:rsidRDefault="00351F2C" w:rsidP="00522F5C">
      <w:pPr>
        <w:spacing w:after="0"/>
        <w:rPr>
          <w:rFonts w:ascii="Arial" w:hAnsi="Arial" w:cs="Arial"/>
          <w:sz w:val="24"/>
          <w:szCs w:val="24"/>
        </w:rPr>
      </w:pPr>
    </w:p>
    <w:p w:rsidR="00351F2C" w:rsidRPr="00445F77" w:rsidRDefault="00351F2C" w:rsidP="00A256CB">
      <w:pPr>
        <w:pStyle w:val="Heading3"/>
        <w:rPr>
          <w:rFonts w:ascii="Arial" w:hAnsi="Arial" w:cs="Arial"/>
        </w:rPr>
      </w:pPr>
      <w:bookmarkStart w:id="295" w:name="_Toc243740831"/>
      <w:bookmarkStart w:id="296" w:name="_Toc243984141"/>
      <w:bookmarkStart w:id="297" w:name="_Toc244327667"/>
      <w:bookmarkStart w:id="298" w:name="_Toc244327917"/>
      <w:bookmarkStart w:id="299" w:name="_Toc244735076"/>
      <w:bookmarkStart w:id="300" w:name="_Toc249079550"/>
      <w:r w:rsidRPr="00445F77">
        <w:rPr>
          <w:rFonts w:ascii="Arial" w:hAnsi="Arial" w:cs="Arial"/>
        </w:rPr>
        <w:t xml:space="preserve">Reflecting cost information in the design of a </w:t>
      </w:r>
      <w:bookmarkEnd w:id="295"/>
      <w:bookmarkEnd w:id="296"/>
      <w:bookmarkEnd w:id="297"/>
      <w:bookmarkEnd w:id="298"/>
      <w:bookmarkEnd w:id="299"/>
      <w:r w:rsidRPr="00445F77">
        <w:rPr>
          <w:rFonts w:ascii="Arial" w:hAnsi="Arial" w:cs="Arial"/>
        </w:rPr>
        <w:t>BDS</w:t>
      </w:r>
      <w:bookmarkEnd w:id="300"/>
    </w:p>
    <w:p w:rsidR="00351F2C" w:rsidRPr="00EC1298" w:rsidRDefault="00351F2C" w:rsidP="00E07AB9">
      <w:pPr>
        <w:spacing w:after="0"/>
        <w:jc w:val="both"/>
        <w:rPr>
          <w:rFonts w:ascii="Book Antiqua" w:hAnsi="Book Antiqua" w:cs="Arial"/>
        </w:rPr>
      </w:pPr>
      <w:r w:rsidRPr="00EC1298">
        <w:rPr>
          <w:rFonts w:ascii="Book Antiqua" w:hAnsi="Book Antiqua" w:cs="Arial"/>
        </w:rPr>
        <w:t xml:space="preserve">In principle, the level of </w:t>
      </w:r>
      <w:r w:rsidR="00480D3D">
        <w:rPr>
          <w:rFonts w:ascii="Book Antiqua" w:hAnsi="Book Antiqua" w:cs="Arial"/>
        </w:rPr>
        <w:t>REDD+</w:t>
      </w:r>
      <w:r w:rsidRPr="00EC1298">
        <w:rPr>
          <w:rFonts w:ascii="Book Antiqua" w:hAnsi="Book Antiqua" w:cs="Arial"/>
        </w:rPr>
        <w:t xml:space="preserve"> payments made both to and within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will need at the very minimum to cover the costs that the government and forest users incur from changing their behaviour and shifting their production systems. No participant should incur (or should perceive themselves to be incurring) a net loss from participating in </w:t>
      </w:r>
      <w:r w:rsidRPr="00EC1298">
        <w:rPr>
          <w:rFonts w:ascii="Book Antiqua" w:hAnsi="Book Antiqua" w:cs="Arial"/>
        </w:rPr>
        <w:lastRenderedPageBreak/>
        <w:t xml:space="preserve">activities to avoid deforestation and forest degradation. This is important from the point of view of both equity and efficiency. National and local stakeholders cannot be expected to subsidise the provision of climate benefits to the global community or industries in other countries (especially if they are already marginalised or vulnerable in economic terms), and in most cases will be unwilling to do so unless their costs are covered. </w:t>
      </w:r>
      <w:r w:rsidR="00480D3D">
        <w:rPr>
          <w:rFonts w:ascii="Book Antiqua" w:hAnsi="Book Antiqua" w:cs="Arial"/>
        </w:rPr>
        <w:t>REDD+</w:t>
      </w:r>
      <w:r w:rsidRPr="00EC1298">
        <w:rPr>
          <w:rFonts w:ascii="Book Antiqua" w:hAnsi="Book Antiqua" w:cs="Arial"/>
        </w:rPr>
        <w:t xml:space="preserve"> will not be attractive to forest managers if they do not feel that their costs are being covered. Cost factors thus form an important criterion in deciding how, where and by whom </w:t>
      </w:r>
      <w:r w:rsidR="00480D3D">
        <w:rPr>
          <w:rFonts w:ascii="Book Antiqua" w:hAnsi="Book Antiqua" w:cs="Arial"/>
        </w:rPr>
        <w:t>REDD+</w:t>
      </w:r>
      <w:r w:rsidRPr="00EC1298">
        <w:rPr>
          <w:rFonts w:ascii="Book Antiqua" w:hAnsi="Book Antiqua" w:cs="Arial"/>
        </w:rPr>
        <w:t xml:space="preserve"> revenues should be retained and payments should be distributed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w:t>
      </w:r>
    </w:p>
    <w:p w:rsidR="00351F2C" w:rsidRPr="00EC1298" w:rsidRDefault="00351F2C" w:rsidP="00522F5C">
      <w:pPr>
        <w:spacing w:after="0"/>
        <w:jc w:val="both"/>
        <w:rPr>
          <w:rFonts w:ascii="Book Antiqua" w:hAnsi="Book Antiqua" w:cs="Arial"/>
        </w:rPr>
      </w:pPr>
    </w:p>
    <w:p w:rsidR="00351F2C" w:rsidRPr="00EC1298" w:rsidRDefault="00C47C3B" w:rsidP="00522F5C">
      <w:pPr>
        <w:spacing w:after="0"/>
        <w:jc w:val="both"/>
        <w:rPr>
          <w:rFonts w:ascii="Book Antiqua" w:hAnsi="Book Antiqua" w:cs="Arial"/>
        </w:rPr>
      </w:pPr>
      <w:r>
        <w:rPr>
          <w:rFonts w:ascii="Book Antiqua" w:hAnsi="Book Antiqua" w:cs="Arial"/>
          <w:noProof/>
          <w:lang w:val="en-US"/>
        </w:rPr>
        <w:pict>
          <v:shape id="_x0000_s1506" type="#_x0000_t202" style="position:absolute;left:0;text-align:left;margin-left:203pt;margin-top:149.5pt;width:280.3pt;height:219.75pt;z-index:251624960" fillcolor="#dbe5f1" strokecolor="#1f497d" strokeweight="1.5pt">
            <v:shadow on="t" color="#365f91" opacity=".5" offset="4pt,4pt" offset2="-4pt,-4pt"/>
            <v:textbox style="mso-next-textbox:#_x0000_s1506" inset="1.5mm,1.5mm,1.5mm,1.5mm">
              <w:txbxContent>
                <w:p w:rsidR="00B4351F" w:rsidRPr="00F74FAA" w:rsidRDefault="00B4351F" w:rsidP="00246293">
                  <w:pPr>
                    <w:pStyle w:val="Caption"/>
                  </w:pPr>
                  <w:bookmarkStart w:id="301" w:name="_Ref243118143"/>
                  <w:bookmarkStart w:id="302" w:name="_Toc243740850"/>
                  <w:smartTag w:uri="urn:schemas-microsoft-com:office:smarttags" w:element="address">
                    <w:smartTag w:uri="urn:schemas-microsoft-com:office:smarttags" w:element="Street">
                      <w:r w:rsidRPr="00F74FAA">
                        <w:t>Box</w:t>
                      </w:r>
                    </w:smartTag>
                    <w:r w:rsidRPr="00F74FAA">
                      <w:t xml:space="preserve"> </w:t>
                    </w:r>
                    <w:bookmarkEnd w:id="301"/>
                    <w:r>
                      <w:t>5</w:t>
                    </w:r>
                    <w:r w:rsidRPr="00F74FAA">
                      <w:t>.3</w:t>
                    </w:r>
                  </w:smartTag>
                  <w:r w:rsidRPr="00F74FAA">
                    <w:t>: Constructing a REDD supply curve</w:t>
                  </w:r>
                  <w:bookmarkEnd w:id="302"/>
                </w:p>
                <w:p w:rsidR="00B4351F" w:rsidRPr="00F74FAA" w:rsidRDefault="00B4351F" w:rsidP="00654325">
                  <w:pPr>
                    <w:pStyle w:val="Bullets"/>
                    <w:spacing w:line="240" w:lineRule="auto"/>
                    <w:ind w:left="0" w:firstLine="0"/>
                    <w:rPr>
                      <w:rFonts w:ascii="Calibri" w:hAnsi="Calibri" w:cs="Calibri"/>
                    </w:rPr>
                  </w:pPr>
                  <w:r w:rsidRPr="00F74FAA">
                    <w:rPr>
                      <w:rFonts w:ascii="Calibri" w:hAnsi="Calibri" w:cs="Calibri"/>
                    </w:rPr>
                    <w:t>In the Brazilian Amazon, a municipal-level REDD supply curve has been constructed for private landholdings in Amazonas and Mato Grosso. This focuses on opportunity costs. Transactions costs, although discussed, are not explicitly incorporated into the analysis. Gross per-hectare returns to different land uses were calculated, and combined with estimates of timber revenues and transport costs. A future trajectory of progressive land use changes were modelled, using and projecting official land use and land cover change statistics. While different land uses imply different REDD opportunity costs, the maximum carbon price needed to compensate all deforestation costs would be almost US$13/tCO</w:t>
                  </w:r>
                  <w:r w:rsidRPr="00F74FAA">
                    <w:rPr>
                      <w:rFonts w:ascii="Calibri" w:hAnsi="Calibri" w:cs="Calibri"/>
                      <w:vertAlign w:val="subscript"/>
                    </w:rPr>
                    <w:t>2</w:t>
                  </w:r>
                  <w:r w:rsidRPr="00F74FAA">
                    <w:rPr>
                      <w:rFonts w:ascii="Calibri" w:hAnsi="Calibri" w:cs="Calibri"/>
                    </w:rPr>
                    <w:t>. Findings suggest that at least 1 million ha of projected deforestation could be compensated at costs of between US$330 million and US$1 billion, depending on how payment mechanisms are designed (Börner and Wunder 2008).</w:t>
                  </w:r>
                </w:p>
              </w:txbxContent>
            </v:textbox>
            <w10:wrap type="square"/>
            <w10:anchorlock/>
          </v:shape>
        </w:pict>
      </w:r>
      <w:r>
        <w:rPr>
          <w:rFonts w:ascii="Book Antiqua" w:hAnsi="Book Antiqua" w:cs="Arial"/>
          <w:noProof/>
          <w:lang w:val="en-US"/>
        </w:rPr>
        <w:pict>
          <v:shape id="_x0000_s1505" type="#_x0000_t202" style="position:absolute;left:0;text-align:left;margin-left:203pt;margin-top:-66.25pt;width:280.3pt;height:201.5pt;z-index:251623936" strokecolor="#1f497d" strokeweight="1.5pt">
            <v:shadow on="t" color="#365f91" opacity=".5" offset="4pt,4pt" offset2="-4pt,-4pt"/>
            <v:textbox style="mso-next-textbox:#_x0000_s1505" inset="1.5mm,1.5mm,1.5mm,1.5mm">
              <w:txbxContent>
                <w:p w:rsidR="00B4351F" w:rsidRPr="00AC1057" w:rsidRDefault="00B4351F" w:rsidP="00246293">
                  <w:pPr>
                    <w:pStyle w:val="Caption"/>
                  </w:pPr>
                  <w:bookmarkStart w:id="303" w:name="_Ref242939165"/>
                  <w:bookmarkStart w:id="304" w:name="_Toc243740853"/>
                  <w:r w:rsidRPr="00AC1057">
                    <w:t xml:space="preserve">Figure </w:t>
                  </w:r>
                  <w:bookmarkEnd w:id="303"/>
                  <w:r>
                    <w:t>5.2</w:t>
                  </w:r>
                  <w:r w:rsidRPr="00AC1057">
                    <w:t xml:space="preserve">: </w:t>
                  </w:r>
                  <w:r>
                    <w:t xml:space="preserve">the </w:t>
                  </w:r>
                  <w:r w:rsidRPr="00AC1057">
                    <w:t xml:space="preserve">REDD </w:t>
                  </w:r>
                  <w:r>
                    <w:t>supply curve</w:t>
                  </w:r>
                  <w:bookmarkEnd w:id="304"/>
                </w:p>
                <w:p w:rsidR="00B4351F" w:rsidRPr="00F74FAA" w:rsidRDefault="00B4351F" w:rsidP="00246293">
                  <w:pPr>
                    <w:jc w:val="center"/>
                    <w:rPr>
                      <w:rFonts w:ascii="Cambria" w:hAnsi="Cambria" w:cs="Cambria"/>
                      <w:color w:val="7F7F7F"/>
                    </w:rPr>
                  </w:pPr>
                  <w:r>
                    <w:rPr>
                      <w:noProof/>
                      <w:lang w:val="en-US"/>
                    </w:rPr>
                    <w:drawing>
                      <wp:inline distT="0" distB="0" distL="0" distR="0">
                        <wp:extent cx="3409950" cy="2143125"/>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3409950" cy="2143125"/>
                                </a:xfrm>
                                <a:prstGeom prst="rect">
                                  <a:avLst/>
                                </a:prstGeom>
                                <a:noFill/>
                                <a:ln w="9525">
                                  <a:noFill/>
                                  <a:miter lim="800000"/>
                                  <a:headEnd/>
                                  <a:tailEnd/>
                                </a:ln>
                              </pic:spPr>
                            </pic:pic>
                          </a:graphicData>
                        </a:graphic>
                      </wp:inline>
                    </w:drawing>
                  </w:r>
                </w:p>
              </w:txbxContent>
            </v:textbox>
            <w10:wrap type="square"/>
            <w10:anchorlock/>
          </v:shape>
        </w:pict>
      </w:r>
      <w:r w:rsidR="00351F2C" w:rsidRPr="00EC1298">
        <w:rPr>
          <w:rFonts w:ascii="Book Antiqua" w:hAnsi="Book Antiqua" w:cs="Arial"/>
        </w:rPr>
        <w:t>The question then arises as to the extent that cost-recovery principles and other economic and financial calculations should guide the level at which payments and retention criteria are set. Best international practice suggests that quantitative cost data should be combined so as to construct “</w:t>
      </w:r>
      <w:r w:rsidR="00480D3D">
        <w:rPr>
          <w:rFonts w:ascii="Book Antiqua" w:hAnsi="Book Antiqua" w:cs="Arial"/>
        </w:rPr>
        <w:t>REDD+</w:t>
      </w:r>
      <w:r w:rsidR="00351F2C" w:rsidRPr="00EC1298">
        <w:rPr>
          <w:rFonts w:ascii="Book Antiqua" w:hAnsi="Book Antiqua" w:cs="Arial"/>
        </w:rPr>
        <w:t xml:space="preserve"> supply” curves for individuals and at the aggregate national level (Bond </w:t>
      </w:r>
      <w:r w:rsidR="00351F2C" w:rsidRPr="00EC1298">
        <w:rPr>
          <w:rFonts w:ascii="Book Antiqua" w:hAnsi="Book Antiqua" w:cs="Arial"/>
          <w:i/>
          <w:iCs/>
        </w:rPr>
        <w:t>et al</w:t>
      </w:r>
      <w:r w:rsidR="00351F2C" w:rsidRPr="00EC1298">
        <w:rPr>
          <w:rFonts w:ascii="Book Antiqua" w:hAnsi="Book Antiqua" w:cs="Arial"/>
        </w:rPr>
        <w:t xml:space="preserve"> 2009, Pagiola and Bosquet 2009, Wertz-Kanounnikoff 2008). These relate the quantity of reduced emissions supplied to the price paid. They thereby indicate the price at which </w:t>
      </w:r>
      <w:r w:rsidR="00480D3D">
        <w:rPr>
          <w:rFonts w:ascii="Book Antiqua" w:hAnsi="Book Antiqua" w:cs="Arial"/>
        </w:rPr>
        <w:t>REDD+</w:t>
      </w:r>
      <w:r w:rsidR="00351F2C" w:rsidRPr="00EC1298">
        <w:rPr>
          <w:rFonts w:ascii="Book Antiqua" w:hAnsi="Book Antiqua" w:cs="Arial"/>
        </w:rPr>
        <w:t xml:space="preserve"> payments needs to be set in order to offset costs (or, conversely, the amount of reduced emissions that can be supplied at different prices). Supply curves also illustrate the amount of “</w:t>
      </w:r>
      <w:r w:rsidR="00480D3D">
        <w:rPr>
          <w:rFonts w:ascii="Book Antiqua" w:hAnsi="Book Antiqua" w:cs="Arial"/>
        </w:rPr>
        <w:t>REDD+</w:t>
      </w:r>
      <w:r w:rsidR="00351F2C" w:rsidRPr="00EC1298">
        <w:rPr>
          <w:rFonts w:ascii="Book Antiqua" w:hAnsi="Book Antiqua" w:cs="Arial"/>
        </w:rPr>
        <w:t xml:space="preserve"> rent” that will be generated at each price or point on the supply curve (this is discussed further in the next section of this chapter). </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In practice, a much simpler model may be needed at any scale greater than the project level, while still fulfilling the requirements of designing an efficient, equitable and sustainable REDD-compliant BDS. There is a high level of uncertainty involved in estimating (particularly opportunity) costs, and huge and complex data sets are required to construct a </w:t>
      </w:r>
      <w:r w:rsidR="00480D3D">
        <w:rPr>
          <w:rFonts w:ascii="Book Antiqua" w:hAnsi="Book Antiqua" w:cs="Arial"/>
        </w:rPr>
        <w:t>REDD+</w:t>
      </w:r>
      <w:r w:rsidRPr="00EC1298">
        <w:rPr>
          <w:rFonts w:ascii="Book Antiqua" w:hAnsi="Book Antiqua" w:cs="Arial"/>
        </w:rPr>
        <w:t xml:space="preserve"> supply curve. It is not realistic to expect to be able to come up with detailed, credible estimates for all the costs incurred by each and every group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involved in delivering reduced emissions.</w:t>
      </w:r>
    </w:p>
    <w:p w:rsidR="00351F2C" w:rsidRPr="00EC1298" w:rsidRDefault="00351F2C" w:rsidP="00522F5C">
      <w:pPr>
        <w:spacing w:after="0"/>
        <w:jc w:val="both"/>
        <w:rPr>
          <w:rFonts w:ascii="Book Antiqua" w:hAnsi="Book Antiqua" w:cs="Arial"/>
        </w:rPr>
      </w:pPr>
    </w:p>
    <w:p w:rsidR="00351F2C" w:rsidRPr="00EC1298" w:rsidRDefault="00351F2C" w:rsidP="00FF7504">
      <w:pPr>
        <w:spacing w:after="0"/>
        <w:jc w:val="both"/>
        <w:rPr>
          <w:rFonts w:ascii="Book Antiqua" w:hAnsi="Book Antiqua" w:cs="Arial"/>
        </w:rPr>
      </w:pPr>
      <w:r w:rsidRPr="00EC1298">
        <w:rPr>
          <w:rFonts w:ascii="Book Antiqua" w:hAnsi="Book Antiqua" w:cs="Arial"/>
        </w:rPr>
        <w:t xml:space="preserve">Some elements of </w:t>
      </w:r>
      <w:r w:rsidR="00480D3D">
        <w:rPr>
          <w:rFonts w:ascii="Book Antiqua" w:hAnsi="Book Antiqua" w:cs="Arial"/>
        </w:rPr>
        <w:t>REDD+</w:t>
      </w:r>
      <w:r w:rsidRPr="00EC1298">
        <w:rPr>
          <w:rFonts w:ascii="Book Antiqua" w:hAnsi="Book Antiqua" w:cs="Arial"/>
        </w:rPr>
        <w:t xml:space="preserve"> costs will be fairly easy to estimate, and will most likely anyway be required both by the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government’s financial planning procedures and by the funding requirements of </w:t>
      </w:r>
      <w:r w:rsidR="00480D3D">
        <w:rPr>
          <w:rFonts w:ascii="Book Antiqua" w:hAnsi="Book Antiqua" w:cs="Arial"/>
        </w:rPr>
        <w:t>REDD+</w:t>
      </w:r>
      <w:r w:rsidRPr="00EC1298">
        <w:rPr>
          <w:rFonts w:ascii="Book Antiqua" w:hAnsi="Book Antiqua" w:cs="Arial"/>
        </w:rPr>
        <w:t xml:space="preserve"> donors. As mentioned above, it will be relatively straightforward to put together the programme and project budgets that will yield estimates of </w:t>
      </w:r>
      <w:r w:rsidR="00480D3D">
        <w:rPr>
          <w:rFonts w:ascii="Book Antiqua" w:hAnsi="Book Antiqua" w:cs="Arial"/>
        </w:rPr>
        <w:t>REDD+</w:t>
      </w:r>
      <w:r w:rsidRPr="00EC1298">
        <w:rPr>
          <w:rFonts w:ascii="Book Antiqua" w:hAnsi="Book Antiqua" w:cs="Arial"/>
        </w:rPr>
        <w:t xml:space="preserve"> implementation and transactions costs. This should be done at national and sub-national levels. Calculations will employ the financial planning and budgeting methods that line agencies already use and must routinely submit to receive funding from central government. For opportunity costs, it may be practical to envisage a situation where broad opportunity cost norms are established for major land use categories, production systems, agro-ecological zones and forest types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to be related to the carbon sequestered or released under these different conditions.</w:t>
      </w:r>
    </w:p>
    <w:p w:rsidR="00351F2C" w:rsidRPr="00EC1298" w:rsidRDefault="00351F2C" w:rsidP="00FF7504">
      <w:pPr>
        <w:spacing w:after="0"/>
        <w:jc w:val="both"/>
        <w:rPr>
          <w:rFonts w:ascii="Book Antiqua" w:hAnsi="Book Antiqua" w:cs="Arial"/>
        </w:rPr>
      </w:pPr>
    </w:p>
    <w:p w:rsidR="00351F2C" w:rsidRPr="00EC1298" w:rsidRDefault="00351F2C" w:rsidP="00FF7504">
      <w:pPr>
        <w:spacing w:after="0"/>
        <w:jc w:val="both"/>
        <w:rPr>
          <w:rFonts w:ascii="Book Antiqua" w:hAnsi="Book Antiqua" w:cs="Arial"/>
        </w:rPr>
      </w:pPr>
      <w:r w:rsidRPr="00EC1298">
        <w:rPr>
          <w:rFonts w:ascii="Book Antiqua" w:hAnsi="Book Antiqua" w:cs="Arial"/>
        </w:rPr>
        <w:t xml:space="preserve">The resulting cost information will not provide a blueprint for the exact amount of funding that should be retained and distributed at different levels, or for different groups and activities. </w:t>
      </w:r>
      <w:r w:rsidR="00FF7504">
        <w:rPr>
          <w:rFonts w:ascii="Book Antiqua" w:hAnsi="Book Antiqua" w:cs="Arial"/>
        </w:rPr>
        <w:t xml:space="preserve"> </w:t>
      </w:r>
      <w:r w:rsidRPr="00EC1298">
        <w:rPr>
          <w:rFonts w:ascii="Book Antiqua" w:hAnsi="Book Antiqua" w:cs="Arial"/>
        </w:rPr>
        <w:t>Rather, it should be used as a guide to deciding on the amount of revenues to be retained and the benefits to be distributed. Payments should reflect the costs incurred by different actors (and the actions or investments that are required to reduce emissions), but will not be determined solely on the basis of quantitative cost estimates.</w:t>
      </w:r>
    </w:p>
    <w:p w:rsidR="00351F2C" w:rsidRPr="00445F77" w:rsidRDefault="00351F2C" w:rsidP="00FF7504">
      <w:pPr>
        <w:spacing w:after="0"/>
        <w:rPr>
          <w:rFonts w:ascii="Arial" w:hAnsi="Arial" w:cs="Arial"/>
          <w:sz w:val="24"/>
          <w:szCs w:val="24"/>
        </w:rPr>
      </w:pPr>
    </w:p>
    <w:p w:rsidR="00351F2C" w:rsidRPr="00445F77" w:rsidRDefault="00351F2C" w:rsidP="00FF7504">
      <w:pPr>
        <w:pStyle w:val="Heading3"/>
        <w:spacing w:before="0" w:after="0"/>
        <w:rPr>
          <w:rFonts w:ascii="Arial" w:hAnsi="Arial" w:cs="Arial"/>
        </w:rPr>
      </w:pPr>
      <w:bookmarkStart w:id="305" w:name="_Toc242848563"/>
      <w:bookmarkStart w:id="306" w:name="_Toc242872653"/>
      <w:bookmarkStart w:id="307" w:name="_Toc242927143"/>
      <w:bookmarkStart w:id="308" w:name="_Toc242942785"/>
      <w:bookmarkStart w:id="309" w:name="_Toc243740832"/>
      <w:bookmarkStart w:id="310" w:name="_Toc243984142"/>
      <w:bookmarkStart w:id="311" w:name="_Toc244327668"/>
      <w:bookmarkStart w:id="312" w:name="_Toc244327918"/>
      <w:bookmarkStart w:id="313" w:name="_Toc244735077"/>
      <w:bookmarkStart w:id="314" w:name="_Toc249079551"/>
      <w:r w:rsidRPr="00445F77">
        <w:rPr>
          <w:rFonts w:ascii="Arial" w:hAnsi="Arial" w:cs="Arial"/>
        </w:rPr>
        <w:t>Factoring in incentives and “</w:t>
      </w:r>
      <w:r w:rsidR="00480D3D">
        <w:rPr>
          <w:rFonts w:ascii="Arial" w:hAnsi="Arial" w:cs="Arial"/>
        </w:rPr>
        <w:t>REDD+</w:t>
      </w:r>
      <w:r w:rsidRPr="00445F77">
        <w:rPr>
          <w:rFonts w:ascii="Arial" w:hAnsi="Arial" w:cs="Arial"/>
        </w:rPr>
        <w:t xml:space="preserve"> rent”</w:t>
      </w:r>
      <w:bookmarkEnd w:id="305"/>
      <w:bookmarkEnd w:id="306"/>
      <w:bookmarkEnd w:id="307"/>
      <w:bookmarkEnd w:id="308"/>
      <w:bookmarkEnd w:id="309"/>
      <w:bookmarkEnd w:id="310"/>
      <w:bookmarkEnd w:id="311"/>
      <w:bookmarkEnd w:id="312"/>
      <w:bookmarkEnd w:id="313"/>
      <w:bookmarkEnd w:id="314"/>
    </w:p>
    <w:p w:rsidR="00351F2C" w:rsidRPr="00EC1298" w:rsidRDefault="00351F2C" w:rsidP="00FF7504">
      <w:pPr>
        <w:spacing w:after="0"/>
        <w:jc w:val="both"/>
        <w:rPr>
          <w:rFonts w:ascii="Book Antiqua" w:hAnsi="Book Antiqua" w:cs="Arial"/>
        </w:rPr>
      </w:pPr>
      <w:r w:rsidRPr="00EC1298">
        <w:rPr>
          <w:rFonts w:ascii="Book Antiqua" w:hAnsi="Book Antiqua" w:cs="Arial"/>
        </w:rPr>
        <w:t xml:space="preserve">Not all </w:t>
      </w:r>
      <w:r w:rsidR="00480D3D">
        <w:rPr>
          <w:rFonts w:ascii="Book Antiqua" w:hAnsi="Book Antiqua" w:cs="Arial"/>
        </w:rPr>
        <w:t>REDD+</w:t>
      </w:r>
      <w:r w:rsidRPr="00EC1298">
        <w:rPr>
          <w:rFonts w:ascii="Book Antiqua" w:hAnsi="Book Antiqua" w:cs="Arial"/>
        </w:rPr>
        <w:t xml:space="preserve"> costs can be expressed in purely monetary terms.  Some will be felt as the loss of non-monetary benefits or of non-marketed goods and services. In many parts of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for example, the opportunity costs of avoided deforestation are not limited to a reduction in income. They may also be felt as losses of unmarketed goods and services (such as traditional healthcare products, wild meat or emergency foods) or through a decline in social wellbeing or other indicators (such as a decline in nutritional standards). Along similar lines, the cash returns to different land and resource uses are not the only factors motivating forest degrading activities – and therefore monetary payments are unlikely, by themselves, to add up to a sufficient incentive package to persuade people not to deforest. </w:t>
      </w:r>
    </w:p>
    <w:p w:rsidR="00351F2C" w:rsidRPr="00EC1298" w:rsidRDefault="00351F2C" w:rsidP="00FF7504">
      <w:pPr>
        <w:spacing w:after="0"/>
        <w:jc w:val="both"/>
        <w:rPr>
          <w:rFonts w:ascii="Book Antiqua" w:hAnsi="Book Antiqua" w:cs="Arial"/>
        </w:rPr>
      </w:pPr>
    </w:p>
    <w:p w:rsidR="00351F2C" w:rsidRPr="00EC1298" w:rsidRDefault="00C47C3B" w:rsidP="00FF7504">
      <w:pPr>
        <w:spacing w:after="0"/>
        <w:jc w:val="both"/>
        <w:rPr>
          <w:rFonts w:ascii="Book Antiqua" w:hAnsi="Book Antiqua" w:cs="Arial"/>
        </w:rPr>
      </w:pPr>
      <w:r>
        <w:rPr>
          <w:rFonts w:ascii="Book Antiqua" w:hAnsi="Book Antiqua" w:cs="Arial"/>
          <w:noProof/>
          <w:lang w:val="en-US"/>
        </w:rPr>
        <w:pict>
          <v:shape id="_x0000_s1507" type="#_x0000_t202" style="position:absolute;left:0;text-align:left;margin-left:-2pt;margin-top:11.35pt;width:205.6pt;height:294.8pt;z-index:251625984;mso-position-horizontal-relative:margin" fillcolor="#dbe5f1" strokecolor="#1f497d" strokeweight="1.5pt">
            <v:shadow on="t" color="#365f91" opacity=".5" offset="4pt,4pt" offset2="-4pt,-4pt"/>
            <v:textbox style="mso-next-textbox:#_x0000_s1507" inset="1.5mm,1.5mm,1.5mm,1.5mm">
              <w:txbxContent>
                <w:p w:rsidR="00B4351F" w:rsidRPr="00F74FAA" w:rsidRDefault="00B4351F" w:rsidP="00FE38DF">
                  <w:pPr>
                    <w:pStyle w:val="Caption"/>
                    <w:spacing w:after="120" w:line="240" w:lineRule="auto"/>
                  </w:pPr>
                  <w:bookmarkStart w:id="315" w:name="_Toc243740851"/>
                  <w:smartTag w:uri="urn:schemas-microsoft-com:office:smarttags" w:element="address">
                    <w:smartTag w:uri="urn:schemas-microsoft-com:office:smarttags" w:element="Street">
                      <w:r w:rsidRPr="00F74FAA">
                        <w:t>Box</w:t>
                      </w:r>
                    </w:smartTag>
                    <w:r w:rsidRPr="00F74FAA">
                      <w:t xml:space="preserve"> </w:t>
                    </w:r>
                    <w:r>
                      <w:t>5</w:t>
                    </w:r>
                    <w:r w:rsidRPr="00F74FAA">
                      <w:t>.4</w:t>
                    </w:r>
                  </w:smartTag>
                  <w:r w:rsidRPr="00F74FAA">
                    <w:t xml:space="preserve">: Protected area revenue-sharing and benefit-sharing in </w:t>
                  </w:r>
                  <w:smartTag w:uri="urn:schemas-microsoft-com:office:smarttags" w:element="place">
                    <w:r w:rsidRPr="00F74FAA">
                      <w:t>East Africa</w:t>
                    </w:r>
                  </w:smartTag>
                  <w:bookmarkEnd w:id="315"/>
                </w:p>
                <w:p w:rsidR="00B4351F" w:rsidRPr="00F74FAA" w:rsidRDefault="00B4351F" w:rsidP="00246293">
                  <w:pPr>
                    <w:pStyle w:val="Bullets"/>
                    <w:spacing w:line="240" w:lineRule="auto"/>
                    <w:ind w:left="0" w:firstLine="0"/>
                    <w:rPr>
                      <w:rFonts w:ascii="Cambria" w:hAnsi="Cambria" w:cs="Cambria"/>
                    </w:rPr>
                  </w:pPr>
                  <w:r w:rsidRPr="00F74FAA">
                    <w:rPr>
                      <w:rFonts w:ascii="Calibri" w:hAnsi="Calibri" w:cs="Calibri"/>
                    </w:rPr>
                    <w:t xml:space="preserve">East African countries were some of the first proponents of revenue-sharing and benefit-sharing around protected areas, and continue to have systems </w:t>
                  </w:r>
                  <w:r>
                    <w:rPr>
                      <w:rFonts w:ascii="Calibri" w:hAnsi="Calibri" w:cs="Calibri"/>
                    </w:rPr>
                    <w:t>that</w:t>
                  </w:r>
                  <w:r w:rsidRPr="00F74FAA">
                    <w:rPr>
                      <w:rFonts w:ascii="Calibri" w:hAnsi="Calibri" w:cs="Calibri"/>
                    </w:rPr>
                    <w:t xml:space="preserve"> are </w:t>
                  </w:r>
                  <w:r>
                    <w:rPr>
                      <w:rFonts w:ascii="Calibri" w:hAnsi="Calibri" w:cs="Calibri"/>
                    </w:rPr>
                    <w:t xml:space="preserve">relatively </w:t>
                  </w:r>
                  <w:r w:rsidRPr="00F74FAA">
                    <w:rPr>
                      <w:rFonts w:ascii="Calibri" w:hAnsi="Calibri" w:cs="Calibri"/>
                    </w:rPr>
                    <w:t xml:space="preserve">well developed. In Tanzania, the Support for Community Initiated Projects fund has operated for more than </w:t>
                  </w:r>
                  <w:r>
                    <w:rPr>
                      <w:rFonts w:ascii="Calibri" w:hAnsi="Calibri" w:cs="Calibri"/>
                    </w:rPr>
                    <w:t>15 years</w:t>
                  </w:r>
                  <w:r w:rsidRPr="00F74FAA">
                    <w:rPr>
                      <w:rFonts w:ascii="Calibri" w:hAnsi="Calibri" w:cs="Calibri"/>
                    </w:rPr>
                    <w:t xml:space="preserve">. This absorbs 7.5% of all the revenues earned by each </w:t>
                  </w:r>
                  <w:r>
                    <w:rPr>
                      <w:rFonts w:ascii="Calibri" w:hAnsi="Calibri" w:cs="Calibri"/>
                    </w:rPr>
                    <w:t>n</w:t>
                  </w:r>
                  <w:r w:rsidRPr="00F74FAA">
                    <w:rPr>
                      <w:rFonts w:ascii="Calibri" w:hAnsi="Calibri" w:cs="Calibri"/>
                    </w:rPr>
                    <w:t xml:space="preserve">ational </w:t>
                  </w:r>
                  <w:r>
                    <w:rPr>
                      <w:rFonts w:ascii="Calibri" w:hAnsi="Calibri" w:cs="Calibri"/>
                    </w:rPr>
                    <w:t>p</w:t>
                  </w:r>
                  <w:r w:rsidRPr="00F74FAA">
                    <w:rPr>
                      <w:rFonts w:ascii="Calibri" w:hAnsi="Calibri" w:cs="Calibri"/>
                    </w:rPr>
                    <w:t xml:space="preserve">ark in the country, and allocates them to assist local community development initiatives such as schools, health dispensaries, water schemes and roads. Similar schemes operate in neighbouring countries. The Kenya Wildlife Service allocates 25% of gate fees to local communities, in Rwanda 5% of five per cent of the total revenues from tourism are allocated to community development projects in areas surrounding National Parks, and since 1996 Uganda has formalised sharing 20% of protected area entry fees with adjacent </w:t>
                  </w:r>
                  <w:r>
                    <w:rPr>
                      <w:rFonts w:ascii="Calibri" w:hAnsi="Calibri" w:cs="Calibri"/>
                    </w:rPr>
                    <w:t>d</w:t>
                  </w:r>
                  <w:r w:rsidRPr="00F74FAA">
                    <w:rPr>
                      <w:rFonts w:ascii="Calibri" w:hAnsi="Calibri" w:cs="Calibri"/>
                    </w:rPr>
                    <w:t>istricts and communities</w:t>
                  </w:r>
                  <w:r w:rsidRPr="00F74FAA">
                    <w:rPr>
                      <w:rFonts w:ascii="Cambria" w:hAnsi="Cambria" w:cs="Cambria"/>
                    </w:rPr>
                    <w:t>.</w:t>
                  </w:r>
                </w:p>
              </w:txbxContent>
            </v:textbox>
            <w10:wrap type="square" anchorx="margin"/>
            <w10:anchorlock/>
          </v:shape>
        </w:pict>
      </w:r>
      <w:r w:rsidR="00351F2C" w:rsidRPr="00EC1298">
        <w:rPr>
          <w:rFonts w:ascii="Book Antiqua" w:hAnsi="Book Antiqua" w:cs="Arial"/>
        </w:rPr>
        <w:t xml:space="preserve">For this reason, there is broad consensus that local payment mechanisms to compensate </w:t>
      </w:r>
      <w:r w:rsidR="00480D3D">
        <w:rPr>
          <w:rFonts w:ascii="Book Antiqua" w:hAnsi="Book Antiqua" w:cs="Arial"/>
        </w:rPr>
        <w:t>REDD+</w:t>
      </w:r>
      <w:r w:rsidR="00351F2C" w:rsidRPr="00EC1298">
        <w:rPr>
          <w:rFonts w:ascii="Book Antiqua" w:hAnsi="Book Antiqua" w:cs="Arial"/>
        </w:rPr>
        <w:t xml:space="preserve"> opportunity costs must usually consider the provision of both cash and non-cash benefits, which will balance the monetary and non-monetary losses that forest land and resource users incur (Bond </w:t>
      </w:r>
      <w:r w:rsidR="00351F2C" w:rsidRPr="00EC1298">
        <w:rPr>
          <w:rFonts w:ascii="Book Antiqua" w:hAnsi="Book Antiqua" w:cs="Arial"/>
          <w:i/>
          <w:iCs/>
        </w:rPr>
        <w:t>et al</w:t>
      </w:r>
      <w:r w:rsidR="00351F2C" w:rsidRPr="00EC1298">
        <w:rPr>
          <w:rFonts w:ascii="Book Antiqua" w:hAnsi="Book Antiqua" w:cs="Arial"/>
        </w:rPr>
        <w:t xml:space="preserve"> 2009, Verchot and Petkova 2009). These BDSs must, in addition to covering costs, provide positive incentives for avoiding </w:t>
      </w:r>
      <w:r w:rsidR="00351F2C" w:rsidRPr="00EC1298">
        <w:rPr>
          <w:rFonts w:ascii="Book Antiqua" w:hAnsi="Book Antiqua" w:cs="Arial"/>
        </w:rPr>
        <w:lastRenderedPageBreak/>
        <w:t xml:space="preserve">deforestation and forest degradation (Peskett and Harkin 2007). </w:t>
      </w:r>
    </w:p>
    <w:p w:rsidR="00351F2C" w:rsidRPr="00EC1298" w:rsidRDefault="00351F2C" w:rsidP="00FF7504">
      <w:pPr>
        <w:spacing w:after="0"/>
        <w:jc w:val="both"/>
        <w:rPr>
          <w:rFonts w:ascii="Book Antiqua" w:hAnsi="Book Antiqua" w:cs="Arial"/>
        </w:rPr>
      </w:pPr>
    </w:p>
    <w:p w:rsidR="00351F2C" w:rsidRPr="00EC1298" w:rsidRDefault="00351F2C" w:rsidP="00FF7504">
      <w:pPr>
        <w:spacing w:after="0"/>
        <w:jc w:val="both"/>
        <w:rPr>
          <w:rFonts w:ascii="Book Antiqua" w:hAnsi="Book Antiqua" w:cs="Arial"/>
        </w:rPr>
      </w:pPr>
      <w:r w:rsidRPr="00EC1298">
        <w:rPr>
          <w:rFonts w:ascii="Book Antiqua" w:hAnsi="Book Antiqua" w:cs="Arial"/>
        </w:rPr>
        <w:t xml:space="preserve">This fact is well-recognised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where for at least the last decade most forest conservation programmes and projects have been designed to deliver both cash and non-cash benefits to participants. Examples are given in the next section of this chapter. This reflects common international conservation practice. Across most parts of the world, there is a long history of benefit-sharing in the conservation sector, driven by the need to provide concrete incentives for local authorities and adjacent communities to support conservation. Although examples from </w:t>
      </w:r>
      <w:r w:rsidR="00480D3D">
        <w:rPr>
          <w:rFonts w:ascii="Book Antiqua" w:hAnsi="Book Antiqua" w:cs="Arial"/>
        </w:rPr>
        <w:t>REDD+</w:t>
      </w:r>
      <w:r w:rsidRPr="00EC1298">
        <w:rPr>
          <w:rFonts w:ascii="Book Antiqua" w:hAnsi="Book Antiqua" w:cs="Arial"/>
        </w:rPr>
        <w:t xml:space="preserve"> projects are almost impossible to find due to the early stage of development that most projects are in, </w:t>
      </w:r>
      <w:fldSimple w:instr=" REF _Ref243118143 \h  \* MERGEFORMAT ">
        <w:r w:rsidR="00B4351F" w:rsidRPr="00B4351F">
          <w:rPr>
            <w:rFonts w:ascii="Book Antiqua" w:hAnsi="Book Antiqua" w:cs="Arial"/>
          </w:rPr>
          <w:t xml:space="preserve">Box </w:t>
        </w:r>
      </w:fldSimple>
      <w:r w:rsidRPr="00EC1298">
        <w:rPr>
          <w:rFonts w:ascii="Book Antiqua" w:hAnsi="Book Antiqua" w:cs="Arial"/>
        </w:rPr>
        <w:t xml:space="preserve">5.4 provides examples of the long-established benefit-sharing schemes which operate around most protected areas in </w:t>
      </w:r>
      <w:smartTag w:uri="urn:schemas-microsoft-com:office:smarttags" w:element="place">
        <w:r w:rsidRPr="00EC1298">
          <w:rPr>
            <w:rFonts w:ascii="Book Antiqua" w:hAnsi="Book Antiqua" w:cs="Arial"/>
          </w:rPr>
          <w:t>East Africa</w:t>
        </w:r>
      </w:smartTag>
      <w:r w:rsidRPr="00EC1298">
        <w:rPr>
          <w:rFonts w:ascii="Book Antiqua" w:hAnsi="Book Antiqua" w:cs="Arial"/>
        </w:rPr>
        <w:t>.</w:t>
      </w:r>
    </w:p>
    <w:p w:rsidR="00351F2C" w:rsidRPr="00EC1298" w:rsidRDefault="00351F2C" w:rsidP="00FF7504">
      <w:pPr>
        <w:spacing w:after="0"/>
        <w:jc w:val="both"/>
        <w:rPr>
          <w:rFonts w:ascii="Book Antiqua" w:hAnsi="Book Antiqua" w:cs="Arial"/>
        </w:rPr>
      </w:pPr>
    </w:p>
    <w:p w:rsidR="00351F2C" w:rsidRPr="00EC1298" w:rsidRDefault="00351F2C" w:rsidP="00FF7504">
      <w:pPr>
        <w:spacing w:after="0"/>
        <w:jc w:val="both"/>
        <w:rPr>
          <w:rFonts w:ascii="Book Antiqua" w:hAnsi="Book Antiqua" w:cs="Arial"/>
        </w:rPr>
      </w:pPr>
      <w:r w:rsidRPr="00EC1298">
        <w:rPr>
          <w:rFonts w:ascii="Book Antiqua" w:hAnsi="Book Antiqua" w:cs="Arial"/>
        </w:rPr>
        <w:t>In addition to the need to consider both cash and non-cash incentives alongside cost recovery, the topic of “</w:t>
      </w:r>
      <w:r w:rsidR="00480D3D">
        <w:rPr>
          <w:rFonts w:ascii="Book Antiqua" w:hAnsi="Book Antiqua" w:cs="Arial"/>
        </w:rPr>
        <w:t>REDD+</w:t>
      </w:r>
      <w:r w:rsidRPr="00EC1298">
        <w:rPr>
          <w:rFonts w:ascii="Book Antiqua" w:hAnsi="Book Antiqua" w:cs="Arial"/>
        </w:rPr>
        <w:t xml:space="preserve"> rent” has also stimulated a great deal of discussion at the international level in relation to BDSs. As described above (see </w:t>
      </w:r>
      <w:fldSimple w:instr=" REF _Ref242939165 \h  \* MERGEFORMAT ">
        <w:r w:rsidR="00B4351F" w:rsidRPr="00B4351F">
          <w:rPr>
            <w:rFonts w:ascii="Book Antiqua" w:hAnsi="Book Antiqua" w:cs="Arial"/>
          </w:rPr>
          <w:t xml:space="preserve">Figure </w:t>
        </w:r>
      </w:fldSimple>
      <w:r w:rsidRPr="00EC1298">
        <w:rPr>
          <w:rFonts w:ascii="Book Antiqua" w:hAnsi="Book Antiqua" w:cs="Arial"/>
        </w:rPr>
        <w:t>5.2), “</w:t>
      </w:r>
      <w:r w:rsidR="00480D3D">
        <w:rPr>
          <w:rFonts w:ascii="Book Antiqua" w:hAnsi="Book Antiqua" w:cs="Arial"/>
        </w:rPr>
        <w:t>REDD+</w:t>
      </w:r>
      <w:r w:rsidRPr="00EC1298">
        <w:rPr>
          <w:rFonts w:ascii="Book Antiqua" w:hAnsi="Book Antiqua" w:cs="Arial"/>
        </w:rPr>
        <w:t xml:space="preserve"> rent” is the premium or net benefit to governments, businesses or households of participating in </w:t>
      </w:r>
      <w:r w:rsidR="00480D3D">
        <w:rPr>
          <w:rFonts w:ascii="Book Antiqua" w:hAnsi="Book Antiqua" w:cs="Arial"/>
        </w:rPr>
        <w:t>REDD+</w:t>
      </w:r>
      <w:r w:rsidRPr="00EC1298">
        <w:rPr>
          <w:rFonts w:ascii="Book Antiqua" w:hAnsi="Book Antiqua" w:cs="Arial"/>
        </w:rPr>
        <w:t>, over and above recovery of the costs incurred to them</w:t>
      </w:r>
      <w:r w:rsidRPr="00EC1298">
        <w:rPr>
          <w:rStyle w:val="FootnoteReference"/>
          <w:rFonts w:ascii="Book Antiqua" w:hAnsi="Book Antiqua" w:cs="Arial"/>
        </w:rPr>
        <w:footnoteReference w:id="41"/>
      </w:r>
      <w:r w:rsidRPr="00EC1298">
        <w:rPr>
          <w:rFonts w:ascii="Book Antiqua" w:hAnsi="Book Antiqua" w:cs="Arial"/>
        </w:rPr>
        <w:t xml:space="preserve"> (Zarin </w:t>
      </w:r>
      <w:r w:rsidRPr="00EC1298">
        <w:rPr>
          <w:rFonts w:ascii="Book Antiqua" w:hAnsi="Book Antiqua" w:cs="Arial"/>
          <w:i/>
          <w:iCs/>
        </w:rPr>
        <w:t>et al</w:t>
      </w:r>
      <w:r w:rsidRPr="00EC1298">
        <w:rPr>
          <w:rFonts w:ascii="Book Antiqua" w:hAnsi="Book Antiqua" w:cs="Arial"/>
        </w:rPr>
        <w:t xml:space="preserve"> 2009). In many cases, inducing people (or countries) to avoid deforestation and forest degradation does not just require covering their costs, but also providing an additional bonus or reward for undertaking these actions. While it is generally accepted that some premium in addition to the costs should be reflected in the level of </w:t>
      </w:r>
      <w:r w:rsidR="00480D3D">
        <w:rPr>
          <w:rFonts w:ascii="Book Antiqua" w:hAnsi="Book Antiqua" w:cs="Arial"/>
        </w:rPr>
        <w:t>REDD+</w:t>
      </w:r>
      <w:r w:rsidRPr="00EC1298">
        <w:rPr>
          <w:rFonts w:ascii="Book Antiqua" w:hAnsi="Book Antiqua" w:cs="Arial"/>
        </w:rPr>
        <w:t xml:space="preserve"> payments made, there are obvious cautions that must be borne in mind (Bond </w:t>
      </w:r>
      <w:r w:rsidRPr="00EC1298">
        <w:rPr>
          <w:rFonts w:ascii="Book Antiqua" w:hAnsi="Book Antiqua" w:cs="Arial"/>
          <w:i/>
          <w:iCs/>
        </w:rPr>
        <w:t>et al</w:t>
      </w:r>
      <w:r w:rsidRPr="00EC1298">
        <w:rPr>
          <w:rFonts w:ascii="Book Antiqua" w:hAnsi="Book Antiqua" w:cs="Arial"/>
        </w:rPr>
        <w:t xml:space="preserve"> 2009). On the one hand, payment levels should minimise rent-seeking behaviour and ensure that </w:t>
      </w:r>
      <w:r w:rsidR="00480D3D">
        <w:rPr>
          <w:rFonts w:ascii="Book Antiqua" w:hAnsi="Book Antiqua" w:cs="Arial"/>
        </w:rPr>
        <w:t>REDD+</w:t>
      </w:r>
      <w:r w:rsidRPr="00EC1298">
        <w:rPr>
          <w:rFonts w:ascii="Book Antiqua" w:hAnsi="Book Antiqua" w:cs="Arial"/>
        </w:rPr>
        <w:t xml:space="preserve"> funds are used primarily to offset the costs of reducing emissions. However at the same time </w:t>
      </w:r>
      <w:r w:rsidR="00480D3D">
        <w:rPr>
          <w:rFonts w:ascii="Book Antiqua" w:hAnsi="Book Antiqua" w:cs="Arial"/>
        </w:rPr>
        <w:t>REDD+</w:t>
      </w:r>
      <w:r w:rsidRPr="00EC1298">
        <w:rPr>
          <w:rFonts w:ascii="Book Antiqua" w:hAnsi="Book Antiqua" w:cs="Arial"/>
        </w:rPr>
        <w:t xml:space="preserve"> rent may represent an important incentive for forest managers and users to participate in </w:t>
      </w:r>
      <w:r w:rsidR="00480D3D">
        <w:rPr>
          <w:rFonts w:ascii="Book Antiqua" w:hAnsi="Book Antiqua" w:cs="Arial"/>
        </w:rPr>
        <w:t>REDD+</w:t>
      </w:r>
      <w:r w:rsidRPr="00EC1298">
        <w:rPr>
          <w:rFonts w:ascii="Book Antiqua" w:hAnsi="Book Antiqua" w:cs="Arial"/>
        </w:rPr>
        <w:t xml:space="preserve">, and thus needs to be factored into calculations. </w:t>
      </w:r>
    </w:p>
    <w:p w:rsidR="00351F2C" w:rsidRPr="00445F77" w:rsidRDefault="00351F2C" w:rsidP="00FF7504">
      <w:pPr>
        <w:spacing w:after="0"/>
        <w:rPr>
          <w:rFonts w:ascii="Arial" w:hAnsi="Arial" w:cs="Arial"/>
          <w:sz w:val="24"/>
          <w:szCs w:val="24"/>
        </w:rPr>
      </w:pPr>
    </w:p>
    <w:p w:rsidR="00351F2C" w:rsidRPr="00445F77" w:rsidRDefault="00351F2C" w:rsidP="00FF7504">
      <w:pPr>
        <w:pStyle w:val="Heading2"/>
        <w:spacing w:before="0" w:after="0"/>
        <w:rPr>
          <w:rFonts w:ascii="Arial" w:hAnsi="Arial" w:cs="Arial"/>
          <w:sz w:val="24"/>
          <w:szCs w:val="24"/>
        </w:rPr>
      </w:pPr>
      <w:bookmarkStart w:id="316" w:name="_Toc242777309"/>
      <w:bookmarkStart w:id="317" w:name="_Toc242848564"/>
      <w:bookmarkStart w:id="318" w:name="_Toc242872654"/>
      <w:bookmarkStart w:id="319" w:name="_Toc242927144"/>
      <w:bookmarkStart w:id="320" w:name="_Toc242942786"/>
      <w:bookmarkStart w:id="321" w:name="_Ref243026565"/>
      <w:bookmarkStart w:id="322" w:name="_Toc243740833"/>
      <w:bookmarkStart w:id="323" w:name="_Toc244735662"/>
      <w:bookmarkStart w:id="324" w:name="_Toc252354739"/>
      <w:r w:rsidRPr="00445F77">
        <w:rPr>
          <w:rFonts w:ascii="Arial" w:hAnsi="Arial" w:cs="Arial"/>
          <w:sz w:val="24"/>
          <w:szCs w:val="24"/>
        </w:rPr>
        <w:t xml:space="preserve">5.3 </w:t>
      </w:r>
      <w:bookmarkStart w:id="325" w:name="_Toc243984143"/>
      <w:bookmarkStart w:id="326" w:name="_Toc244327669"/>
      <w:bookmarkStart w:id="327" w:name="_Toc244327919"/>
      <w:bookmarkStart w:id="328" w:name="_Toc244735078"/>
      <w:r w:rsidRPr="00445F77">
        <w:rPr>
          <w:rFonts w:ascii="Arial" w:hAnsi="Arial" w:cs="Arial"/>
          <w:sz w:val="24"/>
          <w:szCs w:val="24"/>
        </w:rPr>
        <w:t xml:space="preserve">Review of approaches and principles for allocating and retaining conservation payments in </w:t>
      </w:r>
      <w:smartTag w:uri="urn:schemas-microsoft-com:office:smarttags" w:element="country-region">
        <w:smartTag w:uri="urn:schemas-microsoft-com:office:smarttags" w:element="place">
          <w:r w:rsidRPr="00445F77">
            <w:rPr>
              <w:rFonts w:ascii="Arial" w:hAnsi="Arial" w:cs="Arial"/>
              <w:sz w:val="24"/>
              <w:szCs w:val="24"/>
            </w:rPr>
            <w:t>Viet Nam</w:t>
          </w:r>
        </w:smartTag>
      </w:smartTag>
      <w:bookmarkEnd w:id="316"/>
      <w:bookmarkEnd w:id="317"/>
      <w:bookmarkEnd w:id="318"/>
      <w:bookmarkEnd w:id="319"/>
      <w:bookmarkEnd w:id="320"/>
      <w:bookmarkEnd w:id="321"/>
      <w:bookmarkEnd w:id="322"/>
      <w:bookmarkEnd w:id="323"/>
      <w:bookmarkEnd w:id="324"/>
      <w:bookmarkEnd w:id="325"/>
      <w:bookmarkEnd w:id="326"/>
      <w:bookmarkEnd w:id="327"/>
      <w:bookmarkEnd w:id="328"/>
      <w:r w:rsidRPr="00445F77">
        <w:rPr>
          <w:rFonts w:ascii="Arial" w:hAnsi="Arial" w:cs="Arial"/>
          <w:sz w:val="24"/>
          <w:szCs w:val="24"/>
        </w:rPr>
        <w:t xml:space="preserve"> </w:t>
      </w:r>
    </w:p>
    <w:p w:rsidR="00351F2C" w:rsidRPr="00EC1298" w:rsidRDefault="00351F2C" w:rsidP="00FF7504">
      <w:pPr>
        <w:spacing w:after="0"/>
        <w:jc w:val="both"/>
        <w:rPr>
          <w:rFonts w:ascii="Book Antiqua" w:hAnsi="Book Antiqua" w:cs="Arial"/>
        </w:rPr>
      </w:pPr>
      <w:r w:rsidRPr="00EC1298">
        <w:rPr>
          <w:rFonts w:ascii="Book Antiqua" w:hAnsi="Book Antiqua" w:cs="Arial"/>
        </w:rPr>
        <w:t>A review of past and ongoing forest conservation initiatives in Viet Nam shows that many examples and lessons have been generated on the three topics considered in this chapter, namely: approaches to providing incentives to conserve forests or avoid deforestation, criteria for setting the levels of payment or revenue-sharing that is offered to reward local forest conservation, and principles for determining the proportion of funding that is retained by government and other groups.</w:t>
      </w:r>
    </w:p>
    <w:p w:rsidR="00351F2C" w:rsidRPr="00445F77" w:rsidRDefault="00351F2C" w:rsidP="00FF7504">
      <w:pPr>
        <w:spacing w:after="0"/>
        <w:rPr>
          <w:rFonts w:ascii="Arial" w:hAnsi="Arial" w:cs="Arial"/>
          <w:sz w:val="24"/>
          <w:szCs w:val="24"/>
        </w:rPr>
      </w:pPr>
    </w:p>
    <w:p w:rsidR="00351F2C" w:rsidRPr="00445F77" w:rsidRDefault="00351F2C" w:rsidP="00FF7504">
      <w:pPr>
        <w:pStyle w:val="Heading3"/>
        <w:spacing w:before="0" w:after="0"/>
        <w:rPr>
          <w:rFonts w:ascii="Arial" w:hAnsi="Arial" w:cs="Arial"/>
        </w:rPr>
      </w:pPr>
      <w:bookmarkStart w:id="329" w:name="_Toc243740834"/>
      <w:bookmarkStart w:id="330" w:name="_Toc243984144"/>
      <w:bookmarkStart w:id="331" w:name="_Toc244327670"/>
      <w:bookmarkStart w:id="332" w:name="_Toc244327920"/>
      <w:bookmarkStart w:id="333" w:name="_Toc244735079"/>
      <w:bookmarkStart w:id="334" w:name="_Toc249079553"/>
      <w:r w:rsidRPr="00445F77">
        <w:rPr>
          <w:rFonts w:ascii="Arial" w:hAnsi="Arial" w:cs="Arial"/>
        </w:rPr>
        <w:t>Providing economic incentives for forest conservation</w:t>
      </w:r>
      <w:bookmarkEnd w:id="329"/>
      <w:bookmarkEnd w:id="330"/>
      <w:bookmarkEnd w:id="331"/>
      <w:bookmarkEnd w:id="332"/>
      <w:bookmarkEnd w:id="333"/>
      <w:bookmarkEnd w:id="334"/>
    </w:p>
    <w:p w:rsidR="00351F2C" w:rsidRPr="00EC1298" w:rsidRDefault="00C47C3B" w:rsidP="00522F5C">
      <w:pPr>
        <w:spacing w:after="0"/>
        <w:jc w:val="both"/>
        <w:rPr>
          <w:rFonts w:ascii="Book Antiqua" w:hAnsi="Book Antiqua" w:cs="Arial"/>
        </w:rPr>
      </w:pPr>
      <w:r w:rsidRPr="00C47C3B">
        <w:rPr>
          <w:rFonts w:ascii="Arial" w:hAnsi="Arial" w:cs="Arial"/>
          <w:noProof/>
          <w:sz w:val="24"/>
          <w:szCs w:val="24"/>
          <w:lang w:val="en-US"/>
        </w:rPr>
        <w:lastRenderedPageBreak/>
        <w:pict>
          <v:shape id="_x0000_s1509" type="#_x0000_t202" style="position:absolute;left:0;text-align:left;margin-left:-1.4pt;margin-top:9.45pt;width:452.35pt;height:48.55pt;z-index:251628032;mso-position-horizontal-relative:margin" fillcolor="#dbe5f1" strokecolor="#1f497d" strokeweight="1.5pt">
            <v:shadow on="t" color="#365f91" opacity=".5" offset="4pt,4pt" offset2="-4pt,-4pt"/>
            <v:textbox style="mso-next-textbox:#_x0000_s1509" inset="1.5mm,1.5mm,1.5mm,1.5mm">
              <w:txbxContent>
                <w:p w:rsidR="00B4351F" w:rsidRPr="00F74FAA" w:rsidRDefault="00B4351F" w:rsidP="00246293">
                  <w:pPr>
                    <w:pStyle w:val="Bullets"/>
                    <w:spacing w:before="0" w:line="240" w:lineRule="auto"/>
                    <w:ind w:left="0" w:firstLine="0"/>
                    <w:rPr>
                      <w:rFonts w:ascii="Calibri" w:hAnsi="Calibri" w:cs="Calibri"/>
                    </w:rPr>
                  </w:pPr>
                  <w:r w:rsidRPr="00F74FAA">
                    <w:rPr>
                      <w:rFonts w:ascii="Calibri" w:hAnsi="Calibri" w:cs="Calibri"/>
                    </w:rPr>
                    <w:t xml:space="preserve">It has become relatively common practice in </w:t>
                  </w:r>
                  <w:smartTag w:uri="urn:schemas-microsoft-com:office:smarttags" w:element="country-region">
                    <w:smartTag w:uri="urn:schemas-microsoft-com:office:smarttags" w:element="place">
                      <w:r w:rsidRPr="00F74FAA">
                        <w:rPr>
                          <w:rFonts w:ascii="Calibri" w:hAnsi="Calibri" w:cs="Calibri"/>
                        </w:rPr>
                        <w:t>Viet Nam</w:t>
                      </w:r>
                    </w:smartTag>
                  </w:smartTag>
                  <w:r w:rsidRPr="00F74FAA">
                    <w:rPr>
                      <w:rFonts w:ascii="Calibri" w:hAnsi="Calibri" w:cs="Calibri"/>
                    </w:rPr>
                    <w:t xml:space="preserve"> to ensure that economic incentives or rewards for local participation are incorporated into forest conservation activities – although the identification of just what constitute sufficient incentives for local communities is still very much evolving.</w:t>
                  </w:r>
                </w:p>
              </w:txbxContent>
            </v:textbox>
            <w10:wrap type="square" anchorx="margin"/>
            <w10:anchorlock/>
          </v:shape>
        </w:pict>
      </w:r>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Approaches to forest conservation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have shown something of a shift in focus over the last decade: from approaches that emphasised strict protection, through integrated conservation and development models, to the growing use of market-based instruments such as payments for environmental services. There is now a recognition of the need  to ensure that economic incentives or rewards for local participation are incorporated into forest conservation activities, although the identification of just what constitute sufficient incentives for local communities is still very much evolving. </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As of 2001, integrated conservation and development projects were being implemented in more than twenty SUFs and other protected areas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All were founded on a recognition of the need to factor local benefits into conservation planning and practice, and incorporated some level of economic, development and livelihood incentives for local communities. According to a review commissioned by the FPD and various international donors, the traditional community development activities that had been implemented in these projects (such as construction of roads, electricity lines, health clinics and schools; agricultural extension; animal husbandry; rural credit, etc.) had in fact had only limited success (Sage and Cu 2001). A major reason for this was their weak link to conservation objectives, and lack of targeting to the actual threats that forests and protected areas face.</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A </w:t>
      </w:r>
      <w:r w:rsidR="000D7D36" w:rsidRPr="00EC1298">
        <w:rPr>
          <w:rFonts w:ascii="Book Antiqua" w:hAnsi="Book Antiqua" w:cs="Arial"/>
        </w:rPr>
        <w:t>review of</w:t>
      </w:r>
      <w:r w:rsidRPr="00EC1298">
        <w:rPr>
          <w:rFonts w:ascii="Book Antiqua" w:hAnsi="Book Antiqua" w:cs="Arial"/>
        </w:rPr>
        <w:t xml:space="preserve"> the </w:t>
      </w:r>
      <w:r w:rsidR="000D7D36">
        <w:rPr>
          <w:rFonts w:ascii="Book Antiqua" w:hAnsi="Book Antiqua" w:cs="Arial"/>
        </w:rPr>
        <w:t>DoF</w:t>
      </w:r>
      <w:r w:rsidRPr="00EC1298">
        <w:rPr>
          <w:rFonts w:ascii="Book Antiqua" w:hAnsi="Book Antiqua" w:cs="Arial"/>
        </w:rPr>
        <w:t>’s Community Forestry Pilot Project reaches a similar conclusion (Gilmour and Diem 2008). It notes that although progress has been made in developing forest protection and development plans as well as in forest and forest land allocation to village communities, there remain inadequate financial and economic incentives to encourage village communities to participate in sustainable forest management. The social and financial costs involved in undertaking community forest management can be substantial: there are economic consequences associated with these costs that are often quite severe, particularly for poor people who might have to forego income generating activities in order to participate. Unless initiatives simultaneously ensure that an appropriate level of benefits is generated to offset these costs and to meet local subsistence and income needs, then the uptake and sustainability of community forestry may remain limited.</w:t>
      </w:r>
    </w:p>
    <w:p w:rsidR="00351F2C" w:rsidRPr="00EC1298" w:rsidRDefault="00351F2C" w:rsidP="00522F5C">
      <w:pPr>
        <w:spacing w:after="0"/>
        <w:jc w:val="both"/>
        <w:rPr>
          <w:rFonts w:ascii="Book Antiqua" w:hAnsi="Book Antiqua" w:cs="Arial"/>
        </w:rPr>
      </w:pPr>
    </w:p>
    <w:p w:rsidR="00351F2C" w:rsidRPr="00EC1298" w:rsidRDefault="00351F2C" w:rsidP="00FF7504">
      <w:pPr>
        <w:spacing w:after="0"/>
        <w:jc w:val="both"/>
        <w:rPr>
          <w:rFonts w:ascii="Book Antiqua" w:hAnsi="Book Antiqua" w:cs="Arial"/>
        </w:rPr>
      </w:pPr>
      <w:r w:rsidRPr="00EC1298">
        <w:rPr>
          <w:rFonts w:ascii="Book Antiqua" w:hAnsi="Book Antiqua" w:cs="Arial"/>
        </w:rPr>
        <w:t xml:space="preserve">A number of MARD-led initiatives have made efforts to overcome these problems and have shown some success in achieving the balance of enforcement, benefits and incentives that are required to engage landholders in forest conservation and sustainable use. Two examples are given below. The “Creating Protected Areas for Resource Conservation in </w:t>
      </w:r>
      <w:smartTag w:uri="urn:schemas-microsoft-com:office:smarttags" w:element="country-region">
        <w:r w:rsidR="00480D3D">
          <w:rPr>
            <w:rFonts w:ascii="Book Antiqua" w:hAnsi="Book Antiqua" w:cs="Arial"/>
          </w:rPr>
          <w:t>Viet Nam</w:t>
        </w:r>
      </w:smartTag>
      <w:r w:rsidRPr="00EC1298">
        <w:rPr>
          <w:rFonts w:ascii="Book Antiqua" w:hAnsi="Book Antiqua" w:cs="Arial"/>
        </w:rPr>
        <w:t xml:space="preserve"> Using a Landscape Ecology Approach” or PARC project for example piloted a number of innovative activities linking conservation management objectives with the welfare goals of local communities around Ba Be and </w:t>
      </w:r>
      <w:smartTag w:uri="urn:schemas-microsoft-com:office:smarttags" w:element="place">
        <w:smartTag w:uri="urn:schemas-microsoft-com:office:smarttags" w:element="PlaceName">
          <w:r w:rsidRPr="00EC1298">
            <w:rPr>
              <w:rFonts w:ascii="Book Antiqua" w:hAnsi="Book Antiqua" w:cs="Arial"/>
            </w:rPr>
            <w:t>Yok Don</w:t>
          </w:r>
        </w:smartTag>
        <w:r w:rsidRPr="00EC1298">
          <w:rPr>
            <w:rFonts w:ascii="Book Antiqua" w:hAnsi="Book Antiqua" w:cs="Arial"/>
          </w:rPr>
          <w:t xml:space="preserve"> </w:t>
        </w:r>
        <w:smartTag w:uri="urn:schemas-microsoft-com:office:smarttags" w:element="PlaceType">
          <w:r w:rsidRPr="00EC1298">
            <w:rPr>
              <w:rFonts w:ascii="Book Antiqua" w:hAnsi="Book Antiqua" w:cs="Arial"/>
            </w:rPr>
            <w:t>National Parks</w:t>
          </w:r>
        </w:smartTag>
      </w:smartTag>
      <w:r w:rsidRPr="00EC1298">
        <w:rPr>
          <w:rFonts w:ascii="Book Antiqua" w:hAnsi="Book Antiqua" w:cs="Arial"/>
        </w:rPr>
        <w:t xml:space="preserve"> and Na </w:t>
      </w:r>
      <w:r w:rsidRPr="00EC1298">
        <w:rPr>
          <w:rFonts w:ascii="Book Antiqua" w:hAnsi="Book Antiqua" w:cs="Arial"/>
        </w:rPr>
        <w:lastRenderedPageBreak/>
        <w:t xml:space="preserve">Hang Nature Reserve. The Project for the Sustainable Use of Non-Timber Forest Products was founded on interventions that could contribute both to forest conservation and economic advancement in Ha Tinh and </w:t>
      </w:r>
      <w:smartTag w:uri="urn:schemas-microsoft-com:office:smarttags" w:element="place">
        <w:smartTag w:uri="urn:schemas-microsoft-com:office:smarttags" w:element="PlaceName">
          <w:r w:rsidRPr="00EC1298">
            <w:rPr>
              <w:rFonts w:ascii="Book Antiqua" w:hAnsi="Book Antiqua" w:cs="Arial"/>
            </w:rPr>
            <w:t>Bac</w:t>
          </w:r>
        </w:smartTag>
        <w:r w:rsidRPr="00EC1298">
          <w:rPr>
            <w:rFonts w:ascii="Book Antiqua" w:hAnsi="Book Antiqua" w:cs="Arial"/>
          </w:rPr>
          <w:t xml:space="preserve"> </w:t>
        </w:r>
        <w:smartTag w:uri="urn:schemas-microsoft-com:office:smarttags" w:element="PlaceName">
          <w:r w:rsidRPr="00EC1298">
            <w:rPr>
              <w:rFonts w:ascii="Book Antiqua" w:hAnsi="Book Antiqua" w:cs="Arial"/>
            </w:rPr>
            <w:t>Kan</w:t>
          </w:r>
        </w:smartTag>
        <w:r w:rsidRPr="00EC1298">
          <w:rPr>
            <w:rFonts w:ascii="Book Antiqua" w:hAnsi="Book Antiqua" w:cs="Arial"/>
          </w:rPr>
          <w:t xml:space="preserve"> </w:t>
        </w:r>
        <w:smartTag w:uri="urn:schemas-microsoft-com:office:smarttags" w:element="PlaceType">
          <w:r w:rsidRPr="00EC1298">
            <w:rPr>
              <w:rFonts w:ascii="Book Antiqua" w:hAnsi="Book Antiqua" w:cs="Arial"/>
            </w:rPr>
            <w:t>Provinces</w:t>
          </w:r>
        </w:smartTag>
      </w:smartTag>
      <w:r w:rsidRPr="00EC1298">
        <w:rPr>
          <w:rFonts w:ascii="Book Antiqua" w:hAnsi="Book Antiqua" w:cs="Arial"/>
        </w:rPr>
        <w:t xml:space="preserve">. They thus dealt explicitly with the need to provide cash and non-cash incentives for forest conservation through the generation of a variety of economic and other benefits. The most successful interventions were those that yielded substantially higher returns than traditional crops, produced non-cash benefits such as timber and fuelwood, and introduced new cultivation technologies and species that allowed farmers to recuperate degraded soils, diversify crop structures and increase production levels (Morris </w:t>
      </w:r>
      <w:r w:rsidRPr="00EC1298">
        <w:rPr>
          <w:rFonts w:ascii="Book Antiqua" w:hAnsi="Book Antiqua" w:cs="Arial"/>
          <w:i/>
          <w:iCs/>
        </w:rPr>
        <w:t>et al</w:t>
      </w:r>
      <w:r w:rsidRPr="00EC1298">
        <w:rPr>
          <w:rFonts w:ascii="Book Antiqua" w:hAnsi="Book Antiqua" w:cs="Arial"/>
        </w:rPr>
        <w:t xml:space="preserve"> 2004). </w:t>
      </w:r>
    </w:p>
    <w:p w:rsidR="00351F2C" w:rsidRPr="00445F77" w:rsidRDefault="00351F2C" w:rsidP="00FF7504">
      <w:pPr>
        <w:spacing w:after="0"/>
        <w:rPr>
          <w:rFonts w:ascii="Arial" w:hAnsi="Arial" w:cs="Arial"/>
          <w:sz w:val="24"/>
          <w:szCs w:val="24"/>
        </w:rPr>
      </w:pPr>
    </w:p>
    <w:p w:rsidR="00351F2C" w:rsidRPr="00445F77" w:rsidRDefault="00351F2C" w:rsidP="00FF7504">
      <w:pPr>
        <w:pStyle w:val="Heading3"/>
        <w:spacing w:before="0" w:after="0"/>
        <w:rPr>
          <w:rFonts w:ascii="Arial" w:hAnsi="Arial" w:cs="Arial"/>
        </w:rPr>
      </w:pPr>
      <w:bookmarkStart w:id="335" w:name="_Toc243740835"/>
      <w:bookmarkStart w:id="336" w:name="_Toc243984145"/>
      <w:bookmarkStart w:id="337" w:name="_Toc244327671"/>
      <w:bookmarkStart w:id="338" w:name="_Toc244327921"/>
      <w:bookmarkStart w:id="339" w:name="_Toc244735080"/>
      <w:bookmarkStart w:id="340" w:name="_Toc249079554"/>
      <w:r w:rsidRPr="00445F77">
        <w:rPr>
          <w:rFonts w:ascii="Arial" w:hAnsi="Arial" w:cs="Arial"/>
        </w:rPr>
        <w:t>Setting payment levels</w:t>
      </w:r>
      <w:bookmarkEnd w:id="335"/>
      <w:bookmarkEnd w:id="336"/>
      <w:bookmarkEnd w:id="337"/>
      <w:bookmarkEnd w:id="338"/>
      <w:bookmarkEnd w:id="339"/>
      <w:bookmarkEnd w:id="340"/>
    </w:p>
    <w:p w:rsidR="00351F2C" w:rsidRPr="00445F77" w:rsidRDefault="00C47C3B" w:rsidP="00522F5C">
      <w:pPr>
        <w:spacing w:after="0"/>
        <w:jc w:val="both"/>
        <w:rPr>
          <w:rFonts w:ascii="Arial" w:hAnsi="Arial" w:cs="Arial"/>
          <w:sz w:val="24"/>
          <w:szCs w:val="24"/>
        </w:rPr>
      </w:pPr>
      <w:r>
        <w:rPr>
          <w:rFonts w:ascii="Arial" w:hAnsi="Arial" w:cs="Arial"/>
          <w:noProof/>
          <w:sz w:val="24"/>
          <w:szCs w:val="24"/>
          <w:lang w:val="en-US"/>
        </w:rPr>
        <w:pict>
          <v:shape id="_x0000_s1510" type="#_x0000_t202" style="position:absolute;left:0;text-align:left;margin-left:.6pt;margin-top:6.95pt;width:451.35pt;height:95.45pt;z-index:251629056;mso-position-horizontal-relative:margin" fillcolor="#dbe5f1" strokecolor="#1f497d" strokeweight="1.5pt">
            <v:shadow on="t" color="#365f91" opacity=".5" offset="4pt,4pt" offset2="-4pt,-4pt"/>
            <v:textbox style="mso-next-textbox:#_x0000_s1510;mso-fit-shape-to-text:t" inset="1.5mm,1.5mm,1.5mm,1.5mm">
              <w:txbxContent>
                <w:p w:rsidR="00B4351F" w:rsidRPr="00F74FAA" w:rsidRDefault="00B4351F" w:rsidP="00246293">
                  <w:pPr>
                    <w:pStyle w:val="Bullets"/>
                    <w:spacing w:before="0" w:line="240" w:lineRule="auto"/>
                    <w:ind w:left="0" w:firstLine="0"/>
                    <w:rPr>
                      <w:rFonts w:ascii="Calibri" w:hAnsi="Calibri" w:cs="Calibri"/>
                    </w:rPr>
                  </w:pPr>
                  <w:r w:rsidRPr="00F74FAA">
                    <w:rPr>
                      <w:rFonts w:ascii="Calibri" w:hAnsi="Calibri" w:cs="Calibri"/>
                    </w:rPr>
                    <w:t xml:space="preserve">The principle of making direct payments to households, individuals and companies to reward or compensate them for forest conservation activities was established in </w:t>
                  </w:r>
                  <w:smartTag w:uri="urn:schemas-microsoft-com:office:smarttags" w:element="country-region">
                    <w:smartTag w:uri="urn:schemas-microsoft-com:office:smarttags" w:element="place">
                      <w:r w:rsidRPr="00F74FAA">
                        <w:rPr>
                          <w:rFonts w:ascii="Calibri" w:hAnsi="Calibri" w:cs="Calibri"/>
                        </w:rPr>
                        <w:t>Viet Nam</w:t>
                      </w:r>
                    </w:smartTag>
                  </w:smartTag>
                  <w:r w:rsidRPr="00F74FAA">
                    <w:rPr>
                      <w:rFonts w:ascii="Calibri" w:hAnsi="Calibri" w:cs="Calibri"/>
                    </w:rPr>
                    <w:t xml:space="preserve"> with the introduction of the 661 Programme. A more market-driven approach has been adopted under recent PES schemes. Calculations that guide the level at which payments are set do not however reflect the costs of undertaking forest conservation activities: they are set administratively and determined largely by the value of the service provided as conceived by the government (661 Programme) or buyer (PES). There is some evidence that this may reduce the effectiveness of these payment schemes.</w:t>
                  </w:r>
                </w:p>
              </w:txbxContent>
            </v:textbox>
            <w10:wrap type="square" anchorx="margin"/>
            <w10:anchorlock/>
          </v:shape>
        </w:pict>
      </w:r>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The principle of making direct payments to individuals (or enterprises) to reward or compensate them for forest conservation has become relatively well-established across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as a result of the 661 Programme. More recently,</w:t>
      </w:r>
      <w:r w:rsidR="001B6D90">
        <w:rPr>
          <w:rFonts w:ascii="Book Antiqua" w:hAnsi="Book Antiqua" w:cs="Arial"/>
        </w:rPr>
        <w:t xml:space="preserve"> PFES</w:t>
      </w:r>
      <w:r w:rsidRPr="00EC1298">
        <w:rPr>
          <w:rFonts w:ascii="Book Antiqua" w:hAnsi="Book Antiqua" w:cs="Arial"/>
        </w:rPr>
        <w:t xml:space="preserve"> schemes being piloted in Lam Dong and Son La Provinces have extended this approach from a reliance on transfers made by the government to payments which originate from the actual users of environmental services. This shift to a more market-driven model has been accompanied by an increasingly sophisticated approach to setting the level of payments. Even under</w:t>
      </w:r>
      <w:r w:rsidR="001B6D90">
        <w:rPr>
          <w:rFonts w:ascii="Book Antiqua" w:hAnsi="Book Antiqua" w:cs="Arial"/>
        </w:rPr>
        <w:t xml:space="preserve"> PFES</w:t>
      </w:r>
      <w:r w:rsidRPr="00EC1298">
        <w:rPr>
          <w:rFonts w:ascii="Book Antiqua" w:hAnsi="Book Antiqua" w:cs="Arial"/>
        </w:rPr>
        <w:t>, price determination however remains somewhat lopsided and demand-driven: payments are largely set by the value of the environmental service to the buyer, not according to the costs of production incurred to the communities who provide the service.</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The 661 Programme is the prime example of how payments to landholders have been linked to the delivery of particular forest management practices. The background and principles will not be reiterated here,</w:t>
      </w:r>
      <w:r w:rsidRPr="00EC1298">
        <w:rPr>
          <w:rFonts w:ascii="Book Antiqua" w:hAnsi="Book Antiqua" w:cs="Arial"/>
          <w:i/>
          <w:iCs/>
        </w:rPr>
        <w:t xml:space="preserve"> </w:t>
      </w:r>
      <w:r w:rsidRPr="00EC1298">
        <w:rPr>
          <w:rFonts w:ascii="Book Antiqua" w:hAnsi="Book Antiqua" w:cs="Arial"/>
        </w:rPr>
        <w:t xml:space="preserve">as they are already described in detail elsewhere in this document (see sections 3.2 and 5.1). The programme yields a number of important lessons learned for </w:t>
      </w:r>
      <w:r w:rsidR="00480D3D">
        <w:rPr>
          <w:rFonts w:ascii="Book Antiqua" w:hAnsi="Book Antiqua" w:cs="Arial"/>
        </w:rPr>
        <w:t>REDD+</w:t>
      </w:r>
      <w:r w:rsidRPr="00EC1298">
        <w:rPr>
          <w:rFonts w:ascii="Book Antiqua" w:hAnsi="Book Antiqua" w:cs="Arial"/>
        </w:rPr>
        <w:t xml:space="preserve"> with respect to the level of payments made to contract holders. Several authors have questioned whether the low level of payments in Programme 661 are in fact enough to compensate for the opportunity costs of protecting or restoring forest, as compared to more profitable cash crops. One reason given is that payment levels have been set administratively, rather than being based on an analysis of the real opportunity costs of the activity (Wertz-Kanounnikoff and Kongphan-Apirak 2008). </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For example, during consultations conducted with 661 Programme participants in various parts of the country in 2004 (Wunder </w:t>
      </w:r>
      <w:r w:rsidRPr="00EC1298">
        <w:rPr>
          <w:rFonts w:ascii="Book Antiqua" w:hAnsi="Book Antiqua" w:cs="Arial"/>
          <w:i/>
          <w:iCs/>
        </w:rPr>
        <w:t>et al</w:t>
      </w:r>
      <w:r w:rsidRPr="00EC1298">
        <w:rPr>
          <w:rFonts w:ascii="Book Antiqua" w:hAnsi="Book Antiqua" w:cs="Arial"/>
        </w:rPr>
        <w:t xml:space="preserve"> 2005), it appeared that the (then) payment rates </w:t>
      </w:r>
      <w:r w:rsidRPr="00EC1298">
        <w:rPr>
          <w:rFonts w:ascii="Book Antiqua" w:hAnsi="Book Antiqua" w:cs="Arial"/>
        </w:rPr>
        <w:lastRenderedPageBreak/>
        <w:t xml:space="preserve">of around US$3 or VND 50,000 per hectare were perceived by most recipients as too low to have significant livelihood impacts, and thus also too low to trigger changes in their resource-use behaviour. In contrast, higher payment levels for reforestation and tending the newly planted forest (up to US$160 or VND 2.5 million per hectare) seemed to be working well, both because they made a real difference to household livelihoods and due to the fact that they were coupled with technical assistance. It is worth emphasising, however, that there was observed to be great variation in the acceptability of the sums being offered between different sites. Payments were considered trivial by participants in Cu Lao Cham Island in </w:t>
      </w:r>
      <w:smartTag w:uri="urn:schemas-microsoft-com:office:smarttags" w:element="place">
        <w:smartTag w:uri="urn:schemas-microsoft-com:office:smarttags" w:element="PlaceName">
          <w:r w:rsidRPr="00EC1298">
            <w:rPr>
              <w:rFonts w:ascii="Book Antiqua" w:hAnsi="Book Antiqua" w:cs="Arial"/>
            </w:rPr>
            <w:t>Quang</w:t>
          </w:r>
        </w:smartTag>
        <w:r w:rsidRPr="00EC1298">
          <w:rPr>
            <w:rFonts w:ascii="Book Antiqua" w:hAnsi="Book Antiqua" w:cs="Arial"/>
          </w:rPr>
          <w:t xml:space="preserve"> </w:t>
        </w:r>
        <w:smartTag w:uri="urn:schemas-microsoft-com:office:smarttags" w:element="PlaceName">
          <w:r w:rsidRPr="00EC1298">
            <w:rPr>
              <w:rFonts w:ascii="Book Antiqua" w:hAnsi="Book Antiqua" w:cs="Arial"/>
            </w:rPr>
            <w:t>Nam</w:t>
          </w:r>
        </w:smartTag>
        <w:r w:rsidRPr="00EC1298">
          <w:rPr>
            <w:rFonts w:ascii="Book Antiqua" w:hAnsi="Book Antiqua" w:cs="Arial"/>
          </w:rPr>
          <w:t xml:space="preserve"> </w:t>
        </w:r>
        <w:smartTag w:uri="urn:schemas-microsoft-com:office:smarttags" w:element="PlaceType">
          <w:r w:rsidRPr="00EC1298">
            <w:rPr>
              <w:rFonts w:ascii="Book Antiqua" w:hAnsi="Book Antiqua" w:cs="Arial"/>
            </w:rPr>
            <w:t>Province</w:t>
          </w:r>
        </w:smartTag>
      </w:smartTag>
      <w:r w:rsidRPr="00EC1298">
        <w:rPr>
          <w:rFonts w:ascii="Book Antiqua" w:hAnsi="Book Antiqua" w:cs="Arial"/>
        </w:rPr>
        <w:t xml:space="preserve"> and as a consequence, contracted households were not economically motivated and did not put much work into forest protection. In contrast, in Thua Thien Hue Province’s A Luoi District, the monthly income from a forest protection contract is VND 300,000 (about US$20) per contracted household, which is quite significant compared to the per-capita monthly average monetary income of ethnic minority households (equivalent to around US$5).</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It is too early to determine whether the level of rewards offered under</w:t>
      </w:r>
      <w:r w:rsidR="001B6D90">
        <w:rPr>
          <w:rFonts w:ascii="Book Antiqua" w:hAnsi="Book Antiqua" w:cs="Arial"/>
        </w:rPr>
        <w:t xml:space="preserve"> PFES</w:t>
      </w:r>
      <w:r w:rsidRPr="00EC1298">
        <w:rPr>
          <w:rFonts w:ascii="Book Antiqua" w:hAnsi="Book Antiqua" w:cs="Arial"/>
        </w:rPr>
        <w:t xml:space="preserve"> schemes in Lam Dong and Son La Provinces will act as sufficient financial motivation for forest users to engage in more sustainable land and resource use activities. In Da Nhim Pilot Commune in </w:t>
      </w:r>
      <w:smartTag w:uri="urn:schemas-microsoft-com:office:smarttags" w:element="place">
        <w:smartTag w:uri="urn:schemas-microsoft-com:office:smarttags" w:element="PlaceName">
          <w:r w:rsidRPr="00EC1298">
            <w:rPr>
              <w:rFonts w:ascii="Book Antiqua" w:hAnsi="Book Antiqua" w:cs="Arial"/>
            </w:rPr>
            <w:t>Lam</w:t>
          </w:r>
        </w:smartTag>
        <w:r w:rsidRPr="00EC1298">
          <w:rPr>
            <w:rFonts w:ascii="Book Antiqua" w:hAnsi="Book Antiqua" w:cs="Arial"/>
          </w:rPr>
          <w:t xml:space="preserve"> </w:t>
        </w:r>
        <w:smartTag w:uri="urn:schemas-microsoft-com:office:smarttags" w:element="PlaceName">
          <w:r w:rsidRPr="00EC1298">
            <w:rPr>
              <w:rFonts w:ascii="Book Antiqua" w:hAnsi="Book Antiqua" w:cs="Arial"/>
            </w:rPr>
            <w:t>Dong</w:t>
          </w:r>
        </w:smartTag>
        <w:r w:rsidRPr="00EC1298">
          <w:rPr>
            <w:rFonts w:ascii="Book Antiqua" w:hAnsi="Book Antiqua" w:cs="Arial"/>
          </w:rPr>
          <w:t xml:space="preserve"> </w:t>
        </w:r>
        <w:smartTag w:uri="urn:schemas-microsoft-com:office:smarttags" w:element="PlaceType">
          <w:r w:rsidRPr="00EC1298">
            <w:rPr>
              <w:rFonts w:ascii="Book Antiqua" w:hAnsi="Book Antiqua" w:cs="Arial"/>
            </w:rPr>
            <w:t>Province</w:t>
          </w:r>
        </w:smartTag>
      </w:smartTag>
      <w:r w:rsidRPr="00EC1298">
        <w:rPr>
          <w:rFonts w:ascii="Book Antiqua" w:hAnsi="Book Antiqua" w:cs="Arial"/>
        </w:rPr>
        <w:t>, for example, more than 200 families are now receiving payments of 200,000 VND/ha/year for the provision of watershed, biodiversity and other environmental services, and this will soon be increased to VND 290,000 (Peters 2009). This almost triples the payment offered for forest protection contracts under the 661 Programme. In Son La,</w:t>
      </w:r>
      <w:r w:rsidR="001B6D90">
        <w:rPr>
          <w:rFonts w:ascii="Book Antiqua" w:hAnsi="Book Antiqua" w:cs="Arial"/>
        </w:rPr>
        <w:t xml:space="preserve"> PFES</w:t>
      </w:r>
      <w:r w:rsidRPr="00EC1298">
        <w:rPr>
          <w:rFonts w:ascii="Book Antiqua" w:hAnsi="Book Antiqua" w:cs="Arial"/>
        </w:rPr>
        <w:t xml:space="preserve"> payments remain much lower, on a par with current 661 Programme payments, varying between VND 100,000 and VND 121,000 per hectare (Kosmus and Cordero 2009). </w:t>
      </w:r>
    </w:p>
    <w:p w:rsidR="00351F2C" w:rsidRPr="00EC1298" w:rsidRDefault="00351F2C" w:rsidP="00522F5C">
      <w:pPr>
        <w:spacing w:after="0"/>
        <w:jc w:val="both"/>
        <w:rPr>
          <w:rFonts w:ascii="Book Antiqua" w:hAnsi="Book Antiqua" w:cs="Arial"/>
        </w:rPr>
      </w:pPr>
    </w:p>
    <w:p w:rsidR="00351F2C" w:rsidRPr="00EC1298" w:rsidRDefault="00351F2C" w:rsidP="00FF7504">
      <w:pPr>
        <w:spacing w:after="0"/>
        <w:jc w:val="both"/>
        <w:rPr>
          <w:rFonts w:ascii="Book Antiqua" w:hAnsi="Book Antiqua" w:cs="Arial"/>
        </w:rPr>
      </w:pPr>
      <w:r w:rsidRPr="00EC1298">
        <w:rPr>
          <w:rFonts w:ascii="Book Antiqua" w:hAnsi="Book Antiqua" w:cs="Arial"/>
        </w:rPr>
        <w:t>The approaches to setting payments that are followed by Programme 661 and</w:t>
      </w:r>
      <w:r w:rsidR="001B6D90">
        <w:rPr>
          <w:rFonts w:ascii="Book Antiqua" w:hAnsi="Book Antiqua" w:cs="Arial"/>
        </w:rPr>
        <w:t xml:space="preserve"> PFES</w:t>
      </w:r>
      <w:r w:rsidRPr="00EC1298">
        <w:rPr>
          <w:rFonts w:ascii="Book Antiqua" w:hAnsi="Book Antiqua" w:cs="Arial"/>
        </w:rPr>
        <w:t xml:space="preserve"> schemes do share some commonalities. Both are standardised and set administratively by government, which, given the diversity of circumstances they must incorporate, is a rational solution. They do not, however, explicitly incorporate any consideration of the costs to land and resource users of providing conservation services, which presents a risk of their turning out to be too low to act as a sufficient inducement for behaviour change.</w:t>
      </w:r>
      <w:r w:rsidR="001B6D90">
        <w:rPr>
          <w:rFonts w:ascii="Book Antiqua" w:hAnsi="Book Antiqua" w:cs="Arial"/>
        </w:rPr>
        <w:t xml:space="preserve"> PFES</w:t>
      </w:r>
      <w:r w:rsidRPr="00EC1298">
        <w:rPr>
          <w:rFonts w:ascii="Book Antiqua" w:hAnsi="Book Antiqua" w:cs="Arial"/>
        </w:rPr>
        <w:t xml:space="preserve"> payments do allow for some reflection of market factors (in that they are tied to the consumption or sale of particular products which rely on environmental services), but these are focused very much on the buyer, not the seller, of the service. The calculations performed to determine</w:t>
      </w:r>
      <w:r w:rsidR="001B6D90">
        <w:rPr>
          <w:rFonts w:ascii="Book Antiqua" w:hAnsi="Book Antiqua" w:cs="Arial"/>
        </w:rPr>
        <w:t xml:space="preserve"> PFES</w:t>
      </w:r>
      <w:r w:rsidRPr="00EC1298">
        <w:rPr>
          <w:rFonts w:ascii="Book Antiqua" w:hAnsi="Book Antiqua" w:cs="Arial"/>
        </w:rPr>
        <w:t xml:space="preserve"> funding also allow for some variation according to local circumstances by assigning a “K factor” weighting of the standard payment per hectare norms. Again, this does not however account for the variable costs involved in producing environmental services, but is based on the type and status of the forest from which the service is being provided.</w:t>
      </w:r>
    </w:p>
    <w:p w:rsidR="00351F2C" w:rsidRPr="00445F77" w:rsidRDefault="00351F2C" w:rsidP="00FF7504">
      <w:pPr>
        <w:spacing w:after="0"/>
        <w:jc w:val="both"/>
        <w:rPr>
          <w:rFonts w:ascii="Arial" w:hAnsi="Arial" w:cs="Arial"/>
          <w:sz w:val="24"/>
          <w:szCs w:val="24"/>
        </w:rPr>
      </w:pPr>
    </w:p>
    <w:p w:rsidR="00351F2C" w:rsidRPr="00445F77" w:rsidRDefault="00351F2C" w:rsidP="00FF7504">
      <w:pPr>
        <w:pStyle w:val="Heading3"/>
        <w:spacing w:before="0" w:after="0"/>
        <w:rPr>
          <w:rFonts w:ascii="Arial" w:hAnsi="Arial" w:cs="Arial"/>
        </w:rPr>
      </w:pPr>
      <w:bookmarkStart w:id="341" w:name="_Toc243740836"/>
      <w:bookmarkStart w:id="342" w:name="_Toc243984146"/>
      <w:bookmarkStart w:id="343" w:name="_Toc244327672"/>
      <w:bookmarkStart w:id="344" w:name="_Toc244327922"/>
      <w:bookmarkStart w:id="345" w:name="_Toc244735081"/>
      <w:bookmarkStart w:id="346" w:name="_Toc249079555"/>
      <w:r w:rsidRPr="00445F77">
        <w:rPr>
          <w:rFonts w:ascii="Arial" w:hAnsi="Arial" w:cs="Arial"/>
        </w:rPr>
        <w:t>Determining the proportion of funding that is retained</w:t>
      </w:r>
      <w:bookmarkEnd w:id="341"/>
      <w:bookmarkEnd w:id="342"/>
      <w:bookmarkEnd w:id="343"/>
      <w:bookmarkEnd w:id="344"/>
      <w:bookmarkEnd w:id="345"/>
      <w:bookmarkEnd w:id="346"/>
    </w:p>
    <w:p w:rsidR="00351F2C" w:rsidRPr="00EC1298" w:rsidRDefault="00C47C3B" w:rsidP="00522F5C">
      <w:pPr>
        <w:spacing w:after="0"/>
        <w:jc w:val="both"/>
        <w:rPr>
          <w:rFonts w:ascii="Book Antiqua" w:hAnsi="Book Antiqua" w:cs="Arial"/>
        </w:rPr>
      </w:pPr>
      <w:r w:rsidRPr="00C47C3B">
        <w:rPr>
          <w:rFonts w:ascii="Arial" w:hAnsi="Arial" w:cs="Arial"/>
          <w:noProof/>
          <w:sz w:val="24"/>
          <w:szCs w:val="24"/>
          <w:lang w:val="en-US"/>
        </w:rPr>
        <w:lastRenderedPageBreak/>
        <w:pict>
          <v:shape id="_x0000_s1508" type="#_x0000_t202" style="position:absolute;left:0;text-align:left;margin-left:-.3pt;margin-top:11.95pt;width:458.25pt;height:95.45pt;z-index:251627008;mso-position-horizontal-relative:margin" fillcolor="#dbe5f1" strokecolor="#1f497d" strokeweight="1.5pt">
            <v:shadow on="t" color="#365f91" opacity=".5" offset="4pt,4pt" offset2="-4pt,-4pt"/>
            <v:textbox style="mso-next-textbox:#_x0000_s1508;mso-fit-shape-to-text:t" inset="1.5mm,1.5mm,1.5mm,1.5mm">
              <w:txbxContent>
                <w:p w:rsidR="00B4351F" w:rsidRPr="00F74FAA" w:rsidRDefault="00B4351F" w:rsidP="00246293">
                  <w:pPr>
                    <w:pStyle w:val="Bullets"/>
                    <w:spacing w:before="0" w:line="240" w:lineRule="auto"/>
                    <w:ind w:left="0" w:firstLine="0"/>
                    <w:rPr>
                      <w:rFonts w:ascii="Calibri" w:hAnsi="Calibri" w:cs="Calibri"/>
                    </w:rPr>
                  </w:pPr>
                  <w:r w:rsidRPr="00F74FAA">
                    <w:rPr>
                      <w:rFonts w:ascii="Calibri" w:hAnsi="Calibri" w:cs="Calibri"/>
                    </w:rPr>
                    <w:t xml:space="preserve">There is no clear precedent or standard procedure for stipulating what proportion or amount of revenues should be retained by government in order to cover the costs of managing and administering extra-budgetary, national-level conservation funds. The two </w:t>
                  </w:r>
                  <w:r>
                    <w:rPr>
                      <w:rFonts w:ascii="Calibri" w:hAnsi="Calibri" w:cs="Calibri"/>
                    </w:rPr>
                    <w:t>examples</w:t>
                  </w:r>
                  <w:r w:rsidRPr="00F74FAA">
                    <w:rPr>
                      <w:rFonts w:ascii="Calibri" w:hAnsi="Calibri" w:cs="Calibri"/>
                    </w:rPr>
                    <w:t xml:space="preserve"> where specific allowances for retention are provided for </w:t>
                  </w:r>
                  <w:r>
                    <w:rPr>
                      <w:rFonts w:ascii="Calibri" w:hAnsi="Calibri" w:cs="Calibri"/>
                    </w:rPr>
                    <w:t>(</w:t>
                  </w:r>
                  <w:r w:rsidRPr="00F74FAA">
                    <w:rPr>
                      <w:rFonts w:ascii="Calibri" w:hAnsi="Calibri" w:cs="Calibri"/>
                    </w:rPr>
                    <w:t>661 Programme and PES payments channelled through the Forest Protection and Development Fund</w:t>
                  </w:r>
                  <w:r>
                    <w:rPr>
                      <w:rFonts w:ascii="Calibri" w:hAnsi="Calibri" w:cs="Calibri"/>
                    </w:rPr>
                    <w:t>)</w:t>
                  </w:r>
                  <w:r w:rsidRPr="00F74FAA">
                    <w:rPr>
                      <w:rFonts w:ascii="Calibri" w:hAnsi="Calibri" w:cs="Calibri"/>
                    </w:rPr>
                    <w:t xml:space="preserve"> both allow for a fixed percentage of payments to be retained by government. These levels however seem to have been set somewhat arbitrarily, and are not based on the actual costs of managing and administering the funds.</w:t>
                  </w:r>
                </w:p>
              </w:txbxContent>
            </v:textbox>
            <w10:wrap type="square" anchorx="margin"/>
            <w10:anchorlock/>
          </v:shape>
        </w:pict>
      </w:r>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There are a several extra-budgetary, national-level funding mechanisms for conservation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although most operate under similar principles: as mechanisms for attracting, retaining and allocating financial flows from various sources. However, there do not appear to be any standard principles to determine the amount or percentage of revenues that is retained by different levels of government in order to administer and manage these funding mechanisms.</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Guidelines for retention have not been specified to date for the FPDF, although, as elaborated below, procedures have been set in place in relation to</w:t>
      </w:r>
      <w:r w:rsidR="001B6D90">
        <w:rPr>
          <w:rFonts w:ascii="Book Antiqua" w:hAnsi="Book Antiqua" w:cs="Arial"/>
        </w:rPr>
        <w:t xml:space="preserve"> PFES</w:t>
      </w:r>
      <w:r w:rsidRPr="00EC1298">
        <w:rPr>
          <w:rFonts w:ascii="Book Antiqua" w:hAnsi="Book Antiqua" w:cs="Arial"/>
        </w:rPr>
        <w:t xml:space="preserve"> funds. Documentation referring to the newly-established </w:t>
      </w:r>
      <w:r w:rsidR="00480D3D">
        <w:rPr>
          <w:rFonts w:ascii="Book Antiqua" w:hAnsi="Book Antiqua" w:cs="Arial"/>
        </w:rPr>
        <w:t>Viet Nam</w:t>
      </w:r>
      <w:r w:rsidRPr="00EC1298">
        <w:rPr>
          <w:rFonts w:ascii="Book Antiqua" w:hAnsi="Book Antiqua" w:cs="Arial"/>
        </w:rPr>
        <w:t xml:space="preserve"> Conservation Fund (the Operational Manual) contains detailed provisions on financial management, but does not make mention of how fund administration costs will be covered or at what levels.</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 xml:space="preserve">Legislation governing the VEPF makes clear that the fund must ensure “coverage of its managerial costs” (Article 2 of Decision 53, Article 3 of Decision 82, and Article 3 of Decision 35) and that “expenses for activities of managing and administering the Fund’s apparatus shall be covered by </w:t>
      </w:r>
      <w:r w:rsidR="00480D3D">
        <w:rPr>
          <w:rFonts w:ascii="Book Antiqua" w:hAnsi="Book Antiqua" w:cs="Arial"/>
        </w:rPr>
        <w:t>Viet Nam</w:t>
      </w:r>
      <w:r w:rsidRPr="00EC1298">
        <w:rPr>
          <w:rFonts w:ascii="Book Antiqua" w:hAnsi="Book Antiqua" w:cs="Arial"/>
        </w:rPr>
        <w:t xml:space="preserve"> Environment Protection Fund’s revenue sources” (Article 2 of Decision 53). Specific proportions or percentages of the overall fund amount are not however mentioned: rather, a list of admissible management and running costs are defined (in part VI of Circular 93/2003/TT-BTC). </w:t>
      </w:r>
    </w:p>
    <w:p w:rsidR="00351F2C" w:rsidRPr="00EC1298" w:rsidRDefault="00351F2C" w:rsidP="00522F5C">
      <w:pPr>
        <w:spacing w:after="0"/>
        <w:jc w:val="both"/>
        <w:rPr>
          <w:rFonts w:ascii="Book Antiqua" w:hAnsi="Book Antiqua" w:cs="Arial"/>
        </w:rPr>
      </w:pPr>
    </w:p>
    <w:p w:rsidR="00351F2C" w:rsidRPr="00EC1298" w:rsidRDefault="00351F2C" w:rsidP="00522F5C">
      <w:pPr>
        <w:spacing w:after="0"/>
        <w:jc w:val="both"/>
        <w:rPr>
          <w:rFonts w:ascii="Book Antiqua" w:hAnsi="Book Antiqua" w:cs="Arial"/>
        </w:rPr>
      </w:pPr>
      <w:r w:rsidRPr="00EC1298">
        <w:rPr>
          <w:rFonts w:ascii="Book Antiqua" w:hAnsi="Book Antiqua" w:cs="Arial"/>
        </w:rPr>
        <w:t>The Decisions governing Programme 661 and the Pilot Policy for</w:t>
      </w:r>
      <w:r w:rsidR="001B6D90">
        <w:rPr>
          <w:rFonts w:ascii="Book Antiqua" w:hAnsi="Book Antiqua" w:cs="Arial"/>
        </w:rPr>
        <w:t xml:space="preserve"> PFES</w:t>
      </w:r>
      <w:r w:rsidRPr="00EC1298">
        <w:rPr>
          <w:rFonts w:ascii="Book Antiqua" w:hAnsi="Book Antiqua" w:cs="Arial"/>
        </w:rPr>
        <w:t xml:space="preserve"> contain fairly detailed guidance on management fees and funding retention. Both specify that a certain level of funds may be retained for management, and calculate these on a percentage basis. For Programme 661, Decision 100/QD-TTg (updating the percentages suggested in Decision </w:t>
      </w:r>
      <w:r w:rsidRPr="00EC1298">
        <w:rPr>
          <w:rFonts w:ascii="Book Antiqua" w:hAnsi="Book Antiqua" w:cs="Arial"/>
          <w:color w:val="000000"/>
        </w:rPr>
        <w:t xml:space="preserve">661) stipulates that </w:t>
      </w:r>
      <w:r w:rsidRPr="00EC1298">
        <w:rPr>
          <w:rFonts w:ascii="Book Antiqua" w:hAnsi="Book Antiqua" w:cs="Arial"/>
        </w:rPr>
        <w:t xml:space="preserve">“the budget for </w:t>
      </w:r>
      <w:r w:rsidR="000D7D36">
        <w:rPr>
          <w:rFonts w:ascii="Book Antiqua" w:hAnsi="Book Antiqua" w:cs="Arial"/>
        </w:rPr>
        <w:t>661 Programme</w:t>
      </w:r>
      <w:r w:rsidRPr="00EC1298">
        <w:rPr>
          <w:rFonts w:ascii="Book Antiqua" w:hAnsi="Book Antiqua" w:cs="Arial"/>
        </w:rPr>
        <w:t xml:space="preserve"> management is generally calculated as 10% of the total project investment budget, including: 0.7% for central ministries and sectors, 1.3% for provinces, and 8% for local project owners”. Decision 380 specifies that indirect payments (in other words those channelled through Provincial FPDFs) shall be subject to a retention rate of 10%, and the remaining 90% will be distributed to the environmental service provider. If the beneficiary of the environmental service is a state organisation, they may retain for management purposes an additional 10% over and above the 10% which is remitted to the FPDF. </w:t>
      </w:r>
    </w:p>
    <w:p w:rsidR="00351F2C" w:rsidRPr="00EC1298" w:rsidRDefault="00351F2C" w:rsidP="00522F5C">
      <w:pPr>
        <w:spacing w:after="0"/>
        <w:jc w:val="both"/>
        <w:rPr>
          <w:rFonts w:ascii="Book Antiqua" w:hAnsi="Book Antiqua" w:cs="Arial"/>
        </w:rPr>
      </w:pPr>
    </w:p>
    <w:p w:rsidR="00351F2C" w:rsidRPr="00EC1298" w:rsidRDefault="00351F2C" w:rsidP="001508A1">
      <w:pPr>
        <w:spacing w:after="0"/>
        <w:jc w:val="both"/>
        <w:rPr>
          <w:rFonts w:ascii="Book Antiqua" w:hAnsi="Book Antiqua" w:cs="Arial"/>
        </w:rPr>
      </w:pPr>
      <w:r w:rsidRPr="00EC1298">
        <w:rPr>
          <w:rFonts w:ascii="Book Antiqua" w:hAnsi="Book Antiqua" w:cs="Arial"/>
        </w:rPr>
        <w:t xml:space="preserve">One point to note is that even where retention levels are specified, they do not appear to be based on consideration of what the actual costs of fund management and </w:t>
      </w:r>
      <w:r w:rsidRPr="00EC1298">
        <w:rPr>
          <w:rFonts w:ascii="Book Antiqua" w:hAnsi="Book Antiqua" w:cs="Arial"/>
        </w:rPr>
        <w:lastRenderedPageBreak/>
        <w:t>administration are, like the norms that are used to determine payments to environmental service providers in the 661 Programme and</w:t>
      </w:r>
      <w:r w:rsidR="001B6D90">
        <w:rPr>
          <w:rFonts w:ascii="Book Antiqua" w:hAnsi="Book Antiqua" w:cs="Arial"/>
        </w:rPr>
        <w:t xml:space="preserve"> PFES</w:t>
      </w:r>
      <w:r w:rsidRPr="00EC1298">
        <w:rPr>
          <w:rFonts w:ascii="Book Antiqua" w:hAnsi="Book Antiqua" w:cs="Arial"/>
        </w:rPr>
        <w:t xml:space="preserve"> schemes. In the case of Programme 661 it is argued that the stipulated management fees are not in fact sufficient to cover management and operational costs (van der Poel 2007).</w:t>
      </w:r>
    </w:p>
    <w:p w:rsidR="00351F2C" w:rsidRPr="00445F77" w:rsidRDefault="00351F2C" w:rsidP="001508A1">
      <w:pPr>
        <w:spacing w:after="0"/>
        <w:rPr>
          <w:rFonts w:ascii="Arial" w:hAnsi="Arial" w:cs="Arial"/>
          <w:sz w:val="24"/>
          <w:szCs w:val="24"/>
        </w:rPr>
      </w:pPr>
    </w:p>
    <w:p w:rsidR="00351F2C" w:rsidRPr="00445F77" w:rsidRDefault="00351F2C" w:rsidP="001508A1">
      <w:pPr>
        <w:pStyle w:val="Heading2"/>
        <w:spacing w:before="0" w:after="0"/>
        <w:rPr>
          <w:rFonts w:ascii="Arial" w:hAnsi="Arial" w:cs="Arial"/>
          <w:sz w:val="24"/>
          <w:szCs w:val="24"/>
        </w:rPr>
      </w:pPr>
      <w:bookmarkStart w:id="347" w:name="_Ref243026579"/>
      <w:bookmarkStart w:id="348" w:name="_Toc243740837"/>
      <w:bookmarkStart w:id="349" w:name="_Toc244735663"/>
      <w:bookmarkStart w:id="350" w:name="_Toc252354740"/>
      <w:r w:rsidRPr="00445F77">
        <w:rPr>
          <w:rFonts w:ascii="Arial" w:hAnsi="Arial" w:cs="Arial"/>
          <w:sz w:val="24"/>
          <w:szCs w:val="24"/>
        </w:rPr>
        <w:t xml:space="preserve">5.4 </w:t>
      </w:r>
      <w:bookmarkStart w:id="351" w:name="_Toc243984147"/>
      <w:bookmarkStart w:id="352" w:name="_Toc244327673"/>
      <w:bookmarkStart w:id="353" w:name="_Toc244327923"/>
      <w:bookmarkStart w:id="354" w:name="_Toc244735082"/>
      <w:r w:rsidRPr="00445F77">
        <w:rPr>
          <w:rFonts w:ascii="Arial" w:hAnsi="Arial" w:cs="Arial"/>
          <w:sz w:val="24"/>
          <w:szCs w:val="24"/>
        </w:rPr>
        <w:t xml:space="preserve">Conclusions: key issues in </w:t>
      </w:r>
      <w:r w:rsidR="00480D3D">
        <w:rPr>
          <w:rFonts w:ascii="Arial" w:hAnsi="Arial" w:cs="Arial"/>
          <w:sz w:val="24"/>
          <w:szCs w:val="24"/>
        </w:rPr>
        <w:t>REDD+</w:t>
      </w:r>
      <w:r w:rsidRPr="00445F77">
        <w:rPr>
          <w:rFonts w:ascii="Arial" w:hAnsi="Arial" w:cs="Arial"/>
          <w:sz w:val="24"/>
          <w:szCs w:val="24"/>
        </w:rPr>
        <w:t xml:space="preserve"> costs and revenue retention</w:t>
      </w:r>
      <w:bookmarkEnd w:id="347"/>
      <w:bookmarkEnd w:id="348"/>
      <w:bookmarkEnd w:id="349"/>
      <w:bookmarkEnd w:id="350"/>
      <w:bookmarkEnd w:id="351"/>
      <w:bookmarkEnd w:id="352"/>
      <w:bookmarkEnd w:id="353"/>
      <w:bookmarkEnd w:id="354"/>
    </w:p>
    <w:p w:rsidR="00351F2C" w:rsidRPr="00EC1298" w:rsidRDefault="00351F2C" w:rsidP="001508A1">
      <w:pPr>
        <w:spacing w:after="0" w:line="300" w:lineRule="atLeast"/>
        <w:jc w:val="both"/>
        <w:rPr>
          <w:rFonts w:ascii="Book Antiqua" w:hAnsi="Book Antiqua" w:cs="Arial"/>
        </w:rPr>
      </w:pPr>
      <w:r w:rsidRPr="00EC1298">
        <w:rPr>
          <w:rFonts w:ascii="Book Antiqua" w:hAnsi="Book Antiqua" w:cs="Arial"/>
        </w:rPr>
        <w:t xml:space="preserve">Drawing together the guidance provided and lessons learned from both international practice and </w:t>
      </w:r>
      <w:smartTag w:uri="urn:schemas-microsoft-com:office:smarttags" w:element="country-region">
        <w:r w:rsidRPr="00EC1298">
          <w:rPr>
            <w:rFonts w:ascii="Book Antiqua" w:hAnsi="Book Antiqua" w:cs="Arial"/>
          </w:rPr>
          <w:t>Viet Nam</w:t>
        </w:r>
      </w:smartTag>
      <w:r w:rsidRPr="00EC1298">
        <w:rPr>
          <w:rFonts w:ascii="Book Antiqua" w:hAnsi="Book Antiqua" w:cs="Arial"/>
        </w:rPr>
        <w:t xml:space="preserve"> experiences, it seems clear that revenue retention, cost-recovery and incentive considerations must all be factored into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’s </w:t>
      </w:r>
      <w:r w:rsidR="00480D3D">
        <w:rPr>
          <w:rFonts w:ascii="Book Antiqua" w:hAnsi="Book Antiqua" w:cs="Arial"/>
        </w:rPr>
        <w:t>REDD+</w:t>
      </w:r>
      <w:r w:rsidRPr="00EC1298">
        <w:rPr>
          <w:rFonts w:ascii="Book Antiqua" w:hAnsi="Book Antiqua" w:cs="Arial"/>
        </w:rPr>
        <w:t xml:space="preserve"> BDS. The two basic financial and economic variables which will determine the profitability and acceptability of </w:t>
      </w:r>
      <w:r w:rsidR="00480D3D">
        <w:rPr>
          <w:rFonts w:ascii="Book Antiqua" w:hAnsi="Book Antiqua" w:cs="Arial"/>
        </w:rPr>
        <w:t>REDD+</w:t>
      </w:r>
      <w:r w:rsidRPr="00EC1298">
        <w:rPr>
          <w:rFonts w:ascii="Book Antiqua" w:hAnsi="Book Antiqua" w:cs="Arial"/>
        </w:rPr>
        <w:t>, and thus the effectiveness of the programme in reducing emissions, are the costs associated with the programme and the payments received. A BDS is therefore needed that differentiates clearly between different recipients of payments, but also distinguishes between the various types of benefits they may require, and the mechanisms for transferring these benefits</w:t>
      </w:r>
      <w:r w:rsidRPr="00EC1298">
        <w:rPr>
          <w:rStyle w:val="FootnoteReference"/>
          <w:rFonts w:ascii="Book Antiqua" w:hAnsi="Book Antiqua" w:cs="Arial"/>
        </w:rPr>
        <w:t xml:space="preserve"> </w:t>
      </w:r>
      <w:r w:rsidRPr="00EC1298">
        <w:rPr>
          <w:rFonts w:ascii="Book Antiqua" w:hAnsi="Book Antiqua" w:cs="Arial"/>
        </w:rPr>
        <w:t xml:space="preserve">(Pagiola and Bosquet 2009). </w:t>
      </w:r>
    </w:p>
    <w:p w:rsidR="00351F2C" w:rsidRPr="00EC1298" w:rsidRDefault="00351F2C" w:rsidP="001508A1">
      <w:pPr>
        <w:spacing w:after="0" w:line="300" w:lineRule="atLeast"/>
        <w:jc w:val="both"/>
        <w:rPr>
          <w:rFonts w:ascii="Book Antiqua" w:hAnsi="Book Antiqua" w:cs="Arial"/>
        </w:rPr>
      </w:pPr>
    </w:p>
    <w:p w:rsidR="00351F2C" w:rsidRPr="00EC1298" w:rsidRDefault="00351F2C" w:rsidP="001508A1">
      <w:pPr>
        <w:spacing w:after="0" w:line="300" w:lineRule="atLeast"/>
        <w:jc w:val="both"/>
        <w:rPr>
          <w:rFonts w:ascii="Book Antiqua" w:hAnsi="Book Antiqua" w:cs="Arial"/>
        </w:rPr>
      </w:pPr>
      <w:r w:rsidRPr="00EC1298">
        <w:rPr>
          <w:rFonts w:ascii="Book Antiqua" w:hAnsi="Book Antiqua" w:cs="Arial"/>
        </w:rPr>
        <w:t xml:space="preserve">To these ends, key issues to be considered and criteria to be determined with respect to </w:t>
      </w:r>
      <w:r w:rsidR="00480D3D">
        <w:rPr>
          <w:rFonts w:ascii="Book Antiqua" w:hAnsi="Book Antiqua" w:cs="Arial"/>
        </w:rPr>
        <w:t>REDD+</w:t>
      </w:r>
      <w:r w:rsidRPr="00EC1298">
        <w:rPr>
          <w:rFonts w:ascii="Book Antiqua" w:hAnsi="Book Antiqua" w:cs="Arial"/>
        </w:rPr>
        <w:t xml:space="preserve"> costs and revenue retention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relate to:</w:t>
      </w:r>
    </w:p>
    <w:p w:rsidR="00351F2C" w:rsidRPr="00EC1298" w:rsidRDefault="00351F2C" w:rsidP="00FE38DF">
      <w:pPr>
        <w:pStyle w:val="Bullets"/>
        <w:numPr>
          <w:ilvl w:val="0"/>
          <w:numId w:val="70"/>
        </w:numPr>
        <w:spacing w:before="0"/>
        <w:ind w:left="360"/>
        <w:rPr>
          <w:rFonts w:ascii="Book Antiqua" w:hAnsi="Book Antiqua" w:cs="Arial"/>
          <w:sz w:val="22"/>
        </w:rPr>
      </w:pPr>
      <w:r w:rsidRPr="00EC1298">
        <w:rPr>
          <w:rFonts w:ascii="Book Antiqua" w:hAnsi="Book Antiqua" w:cs="Arial"/>
          <w:sz w:val="22"/>
        </w:rPr>
        <w:t>Determining how much revenue should be retained to cover core programme costs;</w:t>
      </w:r>
    </w:p>
    <w:p w:rsidR="00351F2C" w:rsidRPr="00EC1298" w:rsidRDefault="00351F2C" w:rsidP="00FE38DF">
      <w:pPr>
        <w:pStyle w:val="Bullets"/>
        <w:numPr>
          <w:ilvl w:val="0"/>
          <w:numId w:val="70"/>
        </w:numPr>
        <w:spacing w:before="0"/>
        <w:ind w:left="360"/>
        <w:rPr>
          <w:rFonts w:ascii="Book Antiqua" w:hAnsi="Book Antiqua" w:cs="Arial"/>
          <w:sz w:val="22"/>
        </w:rPr>
      </w:pPr>
      <w:r w:rsidRPr="00EC1298">
        <w:rPr>
          <w:rFonts w:ascii="Book Antiqua" w:hAnsi="Book Antiqua" w:cs="Arial"/>
          <w:sz w:val="22"/>
        </w:rPr>
        <w:t>Setting payment levels and types for local forest land and resource users;</w:t>
      </w:r>
    </w:p>
    <w:p w:rsidR="00351F2C" w:rsidRPr="00EC1298" w:rsidRDefault="00351F2C" w:rsidP="00FE38DF">
      <w:pPr>
        <w:pStyle w:val="Bullets"/>
        <w:numPr>
          <w:ilvl w:val="0"/>
          <w:numId w:val="70"/>
        </w:numPr>
        <w:spacing w:before="0"/>
        <w:ind w:left="360"/>
        <w:rPr>
          <w:rFonts w:ascii="Book Antiqua" w:hAnsi="Book Antiqua" w:cs="Arial"/>
          <w:sz w:val="22"/>
        </w:rPr>
      </w:pPr>
      <w:r w:rsidRPr="00EC1298">
        <w:rPr>
          <w:rFonts w:ascii="Book Antiqua" w:hAnsi="Book Antiqua" w:cs="Arial"/>
          <w:sz w:val="22"/>
        </w:rPr>
        <w:t xml:space="preserve">Identifying admissible costs and activities to be funded under the </w:t>
      </w:r>
      <w:r w:rsidR="00480D3D">
        <w:rPr>
          <w:rFonts w:ascii="Book Antiqua" w:hAnsi="Book Antiqua" w:cs="Arial"/>
          <w:sz w:val="22"/>
        </w:rPr>
        <w:t>REDD+</w:t>
      </w:r>
      <w:r w:rsidRPr="00EC1298">
        <w:rPr>
          <w:rFonts w:ascii="Book Antiqua" w:hAnsi="Book Antiqua" w:cs="Arial"/>
          <w:sz w:val="22"/>
        </w:rPr>
        <w:t xml:space="preserve"> programme; and</w:t>
      </w:r>
    </w:p>
    <w:p w:rsidR="00351F2C" w:rsidRPr="00EC1298" w:rsidRDefault="00351F2C" w:rsidP="00FE38DF">
      <w:pPr>
        <w:pStyle w:val="Bullets"/>
        <w:numPr>
          <w:ilvl w:val="0"/>
          <w:numId w:val="70"/>
        </w:numPr>
        <w:spacing w:before="0"/>
        <w:ind w:left="360"/>
        <w:rPr>
          <w:rFonts w:ascii="Book Antiqua" w:hAnsi="Book Antiqua" w:cs="Arial"/>
          <w:sz w:val="22"/>
        </w:rPr>
      </w:pPr>
      <w:r w:rsidRPr="00EC1298">
        <w:rPr>
          <w:rFonts w:ascii="Book Antiqua" w:hAnsi="Book Antiqua" w:cs="Arial"/>
          <w:sz w:val="22"/>
        </w:rPr>
        <w:t>Timing the disbursement of funds.</w:t>
      </w:r>
    </w:p>
    <w:p w:rsidR="00351F2C" w:rsidRPr="00445F77" w:rsidRDefault="00351F2C" w:rsidP="001508A1">
      <w:pPr>
        <w:spacing w:after="0"/>
        <w:rPr>
          <w:rFonts w:ascii="Arial" w:hAnsi="Arial" w:cs="Arial"/>
          <w:sz w:val="24"/>
          <w:szCs w:val="24"/>
        </w:rPr>
      </w:pPr>
    </w:p>
    <w:p w:rsidR="00351F2C" w:rsidRPr="00EC1298" w:rsidRDefault="00351F2C" w:rsidP="001508A1">
      <w:pPr>
        <w:pStyle w:val="Caption"/>
        <w:spacing w:after="0"/>
        <w:jc w:val="center"/>
        <w:rPr>
          <w:rFonts w:ascii="Book Antiqua" w:hAnsi="Book Antiqua" w:cs="Arial"/>
          <w:sz w:val="22"/>
          <w:szCs w:val="22"/>
        </w:rPr>
      </w:pPr>
      <w:bookmarkStart w:id="355" w:name="_Toc243740855"/>
      <w:r w:rsidRPr="00EC1298">
        <w:rPr>
          <w:rFonts w:ascii="Book Antiqua" w:hAnsi="Book Antiqua" w:cs="Arial"/>
          <w:sz w:val="22"/>
          <w:szCs w:val="22"/>
        </w:rPr>
        <w:t xml:space="preserve">Table 5.1: summary of issues, options and lessons learned on </w:t>
      </w:r>
      <w:r w:rsidR="00480D3D">
        <w:rPr>
          <w:rFonts w:ascii="Book Antiqua" w:hAnsi="Book Antiqua" w:cs="Arial"/>
          <w:sz w:val="22"/>
          <w:szCs w:val="22"/>
        </w:rPr>
        <w:t>REDD+</w:t>
      </w:r>
      <w:r w:rsidRPr="00EC1298">
        <w:rPr>
          <w:rFonts w:ascii="Book Antiqua" w:hAnsi="Book Antiqua" w:cs="Arial"/>
          <w:sz w:val="22"/>
          <w:szCs w:val="22"/>
        </w:rPr>
        <w:t xml:space="preserve"> costs and revenue retention</w:t>
      </w:r>
      <w:bookmarkEnd w:id="355"/>
    </w:p>
    <w:tbl>
      <w:tblPr>
        <w:tblW w:w="0" w:type="auto"/>
        <w:tblBorders>
          <w:insideH w:val="single" w:sz="24" w:space="0" w:color="FFFFFF"/>
          <w:insideV w:val="single" w:sz="24" w:space="0" w:color="FFFFFF"/>
        </w:tblBorders>
        <w:tblLook w:val="00A0"/>
      </w:tblPr>
      <w:tblGrid>
        <w:gridCol w:w="1504"/>
        <w:gridCol w:w="1900"/>
        <w:gridCol w:w="2800"/>
        <w:gridCol w:w="2800"/>
      </w:tblGrid>
      <w:tr w:rsidR="00351F2C" w:rsidRPr="00EC1298">
        <w:trPr>
          <w:tblHeader/>
        </w:trPr>
        <w:tc>
          <w:tcPr>
            <w:tcW w:w="1504" w:type="dxa"/>
            <w:tcBorders>
              <w:bottom w:val="single" w:sz="24" w:space="0" w:color="FFFFFF"/>
              <w:right w:val="single" w:sz="24" w:space="0" w:color="FFFFFF"/>
            </w:tcBorders>
            <w:shd w:val="clear" w:color="auto" w:fill="365F91"/>
            <w:vAlign w:val="center"/>
          </w:tcPr>
          <w:p w:rsidR="00351F2C" w:rsidRPr="00EC1298" w:rsidRDefault="00351F2C" w:rsidP="00EC1298">
            <w:pPr>
              <w:spacing w:before="20" w:after="20"/>
              <w:jc w:val="center"/>
              <w:rPr>
                <w:rFonts w:ascii="Book Antiqua" w:hAnsi="Book Antiqua" w:cs="Arial"/>
                <w:b/>
                <w:bCs/>
                <w:color w:val="FFFFFF"/>
              </w:rPr>
            </w:pPr>
            <w:r w:rsidRPr="00EC1298">
              <w:rPr>
                <w:rFonts w:ascii="Book Antiqua" w:hAnsi="Book Antiqua" w:cs="Arial"/>
                <w:b/>
                <w:bCs/>
                <w:color w:val="FFFFFF"/>
              </w:rPr>
              <w:t>Issues</w:t>
            </w:r>
          </w:p>
        </w:tc>
        <w:tc>
          <w:tcPr>
            <w:tcW w:w="1900" w:type="dxa"/>
            <w:tcBorders>
              <w:left w:val="single" w:sz="24" w:space="0" w:color="FFFFFF"/>
              <w:bottom w:val="single" w:sz="12" w:space="0" w:color="FFFFFF"/>
              <w:right w:val="single" w:sz="24" w:space="0" w:color="FFFFFF"/>
            </w:tcBorders>
            <w:shd w:val="clear" w:color="auto" w:fill="365F91"/>
            <w:vAlign w:val="center"/>
          </w:tcPr>
          <w:p w:rsidR="00351F2C" w:rsidRPr="00EC1298" w:rsidRDefault="00351F2C" w:rsidP="00EC1298">
            <w:pPr>
              <w:spacing w:before="20" w:after="20"/>
              <w:jc w:val="center"/>
              <w:rPr>
                <w:rFonts w:ascii="Book Antiqua" w:hAnsi="Book Antiqua" w:cs="Arial"/>
                <w:b/>
                <w:bCs/>
                <w:color w:val="FFFFFF"/>
              </w:rPr>
            </w:pPr>
            <w:r w:rsidRPr="00EC1298">
              <w:rPr>
                <w:rFonts w:ascii="Book Antiqua" w:hAnsi="Book Antiqua" w:cs="Arial"/>
                <w:b/>
                <w:bCs/>
                <w:color w:val="FFFFFF"/>
              </w:rPr>
              <w:t>Options</w:t>
            </w:r>
          </w:p>
        </w:tc>
        <w:tc>
          <w:tcPr>
            <w:tcW w:w="2800" w:type="dxa"/>
            <w:tcBorders>
              <w:left w:val="single" w:sz="24" w:space="0" w:color="FFFFFF"/>
              <w:bottom w:val="single" w:sz="12" w:space="0" w:color="FFFFFF"/>
              <w:right w:val="single" w:sz="24" w:space="0" w:color="FFFFFF"/>
            </w:tcBorders>
            <w:shd w:val="clear" w:color="auto" w:fill="365F91"/>
            <w:vAlign w:val="center"/>
          </w:tcPr>
          <w:p w:rsidR="00351F2C" w:rsidRPr="00EC1298" w:rsidRDefault="00351F2C" w:rsidP="00EC1298">
            <w:pPr>
              <w:spacing w:before="20" w:after="20"/>
              <w:jc w:val="center"/>
              <w:rPr>
                <w:rFonts w:ascii="Book Antiqua" w:hAnsi="Book Antiqua" w:cs="Arial"/>
                <w:b/>
                <w:bCs/>
                <w:color w:val="FFFFFF"/>
              </w:rPr>
            </w:pPr>
            <w:r w:rsidRPr="00EC1298">
              <w:rPr>
                <w:rFonts w:ascii="Book Antiqua" w:hAnsi="Book Antiqua" w:cs="Arial"/>
                <w:b/>
                <w:bCs/>
                <w:color w:val="FFFFFF"/>
              </w:rPr>
              <w:t>Strengths</w:t>
            </w:r>
          </w:p>
        </w:tc>
        <w:tc>
          <w:tcPr>
            <w:tcW w:w="2800" w:type="dxa"/>
            <w:tcBorders>
              <w:left w:val="single" w:sz="24" w:space="0" w:color="FFFFFF"/>
              <w:bottom w:val="single" w:sz="12" w:space="0" w:color="FFFFFF"/>
            </w:tcBorders>
            <w:shd w:val="clear" w:color="auto" w:fill="365F91"/>
            <w:vAlign w:val="center"/>
          </w:tcPr>
          <w:p w:rsidR="00351F2C" w:rsidRPr="00EC1298" w:rsidRDefault="00351F2C" w:rsidP="00EC1298">
            <w:pPr>
              <w:spacing w:before="20" w:after="20"/>
              <w:jc w:val="center"/>
              <w:rPr>
                <w:rFonts w:ascii="Book Antiqua" w:hAnsi="Book Antiqua" w:cs="Arial"/>
                <w:b/>
                <w:bCs/>
                <w:color w:val="FFFFFF"/>
              </w:rPr>
            </w:pPr>
            <w:r w:rsidRPr="00EC1298">
              <w:rPr>
                <w:rFonts w:ascii="Book Antiqua" w:hAnsi="Book Antiqua" w:cs="Arial"/>
                <w:b/>
                <w:bCs/>
                <w:color w:val="FFFFFF"/>
              </w:rPr>
              <w:t>Constraints</w:t>
            </w:r>
          </w:p>
        </w:tc>
      </w:tr>
      <w:tr w:rsidR="00351F2C" w:rsidRPr="00EC1298">
        <w:tc>
          <w:tcPr>
            <w:tcW w:w="1504" w:type="dxa"/>
            <w:vMerge w:val="restart"/>
            <w:tcBorders>
              <w:top w:val="single" w:sz="24" w:space="0" w:color="FFFFFF"/>
              <w:bottom w:val="single" w:sz="24" w:space="0" w:color="FFFFFF"/>
              <w:right w:val="single" w:sz="24" w:space="0" w:color="FFFFFF"/>
            </w:tcBorders>
            <w:shd w:val="clear" w:color="auto" w:fill="C6D9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Determining how much revenue should be retained to cover core programme costs</w:t>
            </w:r>
          </w:p>
        </w:tc>
        <w:tc>
          <w:tcPr>
            <w:tcW w:w="1900" w:type="dxa"/>
            <w:tcBorders>
              <w:top w:val="single" w:sz="12" w:space="0" w:color="FFFFFF"/>
              <w:left w:val="single" w:sz="24" w:space="0" w:color="FFFFFF"/>
              <w:bottom w:val="single" w:sz="8"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Allocate based on costs incurred and emissions reductions delivered</w:t>
            </w:r>
          </w:p>
        </w:tc>
        <w:tc>
          <w:tcPr>
            <w:tcW w:w="2800" w:type="dxa"/>
            <w:tcBorders>
              <w:top w:val="single" w:sz="12" w:space="0" w:color="FFFFFF"/>
              <w:left w:val="single" w:sz="24" w:space="0" w:color="FFFFFF"/>
              <w:bottom w:val="single" w:sz="8"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Makes a clear link between funding and the actual costs of delivering a specified level of emissions reductions, reinforces accurate budgeting and planning</w:t>
            </w:r>
          </w:p>
        </w:tc>
        <w:tc>
          <w:tcPr>
            <w:tcW w:w="2800" w:type="dxa"/>
            <w:tcBorders>
              <w:top w:val="single" w:sz="12" w:space="0" w:color="FFFFFF"/>
              <w:left w:val="single" w:sz="24" w:space="0" w:color="FFFFFF"/>
              <w:bottom w:val="single" w:sz="8"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Complex to calculate accurately and difficult to administer, may be more costly to implement</w:t>
            </w:r>
          </w:p>
        </w:tc>
      </w:tr>
      <w:tr w:rsidR="00351F2C" w:rsidRPr="00EC1298">
        <w:tc>
          <w:tcPr>
            <w:tcW w:w="1504" w:type="dxa"/>
            <w:vMerge/>
            <w:tcBorders>
              <w:top w:val="single" w:sz="24" w:space="0" w:color="FFFFFF"/>
              <w:bottom w:val="single" w:sz="24" w:space="0" w:color="FFFFFF"/>
              <w:right w:val="single" w:sz="24" w:space="0" w:color="FFFFFF"/>
            </w:tcBorders>
            <w:shd w:val="clear" w:color="auto" w:fill="C6D9F1"/>
            <w:vAlign w:val="center"/>
          </w:tcPr>
          <w:p w:rsidR="00351F2C" w:rsidRPr="00EC1298" w:rsidRDefault="00351F2C" w:rsidP="00246293">
            <w:pPr>
              <w:spacing w:before="20" w:after="20"/>
              <w:rPr>
                <w:rFonts w:ascii="Book Antiqua" w:hAnsi="Book Antiqua" w:cs="Arial"/>
                <w:sz w:val="20"/>
                <w:szCs w:val="20"/>
              </w:rPr>
            </w:pPr>
          </w:p>
        </w:tc>
        <w:tc>
          <w:tcPr>
            <w:tcW w:w="1900"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 xml:space="preserve">Allocate according to percentage/flat fee </w:t>
            </w:r>
          </w:p>
        </w:tc>
        <w:tc>
          <w:tcPr>
            <w:tcW w:w="2800"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Easy to administer and may minimise potential disputes between recipients</w:t>
            </w:r>
          </w:p>
        </w:tc>
        <w:tc>
          <w:tcPr>
            <w:tcW w:w="2800" w:type="dxa"/>
            <w:tcBorders>
              <w:top w:val="single" w:sz="8" w:space="0" w:color="FFFFFF"/>
              <w:left w:val="single" w:sz="24" w:space="0" w:color="FFFFFF"/>
              <w:bottom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May be too low to cover costs of delivery, and may encourage rent-seeking behaviour</w:t>
            </w:r>
          </w:p>
        </w:tc>
      </w:tr>
      <w:tr w:rsidR="00351F2C" w:rsidRPr="00EC1298">
        <w:tc>
          <w:tcPr>
            <w:tcW w:w="1504" w:type="dxa"/>
            <w:vMerge w:val="restart"/>
            <w:tcBorders>
              <w:top w:val="single" w:sz="24" w:space="0" w:color="FFFFFF"/>
              <w:bottom w:val="single" w:sz="24" w:space="0" w:color="FFFFFF"/>
              <w:right w:val="single" w:sz="24" w:space="0" w:color="FFFFFF"/>
            </w:tcBorders>
            <w:shd w:val="clear" w:color="auto" w:fill="C6D9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Setting payment levels and types for local forest land and resource users</w:t>
            </w:r>
          </w:p>
        </w:tc>
        <w:tc>
          <w:tcPr>
            <w:tcW w:w="1900" w:type="dxa"/>
            <w:tcBorders>
              <w:top w:val="single" w:sz="24" w:space="0" w:color="FFFFFF"/>
              <w:left w:val="single" w:sz="24" w:space="0" w:color="FFFFFF"/>
              <w:bottom w:val="single" w:sz="8"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Apply standardised cost norms</w:t>
            </w:r>
          </w:p>
        </w:tc>
        <w:tc>
          <w:tcPr>
            <w:tcW w:w="2800" w:type="dxa"/>
            <w:tcBorders>
              <w:top w:val="single" w:sz="24" w:space="0" w:color="FFFFFF"/>
              <w:left w:val="single" w:sz="24" w:space="0" w:color="FFFFFF"/>
              <w:bottom w:val="single" w:sz="8"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Easy to administer and may minimise potential disputes between recipients</w:t>
            </w:r>
          </w:p>
        </w:tc>
        <w:tc>
          <w:tcPr>
            <w:tcW w:w="2800" w:type="dxa"/>
            <w:tcBorders>
              <w:top w:val="single" w:sz="24" w:space="0" w:color="FFFFFF"/>
              <w:left w:val="single" w:sz="24" w:space="0" w:color="FFFFFF"/>
              <w:bottom w:val="single" w:sz="8"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May be too low to cover costs of delivery and to reflect variation in circumstances and costs. In some cases may not be high enough to provide effective incentives.</w:t>
            </w:r>
          </w:p>
        </w:tc>
      </w:tr>
      <w:tr w:rsidR="00351F2C" w:rsidRPr="00EC1298">
        <w:tc>
          <w:tcPr>
            <w:tcW w:w="1504" w:type="dxa"/>
            <w:vMerge/>
            <w:tcBorders>
              <w:top w:val="single" w:sz="24" w:space="0" w:color="FFFFFF"/>
              <w:bottom w:val="single" w:sz="24" w:space="0" w:color="FFFFFF"/>
              <w:right w:val="single" w:sz="24" w:space="0" w:color="FFFFFF"/>
            </w:tcBorders>
            <w:shd w:val="clear" w:color="auto" w:fill="C6D9F1"/>
            <w:vAlign w:val="center"/>
          </w:tcPr>
          <w:p w:rsidR="00351F2C" w:rsidRPr="00EC1298" w:rsidRDefault="00351F2C" w:rsidP="00246293">
            <w:pPr>
              <w:spacing w:before="20" w:after="20"/>
              <w:rPr>
                <w:rFonts w:ascii="Book Antiqua" w:hAnsi="Book Antiqua" w:cs="Arial"/>
                <w:sz w:val="20"/>
                <w:szCs w:val="20"/>
              </w:rPr>
            </w:pPr>
          </w:p>
        </w:tc>
        <w:tc>
          <w:tcPr>
            <w:tcW w:w="1900" w:type="dxa"/>
            <w:tcBorders>
              <w:top w:val="single" w:sz="8" w:space="0" w:color="FFFFFF"/>
              <w:left w:val="single" w:sz="24" w:space="0" w:color="FFFFFF"/>
              <w:bottom w:val="single" w:sz="8"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Base payments on costs incurred to generate reduced emissions</w:t>
            </w:r>
          </w:p>
        </w:tc>
        <w:tc>
          <w:tcPr>
            <w:tcW w:w="2800" w:type="dxa"/>
            <w:tcBorders>
              <w:top w:val="single" w:sz="8" w:space="0" w:color="FFFFFF"/>
              <w:left w:val="single" w:sz="24" w:space="0" w:color="FFFFFF"/>
              <w:bottom w:val="single" w:sz="8"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Provides a clear link to delivery, and allows for variation in circumstances and costs</w:t>
            </w:r>
          </w:p>
        </w:tc>
        <w:tc>
          <w:tcPr>
            <w:tcW w:w="2800" w:type="dxa"/>
            <w:tcBorders>
              <w:top w:val="single" w:sz="8" w:space="0" w:color="FFFFFF"/>
              <w:left w:val="single" w:sz="24" w:space="0" w:color="FFFFFF"/>
              <w:bottom w:val="single" w:sz="8"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Can be complex and costly to administer</w:t>
            </w:r>
          </w:p>
        </w:tc>
      </w:tr>
      <w:tr w:rsidR="00351F2C" w:rsidRPr="00EC1298">
        <w:tc>
          <w:tcPr>
            <w:tcW w:w="1504" w:type="dxa"/>
            <w:vMerge/>
            <w:tcBorders>
              <w:top w:val="single" w:sz="24" w:space="0" w:color="FFFFFF"/>
              <w:bottom w:val="single" w:sz="24" w:space="0" w:color="FFFFFF"/>
              <w:right w:val="single" w:sz="24" w:space="0" w:color="FFFFFF"/>
            </w:tcBorders>
            <w:shd w:val="clear" w:color="auto" w:fill="C6D9F1"/>
            <w:vAlign w:val="center"/>
          </w:tcPr>
          <w:p w:rsidR="00351F2C" w:rsidRPr="00EC1298" w:rsidRDefault="00351F2C" w:rsidP="00246293">
            <w:pPr>
              <w:spacing w:before="20" w:after="20"/>
              <w:rPr>
                <w:rFonts w:ascii="Book Antiqua" w:hAnsi="Book Antiqua" w:cs="Arial"/>
                <w:sz w:val="20"/>
                <w:szCs w:val="20"/>
              </w:rPr>
            </w:pPr>
          </w:p>
        </w:tc>
        <w:tc>
          <w:tcPr>
            <w:tcW w:w="1900" w:type="dxa"/>
            <w:tcBorders>
              <w:top w:val="single" w:sz="8" w:space="0" w:color="FFFFFF"/>
              <w:left w:val="single" w:sz="24" w:space="0" w:color="FFFFFF"/>
              <w:bottom w:val="single" w:sz="8"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Make cash payments only</w:t>
            </w:r>
          </w:p>
        </w:tc>
        <w:tc>
          <w:tcPr>
            <w:tcW w:w="2800" w:type="dxa"/>
            <w:tcBorders>
              <w:top w:val="single" w:sz="8" w:space="0" w:color="FFFFFF"/>
              <w:left w:val="single" w:sz="24" w:space="0" w:color="FFFFFF"/>
              <w:bottom w:val="single" w:sz="8"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Provides a clear market reward for individual actions and changed behaviour</w:t>
            </w:r>
          </w:p>
        </w:tc>
        <w:tc>
          <w:tcPr>
            <w:tcW w:w="2800" w:type="dxa"/>
            <w:tcBorders>
              <w:top w:val="single" w:sz="8" w:space="0" w:color="FFFFFF"/>
              <w:left w:val="single" w:sz="24" w:space="0" w:color="FFFFFF"/>
              <w:bottom w:val="single" w:sz="8"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Does not allow for non-monetary or community-level costs and incentives</w:t>
            </w:r>
          </w:p>
        </w:tc>
      </w:tr>
      <w:tr w:rsidR="00351F2C" w:rsidRPr="00EC1298">
        <w:tc>
          <w:tcPr>
            <w:tcW w:w="1504" w:type="dxa"/>
            <w:vMerge/>
            <w:tcBorders>
              <w:top w:val="single" w:sz="24" w:space="0" w:color="FFFFFF"/>
              <w:bottom w:val="single" w:sz="24" w:space="0" w:color="FFFFFF"/>
              <w:right w:val="single" w:sz="24" w:space="0" w:color="FFFFFF"/>
            </w:tcBorders>
            <w:shd w:val="clear" w:color="auto" w:fill="C6D9F1"/>
            <w:vAlign w:val="center"/>
          </w:tcPr>
          <w:p w:rsidR="00351F2C" w:rsidRPr="00EC1298" w:rsidRDefault="00351F2C" w:rsidP="00246293">
            <w:pPr>
              <w:spacing w:before="20" w:after="20"/>
              <w:rPr>
                <w:rFonts w:ascii="Book Antiqua" w:hAnsi="Book Antiqua" w:cs="Arial"/>
                <w:sz w:val="20"/>
                <w:szCs w:val="20"/>
              </w:rPr>
            </w:pPr>
          </w:p>
        </w:tc>
        <w:tc>
          <w:tcPr>
            <w:tcW w:w="1900"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Combine cash payments and non-monetary benefits</w:t>
            </w:r>
          </w:p>
        </w:tc>
        <w:tc>
          <w:tcPr>
            <w:tcW w:w="2800"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Covers both monetary and non-monetary costs and incentives</w:t>
            </w:r>
          </w:p>
        </w:tc>
        <w:tc>
          <w:tcPr>
            <w:tcW w:w="2800" w:type="dxa"/>
            <w:tcBorders>
              <w:top w:val="single" w:sz="8" w:space="0" w:color="FFFFFF"/>
              <w:left w:val="single" w:sz="24" w:space="0" w:color="FFFFFF"/>
              <w:bottom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May be more costly in terms of funding required, demands a greater level of coordinated planning between and within communities and local authorities</w:t>
            </w:r>
          </w:p>
        </w:tc>
      </w:tr>
      <w:tr w:rsidR="00351F2C" w:rsidRPr="00EC1298">
        <w:tc>
          <w:tcPr>
            <w:tcW w:w="1504" w:type="dxa"/>
            <w:vMerge w:val="restart"/>
            <w:tcBorders>
              <w:top w:val="single" w:sz="24" w:space="0" w:color="FFFFFF"/>
              <w:bottom w:val="single" w:sz="24" w:space="0" w:color="FFFFFF"/>
              <w:right w:val="single" w:sz="24" w:space="0" w:color="FFFFFF"/>
            </w:tcBorders>
            <w:shd w:val="clear" w:color="auto" w:fill="C6D9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 xml:space="preserve">Identifying admissible costs and activities to be funded under the </w:t>
            </w:r>
            <w:r w:rsidR="00480D3D">
              <w:rPr>
                <w:rFonts w:ascii="Book Antiqua" w:hAnsi="Book Antiqua" w:cs="Arial"/>
                <w:sz w:val="20"/>
                <w:szCs w:val="20"/>
              </w:rPr>
              <w:t>REDD+</w:t>
            </w:r>
            <w:r w:rsidRPr="00EC1298">
              <w:rPr>
                <w:rFonts w:ascii="Book Antiqua" w:hAnsi="Book Antiqua" w:cs="Arial"/>
                <w:sz w:val="20"/>
                <w:szCs w:val="20"/>
              </w:rPr>
              <w:t xml:space="preserve"> programme</w:t>
            </w:r>
          </w:p>
        </w:tc>
        <w:tc>
          <w:tcPr>
            <w:tcW w:w="1900" w:type="dxa"/>
            <w:tcBorders>
              <w:top w:val="single" w:sz="24" w:space="0" w:color="FFFFFF"/>
              <w:left w:val="single" w:sz="24" w:space="0" w:color="FFFFFF"/>
              <w:bottom w:val="single" w:sz="8"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Release funds solely against performance targets</w:t>
            </w:r>
          </w:p>
        </w:tc>
        <w:tc>
          <w:tcPr>
            <w:tcW w:w="2800" w:type="dxa"/>
            <w:tcBorders>
              <w:top w:val="single" w:sz="24" w:space="0" w:color="FFFFFF"/>
              <w:left w:val="single" w:sz="24" w:space="0" w:color="FFFFFF"/>
              <w:bottom w:val="single" w:sz="8"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 xml:space="preserve">Minimises budgeting and financial monitoring needs, and is more flexible for </w:t>
            </w:r>
            <w:r w:rsidR="00480D3D">
              <w:rPr>
                <w:rFonts w:ascii="Book Antiqua" w:hAnsi="Book Antiqua" w:cs="Arial"/>
                <w:sz w:val="20"/>
                <w:szCs w:val="20"/>
              </w:rPr>
              <w:t>REDD+</w:t>
            </w:r>
            <w:r w:rsidRPr="00EC1298">
              <w:rPr>
                <w:rFonts w:ascii="Book Antiqua" w:hAnsi="Book Antiqua" w:cs="Arial"/>
                <w:sz w:val="20"/>
                <w:szCs w:val="20"/>
              </w:rPr>
              <w:t xml:space="preserve"> participants</w:t>
            </w:r>
          </w:p>
        </w:tc>
        <w:tc>
          <w:tcPr>
            <w:tcW w:w="2800" w:type="dxa"/>
            <w:tcBorders>
              <w:top w:val="single" w:sz="24" w:space="0" w:color="FFFFFF"/>
              <w:left w:val="single" w:sz="24" w:space="0" w:color="FFFFFF"/>
              <w:bottom w:val="single" w:sz="8"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May result in budgets being sidelined for other purposes, and mean that emissions reductions are not effectively met</w:t>
            </w:r>
          </w:p>
        </w:tc>
      </w:tr>
      <w:tr w:rsidR="00351F2C" w:rsidRPr="00EC1298">
        <w:tc>
          <w:tcPr>
            <w:tcW w:w="1504" w:type="dxa"/>
            <w:vMerge/>
            <w:tcBorders>
              <w:top w:val="single" w:sz="24" w:space="0" w:color="FFFFFF"/>
              <w:bottom w:val="single" w:sz="24" w:space="0" w:color="FFFFFF"/>
              <w:right w:val="single" w:sz="24" w:space="0" w:color="FFFFFF"/>
            </w:tcBorders>
            <w:shd w:val="clear" w:color="auto" w:fill="C6D9F1"/>
            <w:vAlign w:val="center"/>
          </w:tcPr>
          <w:p w:rsidR="00351F2C" w:rsidRPr="00EC1298" w:rsidRDefault="00351F2C" w:rsidP="00246293">
            <w:pPr>
              <w:spacing w:before="20" w:after="20"/>
              <w:rPr>
                <w:rFonts w:ascii="Book Antiqua" w:hAnsi="Book Antiqua" w:cs="Arial"/>
                <w:sz w:val="20"/>
                <w:szCs w:val="20"/>
              </w:rPr>
            </w:pPr>
          </w:p>
        </w:tc>
        <w:tc>
          <w:tcPr>
            <w:tcW w:w="1900"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Specify admissible costs and activities</w:t>
            </w:r>
          </w:p>
        </w:tc>
        <w:tc>
          <w:tcPr>
            <w:tcW w:w="2800"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Uses budgeting tools already required for financial planning and funding release, acts as a cross-check on planning effectively for reduced deforestation</w:t>
            </w:r>
          </w:p>
        </w:tc>
        <w:tc>
          <w:tcPr>
            <w:tcW w:w="2800" w:type="dxa"/>
            <w:tcBorders>
              <w:top w:val="single" w:sz="8" w:space="0" w:color="FFFFFF"/>
              <w:left w:val="single" w:sz="24" w:space="0" w:color="FFFFFF"/>
              <w:bottom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 xml:space="preserve">Introduces additional budgeting and financial monitoring requirements, restricts the flexibility of </w:t>
            </w:r>
            <w:r w:rsidR="00480D3D">
              <w:rPr>
                <w:rFonts w:ascii="Book Antiqua" w:hAnsi="Book Antiqua" w:cs="Arial"/>
                <w:sz w:val="20"/>
                <w:szCs w:val="20"/>
              </w:rPr>
              <w:t>REDD+</w:t>
            </w:r>
            <w:r w:rsidRPr="00EC1298">
              <w:rPr>
                <w:rFonts w:ascii="Book Antiqua" w:hAnsi="Book Antiqua" w:cs="Arial"/>
                <w:sz w:val="20"/>
                <w:szCs w:val="20"/>
              </w:rPr>
              <w:t xml:space="preserve"> payments</w:t>
            </w:r>
          </w:p>
        </w:tc>
      </w:tr>
      <w:tr w:rsidR="00351F2C" w:rsidRPr="00EC1298">
        <w:tc>
          <w:tcPr>
            <w:tcW w:w="1504" w:type="dxa"/>
            <w:vMerge w:val="restart"/>
            <w:tcBorders>
              <w:top w:val="single" w:sz="24" w:space="0" w:color="FFFFFF"/>
              <w:bottom w:val="single" w:sz="24" w:space="0" w:color="FFFFFF"/>
              <w:right w:val="single" w:sz="24" w:space="0" w:color="FFFFFF"/>
            </w:tcBorders>
            <w:shd w:val="clear" w:color="auto" w:fill="C6D9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Timing the disbursement of funds</w:t>
            </w:r>
          </w:p>
        </w:tc>
        <w:tc>
          <w:tcPr>
            <w:tcW w:w="1900" w:type="dxa"/>
            <w:tcBorders>
              <w:top w:val="single" w:sz="24" w:space="0" w:color="FFFFFF"/>
              <w:left w:val="single" w:sz="24" w:space="0" w:color="FFFFFF"/>
              <w:bottom w:val="single" w:sz="8"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Release funds ex-post: after delivery of agreed activities</w:t>
            </w:r>
          </w:p>
        </w:tc>
        <w:tc>
          <w:tcPr>
            <w:tcW w:w="2800" w:type="dxa"/>
            <w:tcBorders>
              <w:top w:val="single" w:sz="24" w:space="0" w:color="FFFFFF"/>
              <w:left w:val="single" w:sz="24" w:space="0" w:color="FFFFFF"/>
              <w:bottom w:val="single" w:sz="8"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Provides clear incentives for performance and delivery</w:t>
            </w:r>
          </w:p>
        </w:tc>
        <w:tc>
          <w:tcPr>
            <w:tcW w:w="2800" w:type="dxa"/>
            <w:tcBorders>
              <w:top w:val="single" w:sz="24" w:space="0" w:color="FFFFFF"/>
              <w:left w:val="single" w:sz="24" w:space="0" w:color="FFFFFF"/>
              <w:bottom w:val="single" w:sz="8"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 xml:space="preserve">Many groups will not be in a position to bear the upfront costs and risks of </w:t>
            </w:r>
            <w:r w:rsidR="00480D3D">
              <w:rPr>
                <w:rFonts w:ascii="Book Antiqua" w:hAnsi="Book Antiqua" w:cs="Arial"/>
                <w:sz w:val="20"/>
                <w:szCs w:val="20"/>
              </w:rPr>
              <w:t>REDD+</w:t>
            </w:r>
            <w:r w:rsidRPr="00EC1298">
              <w:rPr>
                <w:rFonts w:ascii="Book Antiqua" w:hAnsi="Book Antiqua" w:cs="Arial"/>
                <w:sz w:val="20"/>
                <w:szCs w:val="20"/>
              </w:rPr>
              <w:t xml:space="preserve"> actions, and so may reduce the uptake of actions to reduce deforestation</w:t>
            </w:r>
          </w:p>
        </w:tc>
      </w:tr>
      <w:tr w:rsidR="00351F2C" w:rsidRPr="00EC1298">
        <w:tc>
          <w:tcPr>
            <w:tcW w:w="1504" w:type="dxa"/>
            <w:vMerge/>
            <w:tcBorders>
              <w:top w:val="single" w:sz="24" w:space="0" w:color="FFFFFF"/>
              <w:right w:val="single" w:sz="24" w:space="0" w:color="FFFFFF"/>
            </w:tcBorders>
            <w:shd w:val="clear" w:color="auto" w:fill="C6D9F1"/>
            <w:vAlign w:val="center"/>
          </w:tcPr>
          <w:p w:rsidR="00351F2C" w:rsidRPr="00EC1298" w:rsidRDefault="00351F2C" w:rsidP="00246293">
            <w:pPr>
              <w:spacing w:before="20" w:after="20"/>
              <w:rPr>
                <w:rFonts w:ascii="Book Antiqua" w:hAnsi="Book Antiqua" w:cs="Arial"/>
                <w:sz w:val="20"/>
                <w:szCs w:val="20"/>
              </w:rPr>
            </w:pPr>
          </w:p>
        </w:tc>
        <w:tc>
          <w:tcPr>
            <w:tcW w:w="1900" w:type="dxa"/>
            <w:tcBorders>
              <w:top w:val="single" w:sz="8" w:space="0" w:color="FFFFFF"/>
              <w:left w:val="single" w:sz="24"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Make a phased release of funds from initiation onwards</w:t>
            </w:r>
          </w:p>
        </w:tc>
        <w:tc>
          <w:tcPr>
            <w:tcW w:w="2800" w:type="dxa"/>
            <w:tcBorders>
              <w:top w:val="single" w:sz="8" w:space="0" w:color="FFFFFF"/>
              <w:left w:val="single" w:sz="24" w:space="0" w:color="FFFFFF"/>
              <w:righ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 xml:space="preserve">Spreads the risk of delivery, matches the timing of costs of avoided deforestation actions, engages interest and buy-in for </w:t>
            </w:r>
            <w:r w:rsidR="00480D3D">
              <w:rPr>
                <w:rFonts w:ascii="Book Antiqua" w:hAnsi="Book Antiqua" w:cs="Arial"/>
                <w:sz w:val="20"/>
                <w:szCs w:val="20"/>
              </w:rPr>
              <w:t>REDD+</w:t>
            </w:r>
            <w:r w:rsidRPr="00EC1298">
              <w:rPr>
                <w:rFonts w:ascii="Book Antiqua" w:hAnsi="Book Antiqua" w:cs="Arial"/>
                <w:sz w:val="20"/>
                <w:szCs w:val="20"/>
              </w:rPr>
              <w:t xml:space="preserve"> actions</w:t>
            </w:r>
          </w:p>
        </w:tc>
        <w:tc>
          <w:tcPr>
            <w:tcW w:w="2800" w:type="dxa"/>
            <w:tcBorders>
              <w:top w:val="single" w:sz="8" w:space="0" w:color="FFFFFF"/>
              <w:left w:val="single" w:sz="24" w:space="0" w:color="FFFFFF"/>
            </w:tcBorders>
            <w:shd w:val="clear" w:color="auto" w:fill="DBE5F1"/>
            <w:vAlign w:val="center"/>
          </w:tcPr>
          <w:p w:rsidR="00351F2C" w:rsidRPr="00EC1298" w:rsidRDefault="00351F2C" w:rsidP="00246293">
            <w:pPr>
              <w:spacing w:before="20" w:after="20"/>
              <w:rPr>
                <w:rFonts w:ascii="Book Antiqua" w:hAnsi="Book Antiqua" w:cs="Arial"/>
                <w:sz w:val="20"/>
                <w:szCs w:val="20"/>
              </w:rPr>
            </w:pPr>
            <w:r w:rsidRPr="00EC1298">
              <w:rPr>
                <w:rFonts w:ascii="Book Antiqua" w:hAnsi="Book Antiqua" w:cs="Arial"/>
                <w:sz w:val="20"/>
                <w:szCs w:val="20"/>
              </w:rPr>
              <w:t>Increases the burden of risk for central government, and increases the needs to seek pre-financing and start-up funds</w:t>
            </w:r>
          </w:p>
        </w:tc>
      </w:tr>
    </w:tbl>
    <w:p w:rsidR="00351F2C" w:rsidRPr="00445F77" w:rsidRDefault="00351F2C" w:rsidP="00522F5C">
      <w:pPr>
        <w:spacing w:after="0"/>
        <w:rPr>
          <w:rFonts w:ascii="Arial" w:hAnsi="Arial" w:cs="Arial"/>
          <w:sz w:val="24"/>
          <w:szCs w:val="24"/>
        </w:rPr>
      </w:pPr>
    </w:p>
    <w:p w:rsidR="00351F2C" w:rsidRPr="00445F77" w:rsidRDefault="00351F2C" w:rsidP="00A256CB">
      <w:pPr>
        <w:pStyle w:val="Heading3"/>
        <w:rPr>
          <w:rFonts w:ascii="Arial" w:hAnsi="Arial" w:cs="Arial"/>
        </w:rPr>
      </w:pPr>
      <w:bookmarkStart w:id="356" w:name="_Toc244735083"/>
      <w:bookmarkStart w:id="357" w:name="_Toc249079557"/>
      <w:bookmarkStart w:id="358" w:name="_Toc243740838"/>
      <w:bookmarkStart w:id="359" w:name="_Toc243984148"/>
      <w:bookmarkStart w:id="360" w:name="_Toc244327674"/>
      <w:bookmarkStart w:id="361" w:name="_Toc244327924"/>
      <w:r w:rsidRPr="00445F77">
        <w:rPr>
          <w:rFonts w:ascii="Arial" w:hAnsi="Arial" w:cs="Arial"/>
        </w:rPr>
        <w:t>R-coefficients</w:t>
      </w:r>
      <w:bookmarkEnd w:id="356"/>
      <w:bookmarkEnd w:id="357"/>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t xml:space="preserve">As has been noted, “K-factors” are factors used as weights for payments to take account of the variation in variables affecting the provision of environmental services, such as forest type and quality. Such factors are equally valid for the conservation of forest carbon as for water or soil.  However, there are key differences when it comes to </w:t>
      </w:r>
      <w:r w:rsidR="00480D3D">
        <w:rPr>
          <w:rFonts w:ascii="Book Antiqua" w:hAnsi="Book Antiqua" w:cs="Arial"/>
        </w:rPr>
        <w:t>REDD+</w:t>
      </w:r>
      <w:r w:rsidRPr="00EC1298">
        <w:rPr>
          <w:rFonts w:ascii="Book Antiqua" w:hAnsi="Book Antiqua" w:cs="Arial"/>
        </w:rPr>
        <w:t xml:space="preserve"> and</w:t>
      </w:r>
      <w:r w:rsidR="001B6D90">
        <w:rPr>
          <w:rFonts w:ascii="Book Antiqua" w:hAnsi="Book Antiqua" w:cs="Arial"/>
        </w:rPr>
        <w:t xml:space="preserve"> PFES</w:t>
      </w:r>
      <w:r w:rsidRPr="00EC1298">
        <w:rPr>
          <w:rFonts w:ascii="Book Antiqua" w:hAnsi="Book Antiqua" w:cs="Arial"/>
        </w:rPr>
        <w:t>.  For</w:t>
      </w:r>
      <w:r w:rsidR="001B6D90">
        <w:rPr>
          <w:rFonts w:ascii="Book Antiqua" w:hAnsi="Book Antiqua" w:cs="Arial"/>
        </w:rPr>
        <w:t xml:space="preserve"> PFES</w:t>
      </w:r>
      <w:r w:rsidRPr="00EC1298">
        <w:rPr>
          <w:rFonts w:ascii="Book Antiqua" w:hAnsi="Book Antiqua" w:cs="Arial"/>
        </w:rPr>
        <w:t xml:space="preserve">, the purchasers of the ecosystem services are local, the contract is direct (or almost </w:t>
      </w:r>
      <w:r w:rsidRPr="00EC1298">
        <w:rPr>
          <w:rFonts w:ascii="Book Antiqua" w:hAnsi="Book Antiqua" w:cs="Arial"/>
        </w:rPr>
        <w:lastRenderedPageBreak/>
        <w:t xml:space="preserve">direct) with the providers of the service, so “K-factors” are used simply to determine the appropriate payments to individual households.  </w:t>
      </w:r>
    </w:p>
    <w:p w:rsidR="00351F2C" w:rsidRPr="00EC1298" w:rsidRDefault="00351F2C" w:rsidP="00BC266C">
      <w:pPr>
        <w:spacing w:after="0" w:line="300" w:lineRule="exact"/>
        <w:jc w:val="both"/>
        <w:rPr>
          <w:rFonts w:ascii="Book Antiqua" w:hAnsi="Book Antiqua" w:cs="Arial"/>
        </w:rPr>
      </w:pPr>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t xml:space="preserve">In contrast, under </w:t>
      </w:r>
      <w:r w:rsidR="00480D3D">
        <w:rPr>
          <w:rFonts w:ascii="Book Antiqua" w:hAnsi="Book Antiqua" w:cs="Arial"/>
        </w:rPr>
        <w:t>REDD+</w:t>
      </w:r>
      <w:r w:rsidRPr="00EC1298">
        <w:rPr>
          <w:rFonts w:ascii="Book Antiqua" w:hAnsi="Book Antiqua" w:cs="Arial"/>
        </w:rPr>
        <w:t xml:space="preserve">, the purchasers of the conserved carbon are global, and payments are made through national governments and one or more sub-national agencies before reaching the ultimate beneficiaries.  Since </w:t>
      </w:r>
      <w:r w:rsidR="00480D3D">
        <w:rPr>
          <w:rFonts w:ascii="Book Antiqua" w:hAnsi="Book Antiqua" w:cs="Arial"/>
        </w:rPr>
        <w:t>REDD+</w:t>
      </w:r>
      <w:r w:rsidRPr="00EC1298">
        <w:rPr>
          <w:rFonts w:ascii="Book Antiqua" w:hAnsi="Book Antiqua" w:cs="Arial"/>
        </w:rPr>
        <w:t xml:space="preserve"> payments are performance-based, but other goals such as poverty alleviation also need to be considered too, it is necessary to develop coefficients to determine the appropriate distribution of </w:t>
      </w:r>
      <w:r w:rsidR="00480D3D">
        <w:rPr>
          <w:rFonts w:ascii="Book Antiqua" w:hAnsi="Book Antiqua" w:cs="Arial"/>
        </w:rPr>
        <w:t>REDD+</w:t>
      </w:r>
      <w:r w:rsidRPr="00EC1298">
        <w:rPr>
          <w:rFonts w:ascii="Book Antiqua" w:hAnsi="Book Antiqua" w:cs="Arial"/>
        </w:rPr>
        <w:t xml:space="preserve"> benefits, initially to provinces, and then to districts and to local beneficiaries.  </w:t>
      </w:r>
    </w:p>
    <w:p w:rsidR="00351F2C" w:rsidRPr="00EC1298" w:rsidRDefault="00351F2C" w:rsidP="00BC266C">
      <w:pPr>
        <w:spacing w:after="0" w:line="300" w:lineRule="exact"/>
        <w:jc w:val="both"/>
        <w:rPr>
          <w:rFonts w:ascii="Book Antiqua" w:hAnsi="Book Antiqua" w:cs="Arial"/>
        </w:rPr>
      </w:pPr>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t xml:space="preserve">These coefficients, which might be termed “R-coefficients”, need to reflect a balance between the social and economic goals of the government and actual contributions to emissions reductions, while maintaining a strong link to </w:t>
      </w:r>
      <w:r w:rsidR="00480D3D">
        <w:rPr>
          <w:rFonts w:ascii="Book Antiqua" w:hAnsi="Book Antiqua" w:cs="Arial"/>
        </w:rPr>
        <w:t>REDD+</w:t>
      </w:r>
      <w:r w:rsidRPr="00EC1298">
        <w:rPr>
          <w:rFonts w:ascii="Book Antiqua" w:hAnsi="Book Antiqua" w:cs="Arial"/>
        </w:rPr>
        <w:t xml:space="preserve"> performance. The coefficients will almost certainly differ at the different levels of benefit distribution.  Therefore, R-coefficients governing the distribution of benefits to provinces, to districts, and locally need to be developed (i.e., R</w:t>
      </w:r>
      <w:r w:rsidRPr="00EC1298">
        <w:rPr>
          <w:rFonts w:ascii="Book Antiqua" w:hAnsi="Book Antiqua" w:cs="Arial"/>
          <w:vertAlign w:val="subscript"/>
        </w:rPr>
        <w:t>P</w:t>
      </w:r>
      <w:r w:rsidRPr="00EC1298">
        <w:rPr>
          <w:rFonts w:ascii="Book Antiqua" w:hAnsi="Book Antiqua" w:cs="Arial"/>
        </w:rPr>
        <w:t>, R</w:t>
      </w:r>
      <w:r w:rsidRPr="00EC1298">
        <w:rPr>
          <w:rFonts w:ascii="Book Antiqua" w:hAnsi="Book Antiqua" w:cs="Arial"/>
          <w:vertAlign w:val="subscript"/>
        </w:rPr>
        <w:t>D</w:t>
      </w:r>
      <w:r w:rsidRPr="00EC1298">
        <w:rPr>
          <w:rFonts w:ascii="Book Antiqua" w:hAnsi="Book Antiqua" w:cs="Arial"/>
        </w:rPr>
        <w:t>, and R</w:t>
      </w:r>
      <w:r w:rsidRPr="00EC1298">
        <w:rPr>
          <w:rFonts w:ascii="Book Antiqua" w:hAnsi="Book Antiqua" w:cs="Arial"/>
          <w:vertAlign w:val="subscript"/>
        </w:rPr>
        <w:t>L)</w:t>
      </w:r>
      <w:r w:rsidRPr="00EC1298">
        <w:rPr>
          <w:rFonts w:ascii="Book Antiqua" w:hAnsi="Book Antiqua" w:cs="Arial"/>
        </w:rPr>
        <w:t xml:space="preserve">.  </w:t>
      </w:r>
    </w:p>
    <w:p w:rsidR="00351F2C" w:rsidRPr="00EC1298" w:rsidRDefault="00351F2C" w:rsidP="00BC266C">
      <w:pPr>
        <w:spacing w:after="0" w:line="300" w:lineRule="exact"/>
        <w:jc w:val="both"/>
        <w:rPr>
          <w:rFonts w:ascii="Book Antiqua" w:hAnsi="Book Antiqua" w:cs="Arial"/>
        </w:rPr>
      </w:pPr>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t>Table 5.2 indicates the type of variables that might be included in R-coefficients at different levels.  However, a decision on the actual construction of R-coefficients requires further analysis and consultation (see Policy Decision box 5.2).</w:t>
      </w:r>
    </w:p>
    <w:p w:rsidR="00351F2C" w:rsidRPr="00EC1298" w:rsidRDefault="00351F2C" w:rsidP="00BC266C">
      <w:pPr>
        <w:pStyle w:val="Heading4"/>
        <w:jc w:val="center"/>
        <w:rPr>
          <w:rFonts w:ascii="Book Antiqua" w:hAnsi="Book Antiqua" w:cs="Arial"/>
          <w:i w:val="0"/>
          <w:iCs w:val="0"/>
          <w:color w:val="000000"/>
          <w:sz w:val="22"/>
        </w:rPr>
      </w:pPr>
      <w:r w:rsidRPr="00EC1298">
        <w:rPr>
          <w:rFonts w:ascii="Book Antiqua" w:hAnsi="Book Antiqua" w:cs="Arial"/>
          <w:i w:val="0"/>
          <w:iCs w:val="0"/>
          <w:color w:val="000000"/>
          <w:sz w:val="22"/>
        </w:rPr>
        <w:t>Table 5.2: Possible Elements of Performance to be reflected in a K-Factor</w:t>
      </w:r>
    </w:p>
    <w:tbl>
      <w:tblPr>
        <w:tblW w:w="910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0A0"/>
      </w:tblPr>
      <w:tblGrid>
        <w:gridCol w:w="1199"/>
        <w:gridCol w:w="7909"/>
      </w:tblGrid>
      <w:tr w:rsidR="00351F2C" w:rsidRPr="00EC1298">
        <w:trPr>
          <w:jc w:val="center"/>
        </w:trPr>
        <w:tc>
          <w:tcPr>
            <w:tcW w:w="1098" w:type="dxa"/>
            <w:tcBorders>
              <w:top w:val="single" w:sz="8" w:space="0" w:color="FFFFFF"/>
              <w:left w:val="single" w:sz="8" w:space="0" w:color="FFFFFF"/>
              <w:bottom w:val="single" w:sz="8" w:space="0" w:color="FFFFFF"/>
              <w:right w:val="single" w:sz="8" w:space="0" w:color="FFFFFF"/>
            </w:tcBorders>
            <w:shd w:val="clear" w:color="auto" w:fill="95B3D7"/>
            <w:tcMar>
              <w:top w:w="0" w:type="dxa"/>
              <w:left w:w="108" w:type="dxa"/>
              <w:bottom w:w="0" w:type="dxa"/>
              <w:right w:w="108" w:type="dxa"/>
            </w:tcMar>
          </w:tcPr>
          <w:p w:rsidR="00351F2C" w:rsidRPr="00EC1298" w:rsidRDefault="00351F2C" w:rsidP="00275FBB">
            <w:pPr>
              <w:spacing w:after="0" w:line="240" w:lineRule="auto"/>
              <w:jc w:val="center"/>
              <w:rPr>
                <w:rFonts w:ascii="Book Antiqua" w:hAnsi="Book Antiqua" w:cs="Arial"/>
                <w:b/>
                <w:bCs/>
              </w:rPr>
            </w:pPr>
            <w:r w:rsidRPr="00EC1298">
              <w:rPr>
                <w:rFonts w:ascii="Book Antiqua" w:hAnsi="Book Antiqua" w:cs="Arial"/>
                <w:b/>
                <w:bCs/>
              </w:rPr>
              <w:t>Level</w:t>
            </w:r>
          </w:p>
        </w:tc>
        <w:tc>
          <w:tcPr>
            <w:tcW w:w="8010" w:type="dxa"/>
            <w:tcBorders>
              <w:top w:val="single" w:sz="8" w:space="0" w:color="FFFFFF"/>
              <w:left w:val="single" w:sz="8" w:space="0" w:color="FFFFFF"/>
              <w:bottom w:val="single" w:sz="8" w:space="0" w:color="FFFFFF"/>
              <w:right w:val="single" w:sz="8" w:space="0" w:color="FFFFFF"/>
            </w:tcBorders>
            <w:shd w:val="clear" w:color="auto" w:fill="95B3D7"/>
            <w:tcMar>
              <w:top w:w="0" w:type="dxa"/>
              <w:left w:w="108" w:type="dxa"/>
              <w:bottom w:w="0" w:type="dxa"/>
              <w:right w:w="108" w:type="dxa"/>
            </w:tcMar>
          </w:tcPr>
          <w:p w:rsidR="00351F2C" w:rsidRPr="00EC1298" w:rsidRDefault="00351F2C" w:rsidP="00275FBB">
            <w:pPr>
              <w:spacing w:after="0" w:line="240" w:lineRule="auto"/>
              <w:jc w:val="center"/>
              <w:rPr>
                <w:rFonts w:ascii="Book Antiqua" w:hAnsi="Book Antiqua" w:cs="Arial"/>
                <w:b/>
                <w:bCs/>
              </w:rPr>
            </w:pPr>
            <w:r w:rsidRPr="00EC1298">
              <w:rPr>
                <w:rFonts w:ascii="Book Antiqua" w:hAnsi="Book Antiqua" w:cs="Arial"/>
                <w:b/>
                <w:bCs/>
              </w:rPr>
              <w:t>Element</w:t>
            </w:r>
          </w:p>
        </w:tc>
      </w:tr>
      <w:tr w:rsidR="00351F2C" w:rsidRPr="00445F77">
        <w:trPr>
          <w:jc w:val="center"/>
        </w:trPr>
        <w:tc>
          <w:tcPr>
            <w:tcW w:w="1098" w:type="dxa"/>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tcPr>
          <w:p w:rsidR="00351F2C" w:rsidRPr="00EC1298" w:rsidRDefault="00351F2C" w:rsidP="00275FBB">
            <w:pPr>
              <w:spacing w:after="0" w:line="240" w:lineRule="auto"/>
              <w:rPr>
                <w:rFonts w:ascii="Book Antiqua" w:hAnsi="Book Antiqua" w:cs="Arial"/>
                <w:sz w:val="20"/>
                <w:szCs w:val="20"/>
              </w:rPr>
            </w:pPr>
            <w:r w:rsidRPr="00EC1298">
              <w:rPr>
                <w:rFonts w:ascii="Book Antiqua" w:hAnsi="Book Antiqua" w:cs="Arial"/>
                <w:sz w:val="20"/>
                <w:szCs w:val="20"/>
              </w:rPr>
              <w:t>Provincial</w:t>
            </w:r>
          </w:p>
        </w:tc>
        <w:tc>
          <w:tcPr>
            <w:tcW w:w="80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tcPr>
          <w:p w:rsidR="00351F2C" w:rsidRPr="00EC1298" w:rsidRDefault="00351F2C" w:rsidP="008227FD">
            <w:pPr>
              <w:pStyle w:val="ListParagraph"/>
              <w:numPr>
                <w:ilvl w:val="0"/>
                <w:numId w:val="74"/>
              </w:numPr>
              <w:spacing w:after="0" w:line="240" w:lineRule="auto"/>
              <w:ind w:left="162" w:hanging="180"/>
              <w:contextualSpacing w:val="0"/>
              <w:jc w:val="both"/>
              <w:rPr>
                <w:rFonts w:ascii="Book Antiqua" w:hAnsi="Book Antiqua" w:cs="Arial"/>
                <w:sz w:val="20"/>
                <w:szCs w:val="20"/>
                <w:lang w:val="en-GB"/>
              </w:rPr>
            </w:pPr>
            <w:r w:rsidRPr="00EC1298">
              <w:rPr>
                <w:rFonts w:ascii="Book Antiqua" w:hAnsi="Book Antiqua" w:cs="Arial"/>
                <w:sz w:val="20"/>
                <w:szCs w:val="20"/>
                <w:lang w:val="en-GB"/>
              </w:rPr>
              <w:t>Performance against national performance (as measured  by provincial REL)</w:t>
            </w:r>
          </w:p>
          <w:p w:rsidR="00351F2C" w:rsidRPr="00EC1298" w:rsidRDefault="00351F2C" w:rsidP="008227FD">
            <w:pPr>
              <w:pStyle w:val="ListParagraph"/>
              <w:numPr>
                <w:ilvl w:val="0"/>
                <w:numId w:val="74"/>
              </w:numPr>
              <w:spacing w:after="0" w:line="240" w:lineRule="auto"/>
              <w:ind w:left="162" w:hanging="180"/>
              <w:contextualSpacing w:val="0"/>
              <w:jc w:val="both"/>
              <w:rPr>
                <w:rFonts w:ascii="Book Antiqua" w:hAnsi="Book Antiqua" w:cs="Arial"/>
                <w:sz w:val="20"/>
                <w:szCs w:val="20"/>
                <w:lang w:val="en-GB"/>
              </w:rPr>
            </w:pPr>
            <w:r w:rsidRPr="00EC1298">
              <w:rPr>
                <w:rFonts w:ascii="Book Antiqua" w:hAnsi="Book Antiqua" w:cs="Arial"/>
                <w:sz w:val="20"/>
                <w:szCs w:val="20"/>
                <w:lang w:val="en-GB"/>
              </w:rPr>
              <w:t>Provincial GDP as a percentage of national GDP</w:t>
            </w:r>
          </w:p>
          <w:p w:rsidR="00351F2C" w:rsidRPr="00EC1298" w:rsidRDefault="00351F2C" w:rsidP="008227FD">
            <w:pPr>
              <w:pStyle w:val="ListParagraph"/>
              <w:numPr>
                <w:ilvl w:val="0"/>
                <w:numId w:val="74"/>
              </w:numPr>
              <w:spacing w:after="0" w:line="240" w:lineRule="auto"/>
              <w:ind w:left="162" w:hanging="180"/>
              <w:contextualSpacing w:val="0"/>
              <w:jc w:val="both"/>
              <w:rPr>
                <w:rFonts w:ascii="Book Antiqua" w:hAnsi="Book Antiqua" w:cs="Arial"/>
                <w:sz w:val="20"/>
                <w:szCs w:val="20"/>
                <w:lang w:val="en-GB"/>
              </w:rPr>
            </w:pPr>
            <w:r w:rsidRPr="00EC1298">
              <w:rPr>
                <w:rFonts w:ascii="Book Antiqua" w:hAnsi="Book Antiqua" w:cs="Arial"/>
                <w:sz w:val="20"/>
                <w:szCs w:val="20"/>
                <w:lang w:val="en-GB"/>
              </w:rPr>
              <w:t>Percentage of forest land allocated to households (may not ensure payments/benefits get to forest owning households)</w:t>
            </w:r>
          </w:p>
        </w:tc>
      </w:tr>
      <w:tr w:rsidR="00351F2C" w:rsidRPr="00445F77">
        <w:trPr>
          <w:jc w:val="center"/>
        </w:trPr>
        <w:tc>
          <w:tcPr>
            <w:tcW w:w="1098" w:type="dxa"/>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tcPr>
          <w:p w:rsidR="00351F2C" w:rsidRPr="00EC1298" w:rsidRDefault="00351F2C" w:rsidP="00275FBB">
            <w:pPr>
              <w:spacing w:after="0" w:line="240" w:lineRule="auto"/>
              <w:rPr>
                <w:rFonts w:ascii="Book Antiqua" w:hAnsi="Book Antiqua" w:cs="Arial"/>
                <w:sz w:val="20"/>
                <w:szCs w:val="20"/>
              </w:rPr>
            </w:pPr>
            <w:r w:rsidRPr="00EC1298">
              <w:rPr>
                <w:rFonts w:ascii="Book Antiqua" w:hAnsi="Book Antiqua" w:cs="Arial"/>
                <w:sz w:val="20"/>
                <w:szCs w:val="20"/>
              </w:rPr>
              <w:t>District</w:t>
            </w:r>
          </w:p>
        </w:tc>
        <w:tc>
          <w:tcPr>
            <w:tcW w:w="80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tcPr>
          <w:p w:rsidR="00351F2C" w:rsidRPr="00EC1298" w:rsidRDefault="00351F2C" w:rsidP="008227FD">
            <w:pPr>
              <w:pStyle w:val="ListParagraph"/>
              <w:numPr>
                <w:ilvl w:val="0"/>
                <w:numId w:val="74"/>
              </w:numPr>
              <w:spacing w:after="0" w:line="240" w:lineRule="auto"/>
              <w:ind w:left="162" w:hanging="180"/>
              <w:contextualSpacing w:val="0"/>
              <w:jc w:val="both"/>
              <w:rPr>
                <w:rFonts w:ascii="Book Antiqua" w:hAnsi="Book Antiqua" w:cs="Arial"/>
                <w:sz w:val="20"/>
                <w:szCs w:val="20"/>
                <w:lang w:val="en-GB"/>
              </w:rPr>
            </w:pPr>
            <w:r w:rsidRPr="00EC1298">
              <w:rPr>
                <w:rFonts w:ascii="Book Antiqua" w:hAnsi="Book Antiqua" w:cs="Arial"/>
                <w:sz w:val="20"/>
                <w:szCs w:val="20"/>
                <w:lang w:val="en-GB"/>
              </w:rPr>
              <w:t xml:space="preserve">Contribution to provincial performance (methodology to be developed) </w:t>
            </w:r>
          </w:p>
          <w:p w:rsidR="00351F2C" w:rsidRPr="00EC1298" w:rsidRDefault="00351F2C" w:rsidP="008227FD">
            <w:pPr>
              <w:pStyle w:val="ListParagraph"/>
              <w:numPr>
                <w:ilvl w:val="0"/>
                <w:numId w:val="74"/>
              </w:numPr>
              <w:spacing w:after="0" w:line="240" w:lineRule="auto"/>
              <w:ind w:left="162" w:hanging="180"/>
              <w:contextualSpacing w:val="0"/>
              <w:jc w:val="both"/>
              <w:rPr>
                <w:rFonts w:ascii="Book Antiqua" w:hAnsi="Book Antiqua" w:cs="Arial"/>
                <w:sz w:val="20"/>
                <w:szCs w:val="20"/>
                <w:lang w:val="en-GB"/>
              </w:rPr>
            </w:pPr>
            <w:r w:rsidRPr="00EC1298">
              <w:rPr>
                <w:rFonts w:ascii="Book Antiqua" w:hAnsi="Book Antiqua" w:cs="Arial"/>
                <w:sz w:val="20"/>
                <w:szCs w:val="20"/>
                <w:lang w:val="en-GB"/>
              </w:rPr>
              <w:t>District GDP, as a percentage of provincial GDP</w:t>
            </w:r>
          </w:p>
          <w:p w:rsidR="00351F2C" w:rsidRPr="00EC1298" w:rsidRDefault="00351F2C" w:rsidP="008227FD">
            <w:pPr>
              <w:pStyle w:val="ListParagraph"/>
              <w:numPr>
                <w:ilvl w:val="0"/>
                <w:numId w:val="74"/>
              </w:numPr>
              <w:spacing w:after="0" w:line="240" w:lineRule="auto"/>
              <w:ind w:left="162" w:hanging="180"/>
              <w:contextualSpacing w:val="0"/>
              <w:jc w:val="both"/>
              <w:rPr>
                <w:rFonts w:ascii="Book Antiqua" w:hAnsi="Book Antiqua" w:cs="Arial"/>
                <w:sz w:val="20"/>
                <w:szCs w:val="20"/>
                <w:lang w:val="en-GB"/>
              </w:rPr>
            </w:pPr>
            <w:r w:rsidRPr="00EC1298">
              <w:rPr>
                <w:rFonts w:ascii="Book Antiqua" w:hAnsi="Book Antiqua" w:cs="Arial"/>
                <w:sz w:val="20"/>
                <w:szCs w:val="20"/>
                <w:lang w:val="en-GB"/>
              </w:rPr>
              <w:t xml:space="preserve">Percentage of forest land allocated to households </w:t>
            </w:r>
          </w:p>
          <w:p w:rsidR="00351F2C" w:rsidRPr="00EC1298" w:rsidRDefault="00351F2C" w:rsidP="008227FD">
            <w:pPr>
              <w:pStyle w:val="ListParagraph"/>
              <w:numPr>
                <w:ilvl w:val="0"/>
                <w:numId w:val="74"/>
              </w:numPr>
              <w:spacing w:after="0" w:line="240" w:lineRule="auto"/>
              <w:ind w:left="162" w:hanging="180"/>
              <w:contextualSpacing w:val="0"/>
              <w:jc w:val="both"/>
              <w:rPr>
                <w:rFonts w:ascii="Book Antiqua" w:hAnsi="Book Antiqua" w:cs="Arial"/>
                <w:sz w:val="20"/>
                <w:szCs w:val="20"/>
                <w:lang w:val="en-GB"/>
              </w:rPr>
            </w:pPr>
            <w:r w:rsidRPr="00EC1298">
              <w:rPr>
                <w:rFonts w:ascii="Book Antiqua" w:hAnsi="Book Antiqua" w:cs="Arial"/>
                <w:sz w:val="20"/>
                <w:szCs w:val="20"/>
                <w:lang w:val="en-GB"/>
              </w:rPr>
              <w:t>Estimate of the carbon potential of relevant land and the progress to meeting that potential</w:t>
            </w:r>
          </w:p>
        </w:tc>
      </w:tr>
      <w:tr w:rsidR="00351F2C" w:rsidRPr="00445F77">
        <w:trPr>
          <w:jc w:val="center"/>
        </w:trPr>
        <w:tc>
          <w:tcPr>
            <w:tcW w:w="1098" w:type="dxa"/>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tcPr>
          <w:p w:rsidR="00351F2C" w:rsidRPr="00EC1298" w:rsidRDefault="00351F2C" w:rsidP="00275FBB">
            <w:pPr>
              <w:spacing w:after="0" w:line="240" w:lineRule="auto"/>
              <w:rPr>
                <w:rFonts w:ascii="Book Antiqua" w:hAnsi="Book Antiqua" w:cs="Arial"/>
                <w:sz w:val="20"/>
                <w:szCs w:val="20"/>
              </w:rPr>
            </w:pPr>
            <w:r w:rsidRPr="00EC1298">
              <w:rPr>
                <w:rFonts w:ascii="Book Antiqua" w:hAnsi="Book Antiqua" w:cs="Arial"/>
                <w:sz w:val="20"/>
                <w:szCs w:val="20"/>
              </w:rPr>
              <w:t>Local; Household</w:t>
            </w:r>
          </w:p>
        </w:tc>
        <w:tc>
          <w:tcPr>
            <w:tcW w:w="8010" w:type="dxa"/>
            <w:tcBorders>
              <w:top w:val="single" w:sz="8" w:space="0" w:color="FFFFFF"/>
              <w:left w:val="single" w:sz="8" w:space="0" w:color="FFFFFF"/>
              <w:bottom w:val="single" w:sz="8" w:space="0" w:color="FFFFFF"/>
              <w:right w:val="single" w:sz="8" w:space="0" w:color="FFFFFF"/>
            </w:tcBorders>
            <w:shd w:val="clear" w:color="auto" w:fill="DBE5F1"/>
            <w:tcMar>
              <w:top w:w="0" w:type="dxa"/>
              <w:left w:w="108" w:type="dxa"/>
              <w:bottom w:w="0" w:type="dxa"/>
              <w:right w:w="108" w:type="dxa"/>
            </w:tcMar>
          </w:tcPr>
          <w:p w:rsidR="00351F2C" w:rsidRPr="00EC1298" w:rsidRDefault="00351F2C" w:rsidP="008227FD">
            <w:pPr>
              <w:pStyle w:val="ListParagraph"/>
              <w:numPr>
                <w:ilvl w:val="0"/>
                <w:numId w:val="74"/>
              </w:numPr>
              <w:spacing w:after="0" w:line="240" w:lineRule="auto"/>
              <w:ind w:left="162" w:hanging="180"/>
              <w:contextualSpacing w:val="0"/>
              <w:jc w:val="both"/>
              <w:rPr>
                <w:rFonts w:ascii="Book Antiqua" w:hAnsi="Book Antiqua" w:cs="Arial"/>
                <w:sz w:val="20"/>
                <w:szCs w:val="20"/>
                <w:lang w:val="en-GB"/>
              </w:rPr>
            </w:pPr>
            <w:r w:rsidRPr="00EC1298">
              <w:rPr>
                <w:rFonts w:ascii="Book Antiqua" w:hAnsi="Book Antiqua" w:cs="Arial"/>
                <w:sz w:val="20"/>
                <w:szCs w:val="20"/>
                <w:lang w:val="en-GB"/>
              </w:rPr>
              <w:t xml:space="preserve">Performance of sub-district entity (household, commune, </w:t>
            </w:r>
            <w:r w:rsidR="003A6A8D">
              <w:rPr>
                <w:rFonts w:ascii="Book Antiqua" w:hAnsi="Book Antiqua" w:cs="Arial"/>
                <w:sz w:val="20"/>
                <w:szCs w:val="20"/>
                <w:lang w:val="en-GB"/>
              </w:rPr>
              <w:t>SOC</w:t>
            </w:r>
            <w:r w:rsidRPr="00EC1298">
              <w:rPr>
                <w:rFonts w:ascii="Book Antiqua" w:hAnsi="Book Antiqua" w:cs="Arial"/>
                <w:sz w:val="20"/>
                <w:szCs w:val="20"/>
                <w:lang w:val="en-GB"/>
              </w:rPr>
              <w:t>, etc.) as determined by local, participatorially developed performance metric</w:t>
            </w:r>
          </w:p>
          <w:p w:rsidR="00351F2C" w:rsidRPr="00EC1298" w:rsidRDefault="00351F2C" w:rsidP="008227FD">
            <w:pPr>
              <w:pStyle w:val="ListParagraph"/>
              <w:numPr>
                <w:ilvl w:val="0"/>
                <w:numId w:val="74"/>
              </w:numPr>
              <w:spacing w:after="0" w:line="240" w:lineRule="auto"/>
              <w:ind w:left="162" w:hanging="180"/>
              <w:contextualSpacing w:val="0"/>
              <w:jc w:val="both"/>
              <w:rPr>
                <w:rFonts w:ascii="Book Antiqua" w:hAnsi="Book Antiqua" w:cs="Arial"/>
                <w:sz w:val="20"/>
                <w:szCs w:val="20"/>
                <w:lang w:val="en-GB"/>
              </w:rPr>
            </w:pPr>
            <w:r w:rsidRPr="00EC1298">
              <w:rPr>
                <w:rFonts w:ascii="Book Antiqua" w:hAnsi="Book Antiqua" w:cs="Arial"/>
                <w:sz w:val="20"/>
                <w:szCs w:val="20"/>
                <w:lang w:val="en-GB"/>
              </w:rPr>
              <w:t>Estimate of the carbon potential of relevant land and the progress to meeting that potential</w:t>
            </w:r>
          </w:p>
        </w:tc>
      </w:tr>
    </w:tbl>
    <w:p w:rsidR="00351F2C" w:rsidRPr="00445F77" w:rsidRDefault="00351F2C" w:rsidP="00BC266C">
      <w:pPr>
        <w:spacing w:after="0"/>
        <w:jc w:val="both"/>
        <w:rPr>
          <w:rFonts w:ascii="Arial" w:hAnsi="Arial" w:cs="Arial"/>
          <w:sz w:val="24"/>
          <w:szCs w:val="24"/>
        </w:rPr>
      </w:pPr>
    </w:p>
    <w:p w:rsidR="008F6D17" w:rsidRDefault="008F6D17" w:rsidP="00A256CB">
      <w:pPr>
        <w:pStyle w:val="Heading3"/>
        <w:rPr>
          <w:rFonts w:ascii="Arial" w:hAnsi="Arial" w:cs="Arial"/>
        </w:rPr>
      </w:pPr>
      <w:bookmarkStart w:id="362" w:name="_Toc244735084"/>
      <w:bookmarkStart w:id="363" w:name="_Toc249079558"/>
    </w:p>
    <w:p w:rsidR="008F6D17" w:rsidRDefault="008F6D17" w:rsidP="00A256CB">
      <w:pPr>
        <w:pStyle w:val="Heading3"/>
        <w:rPr>
          <w:rFonts w:ascii="Arial" w:hAnsi="Arial" w:cs="Arial"/>
        </w:rPr>
      </w:pPr>
    </w:p>
    <w:p w:rsidR="00351F2C" w:rsidRPr="00445F77" w:rsidRDefault="00351F2C" w:rsidP="00A256CB">
      <w:pPr>
        <w:pStyle w:val="Heading3"/>
        <w:rPr>
          <w:rFonts w:ascii="Arial" w:hAnsi="Arial" w:cs="Arial"/>
        </w:rPr>
      </w:pPr>
      <w:r w:rsidRPr="00445F77">
        <w:rPr>
          <w:rFonts w:ascii="Arial" w:hAnsi="Arial" w:cs="Arial"/>
        </w:rPr>
        <w:t>Options for determining how much revenue should be retained to cover core programme costs</w:t>
      </w:r>
      <w:bookmarkEnd w:id="358"/>
      <w:bookmarkEnd w:id="359"/>
      <w:bookmarkEnd w:id="360"/>
      <w:bookmarkEnd w:id="361"/>
      <w:bookmarkEnd w:id="362"/>
      <w:bookmarkEnd w:id="363"/>
    </w:p>
    <w:p w:rsidR="00351F2C" w:rsidRPr="00EC1298" w:rsidRDefault="00C47C3B" w:rsidP="00BC266C">
      <w:pPr>
        <w:spacing w:after="0" w:line="300" w:lineRule="exact"/>
        <w:jc w:val="both"/>
        <w:rPr>
          <w:rFonts w:ascii="Book Antiqua" w:hAnsi="Book Antiqua" w:cs="Arial"/>
        </w:rPr>
      </w:pPr>
      <w:r>
        <w:rPr>
          <w:rFonts w:ascii="Book Antiqua" w:hAnsi="Book Antiqua" w:cs="Arial"/>
          <w:noProof/>
          <w:lang w:val="en-US"/>
        </w:rPr>
        <w:pict>
          <v:shape id="_x0000_s1514" type="#_x0000_t202" style="position:absolute;left:0;text-align:left;margin-left:2.3pt;margin-top:1.5pt;width:216.15pt;height:206.35pt;z-index:251633152;mso-position-horizontal-relative:margin" fillcolor="#dbe5f1" strokecolor="#1f497d" strokeweight="1.5pt">
            <v:shadow on="t" color="#365f91" opacity=".5" offset="4pt,4pt" offset2="-4pt,-4pt"/>
            <v:textbox style="mso-next-textbox:#_x0000_s1514" inset="1.5mm,1.5mm,1.5mm,1.5mm">
              <w:txbxContent>
                <w:tbl>
                  <w:tblPr>
                    <w:tblW w:w="0" w:type="auto"/>
                    <w:jc w:val="center"/>
                    <w:tblBorders>
                      <w:top w:val="single" w:sz="24" w:space="0" w:color="FFFFFF"/>
                      <w:left w:val="single" w:sz="24" w:space="0" w:color="FFFFFF"/>
                      <w:bottom w:val="single" w:sz="24" w:space="0" w:color="FFFFFF"/>
                      <w:right w:val="single" w:sz="24" w:space="0" w:color="FFFFFF"/>
                      <w:insideH w:val="single" w:sz="12" w:space="0" w:color="FFFFFF"/>
                      <w:insideV w:val="single" w:sz="24" w:space="0" w:color="FFFFFF"/>
                    </w:tblBorders>
                    <w:tblLook w:val="00A0"/>
                  </w:tblPr>
                  <w:tblGrid>
                    <w:gridCol w:w="1062"/>
                    <w:gridCol w:w="1675"/>
                    <w:gridCol w:w="1379"/>
                  </w:tblGrid>
                  <w:tr w:rsidR="00B4351F" w:rsidRPr="0088744B">
                    <w:trPr>
                      <w:tblHeader/>
                      <w:jc w:val="center"/>
                    </w:trPr>
                    <w:tc>
                      <w:tcPr>
                        <w:tcW w:w="1062" w:type="dxa"/>
                        <w:tcBorders>
                          <w:top w:val="single" w:sz="24" w:space="0" w:color="FFFFFF"/>
                          <w:left w:val="single" w:sz="24" w:space="0" w:color="FFFFFF"/>
                          <w:bottom w:val="single" w:sz="12" w:space="0" w:color="FFFFFF"/>
                          <w:right w:val="single" w:sz="24" w:space="0" w:color="FFFFFF"/>
                        </w:tcBorders>
                        <w:shd w:val="clear" w:color="auto" w:fill="365F91"/>
                        <w:vAlign w:val="center"/>
                      </w:tcPr>
                      <w:p w:rsidR="00B4351F" w:rsidRPr="00F74FAA" w:rsidRDefault="00B4351F" w:rsidP="00246293">
                        <w:pPr>
                          <w:spacing w:before="20" w:after="20"/>
                          <w:rPr>
                            <w:b/>
                            <w:bCs/>
                            <w:color w:val="FFFFFF"/>
                            <w:sz w:val="16"/>
                            <w:szCs w:val="16"/>
                          </w:rPr>
                        </w:pPr>
                        <w:r w:rsidRPr="00F74FAA">
                          <w:rPr>
                            <w:b/>
                            <w:bCs/>
                            <w:color w:val="FFFFFF"/>
                            <w:sz w:val="16"/>
                            <w:szCs w:val="16"/>
                          </w:rPr>
                          <w:t>Options</w:t>
                        </w:r>
                      </w:p>
                    </w:tc>
                    <w:tc>
                      <w:tcPr>
                        <w:tcW w:w="1675" w:type="dxa"/>
                        <w:tcBorders>
                          <w:top w:val="single" w:sz="24" w:space="0" w:color="FFFFFF"/>
                          <w:left w:val="single" w:sz="24" w:space="0" w:color="FFFFFF"/>
                          <w:bottom w:val="single" w:sz="12" w:space="0" w:color="FFFFFF"/>
                          <w:right w:val="single" w:sz="24" w:space="0" w:color="FFFFFF"/>
                        </w:tcBorders>
                        <w:shd w:val="clear" w:color="auto" w:fill="365F91"/>
                        <w:vAlign w:val="center"/>
                      </w:tcPr>
                      <w:p w:rsidR="00B4351F" w:rsidRPr="00F74FAA" w:rsidRDefault="00B4351F" w:rsidP="00246293">
                        <w:pPr>
                          <w:spacing w:before="20" w:after="20"/>
                          <w:rPr>
                            <w:b/>
                            <w:bCs/>
                            <w:color w:val="FFFFFF"/>
                            <w:sz w:val="16"/>
                            <w:szCs w:val="16"/>
                          </w:rPr>
                        </w:pPr>
                        <w:r w:rsidRPr="00F74FAA">
                          <w:rPr>
                            <w:b/>
                            <w:bCs/>
                            <w:color w:val="FFFFFF"/>
                            <w:sz w:val="16"/>
                            <w:szCs w:val="16"/>
                          </w:rPr>
                          <w:t>Strengths</w:t>
                        </w:r>
                      </w:p>
                    </w:tc>
                    <w:tc>
                      <w:tcPr>
                        <w:tcW w:w="1379" w:type="dxa"/>
                        <w:tcBorders>
                          <w:top w:val="single" w:sz="24" w:space="0" w:color="FFFFFF"/>
                          <w:left w:val="single" w:sz="24" w:space="0" w:color="FFFFFF"/>
                          <w:bottom w:val="single" w:sz="12" w:space="0" w:color="FFFFFF"/>
                          <w:right w:val="single" w:sz="24" w:space="0" w:color="FFFFFF"/>
                        </w:tcBorders>
                        <w:shd w:val="clear" w:color="auto" w:fill="365F91"/>
                        <w:vAlign w:val="center"/>
                      </w:tcPr>
                      <w:p w:rsidR="00B4351F" w:rsidRPr="00F74FAA" w:rsidRDefault="00B4351F" w:rsidP="00246293">
                        <w:pPr>
                          <w:spacing w:before="20" w:after="20"/>
                          <w:rPr>
                            <w:b/>
                            <w:bCs/>
                            <w:color w:val="FFFFFF"/>
                            <w:sz w:val="16"/>
                            <w:szCs w:val="16"/>
                          </w:rPr>
                        </w:pPr>
                        <w:r w:rsidRPr="00F74FAA">
                          <w:rPr>
                            <w:b/>
                            <w:bCs/>
                            <w:color w:val="FFFFFF"/>
                            <w:sz w:val="16"/>
                            <w:szCs w:val="16"/>
                          </w:rPr>
                          <w:t>Constraints</w:t>
                        </w:r>
                      </w:p>
                    </w:tc>
                  </w:tr>
                  <w:tr w:rsidR="00B4351F" w:rsidRPr="00F010E7">
                    <w:trPr>
                      <w:jc w:val="center"/>
                    </w:trPr>
                    <w:tc>
                      <w:tcPr>
                        <w:tcW w:w="1062" w:type="dxa"/>
                        <w:tcBorders>
                          <w:top w:val="single" w:sz="12" w:space="0" w:color="FFFFFF"/>
                          <w:left w:val="single" w:sz="24" w:space="0" w:color="FFFFFF"/>
                          <w:bottom w:val="single" w:sz="8" w:space="0" w:color="FFFFFF"/>
                          <w:right w:val="single" w:sz="24" w:space="0" w:color="FFFFFF"/>
                        </w:tcBorders>
                        <w:shd w:val="clear" w:color="auto" w:fill="C6D9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Allocate based on costs incurred and emissions reductions delivered</w:t>
                        </w:r>
                      </w:p>
                    </w:tc>
                    <w:tc>
                      <w:tcPr>
                        <w:tcW w:w="1675" w:type="dxa"/>
                        <w:tcBorders>
                          <w:top w:val="single" w:sz="12" w:space="0" w:color="FFFFFF"/>
                          <w:left w:val="single" w:sz="24" w:space="0" w:color="FFFFFF"/>
                          <w:bottom w:val="single" w:sz="8"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Makes a clear link between funding and the actual costs of delivering a specified level of emissions reductions, reinforces accurate budgeting and planning</w:t>
                        </w:r>
                      </w:p>
                    </w:tc>
                    <w:tc>
                      <w:tcPr>
                        <w:tcW w:w="1379" w:type="dxa"/>
                        <w:tcBorders>
                          <w:top w:val="single" w:sz="12" w:space="0" w:color="FFFFFF"/>
                          <w:left w:val="single" w:sz="24" w:space="0" w:color="FFFFFF"/>
                          <w:bottom w:val="single" w:sz="8"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Complex to calculate accurately and difficult to administer, may be more costly to implement</w:t>
                        </w:r>
                      </w:p>
                    </w:tc>
                  </w:tr>
                  <w:tr w:rsidR="00B4351F" w:rsidRPr="00F010E7">
                    <w:trPr>
                      <w:jc w:val="center"/>
                    </w:trPr>
                    <w:tc>
                      <w:tcPr>
                        <w:tcW w:w="1062" w:type="dxa"/>
                        <w:tcBorders>
                          <w:top w:val="single" w:sz="8" w:space="0" w:color="FFFFFF"/>
                          <w:left w:val="single" w:sz="24" w:space="0" w:color="FFFFFF"/>
                          <w:bottom w:val="single" w:sz="24" w:space="0" w:color="FFFFFF"/>
                          <w:right w:val="single" w:sz="24" w:space="0" w:color="FFFFFF"/>
                        </w:tcBorders>
                        <w:shd w:val="clear" w:color="auto" w:fill="C6D9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 xml:space="preserve">Allocate according to percentage/ flat fee </w:t>
                        </w:r>
                      </w:p>
                    </w:tc>
                    <w:tc>
                      <w:tcPr>
                        <w:tcW w:w="1675"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Easy to administer and may minimise potential disputes between recipients</w:t>
                        </w:r>
                      </w:p>
                    </w:tc>
                    <w:tc>
                      <w:tcPr>
                        <w:tcW w:w="1379"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May be too low to cover costs of delivery, and may encourage rent-seeking behaviour</w:t>
                        </w:r>
                      </w:p>
                    </w:tc>
                  </w:tr>
                </w:tbl>
                <w:p w:rsidR="00B4351F" w:rsidRPr="00F74FAA" w:rsidRDefault="00B4351F" w:rsidP="00246293">
                  <w:pPr>
                    <w:pStyle w:val="Bullets"/>
                    <w:spacing w:before="0" w:line="240" w:lineRule="auto"/>
                    <w:ind w:left="0" w:firstLine="0"/>
                    <w:rPr>
                      <w:rFonts w:ascii="Cambria" w:hAnsi="Cambria" w:cs="Cambria"/>
                    </w:rPr>
                  </w:pPr>
                </w:p>
              </w:txbxContent>
            </v:textbox>
            <w10:wrap type="square" anchorx="margin"/>
            <w10:anchorlock/>
          </v:shape>
        </w:pict>
      </w:r>
      <w:r w:rsidR="00351F2C" w:rsidRPr="00EC1298">
        <w:rPr>
          <w:rFonts w:ascii="Book Antiqua" w:hAnsi="Book Antiqua" w:cs="Arial"/>
          <w:noProof/>
          <w:lang w:val="en-US"/>
        </w:rPr>
        <w:t>Different</w:t>
      </w:r>
      <w:r w:rsidR="00351F2C" w:rsidRPr="00EC1298">
        <w:rPr>
          <w:rFonts w:ascii="Book Antiqua" w:hAnsi="Book Antiqua" w:cs="Arial"/>
        </w:rPr>
        <w:t xml:space="preserve"> different levels of government will be primarily responsible for managing </w:t>
      </w:r>
      <w:r w:rsidR="00480D3D">
        <w:rPr>
          <w:rFonts w:ascii="Book Antiqua" w:hAnsi="Book Antiqua" w:cs="Arial"/>
        </w:rPr>
        <w:t>REDD+</w:t>
      </w:r>
      <w:r w:rsidR="00351F2C" w:rsidRPr="00EC1298">
        <w:rPr>
          <w:rFonts w:ascii="Book Antiqua" w:hAnsi="Book Antiqua" w:cs="Arial"/>
        </w:rPr>
        <w:t xml:space="preserve"> funds. As the level to which </w:t>
      </w:r>
      <w:r w:rsidR="00480D3D">
        <w:rPr>
          <w:rFonts w:ascii="Book Antiqua" w:hAnsi="Book Antiqua" w:cs="Arial"/>
        </w:rPr>
        <w:t>REDD+</w:t>
      </w:r>
      <w:r w:rsidR="00351F2C" w:rsidRPr="00EC1298">
        <w:rPr>
          <w:rFonts w:ascii="Book Antiqua" w:hAnsi="Book Antiqua" w:cs="Arial"/>
        </w:rPr>
        <w:t xml:space="preserve"> administration and </w:t>
      </w:r>
      <w:r w:rsidR="00351F2C" w:rsidRPr="00EC1298">
        <w:rPr>
          <w:rFonts w:ascii="Book Antiqua" w:hAnsi="Book Antiqua" w:cs="Arial"/>
        </w:rPr>
        <w:lastRenderedPageBreak/>
        <w:t xml:space="preserve">management might be devolved in </w:t>
      </w:r>
      <w:smartTag w:uri="urn:schemas-microsoft-com:office:smarttags" w:element="country-region">
        <w:smartTag w:uri="urn:schemas-microsoft-com:office:smarttags" w:element="place">
          <w:r w:rsidR="00351F2C" w:rsidRPr="00EC1298">
            <w:rPr>
              <w:rFonts w:ascii="Book Antiqua" w:hAnsi="Book Antiqua" w:cs="Arial"/>
            </w:rPr>
            <w:t>Viet Nam</w:t>
          </w:r>
        </w:smartTag>
      </w:smartTag>
      <w:r w:rsidR="00351F2C" w:rsidRPr="00EC1298">
        <w:rPr>
          <w:rFonts w:ascii="Book Antiqua" w:hAnsi="Book Antiqua" w:cs="Arial"/>
        </w:rPr>
        <w:t xml:space="preserve"> is discussed elsewhere in this document (</w:t>
      </w:r>
      <w:r w:rsidR="000B3E9D">
        <w:rPr>
          <w:rFonts w:ascii="Book Antiqua" w:hAnsi="Book Antiqua" w:cs="Arial"/>
        </w:rPr>
        <w:t>S</w:t>
      </w:r>
      <w:r w:rsidR="00351F2C" w:rsidRPr="00EC1298">
        <w:rPr>
          <w:rFonts w:ascii="Book Antiqua" w:hAnsi="Book Antiqua" w:cs="Arial"/>
        </w:rPr>
        <w:t xml:space="preserve">ections </w:t>
      </w:r>
      <w:r w:rsidR="000B3E9D">
        <w:rPr>
          <w:rFonts w:ascii="Book Antiqua" w:hAnsi="Book Antiqua" w:cs="Arial"/>
        </w:rPr>
        <w:t>3.3 and 4.4</w:t>
      </w:r>
      <w:r w:rsidR="00351F2C" w:rsidRPr="00EC1298">
        <w:rPr>
          <w:rFonts w:ascii="Book Antiqua" w:hAnsi="Book Antiqua" w:cs="Arial"/>
        </w:rPr>
        <w:t xml:space="preserve">) it will not be covered here. It should be noted though that from past experience the greater the number of levels of devolution, the higher the relative costs of management will be (as will be the opportunities for rent seeking in the system).  So from an efficiency perspective it is preferable to minimise the number of stakeholders in the funding supply chain (van Noordwijk </w:t>
      </w:r>
      <w:r w:rsidR="00351F2C" w:rsidRPr="00EC1298">
        <w:rPr>
          <w:rFonts w:ascii="Book Antiqua" w:hAnsi="Book Antiqua" w:cs="Arial"/>
          <w:i/>
          <w:iCs/>
        </w:rPr>
        <w:t>et al</w:t>
      </w:r>
      <w:r w:rsidR="00351F2C" w:rsidRPr="00EC1298">
        <w:rPr>
          <w:rFonts w:ascii="Book Antiqua" w:hAnsi="Book Antiqua" w:cs="Arial"/>
        </w:rPr>
        <w:t xml:space="preserve"> 2008). </w:t>
      </w:r>
    </w:p>
    <w:p w:rsidR="00351F2C" w:rsidRPr="00EC1298" w:rsidRDefault="00351F2C" w:rsidP="00BC266C">
      <w:pPr>
        <w:spacing w:after="0" w:line="300" w:lineRule="exact"/>
        <w:jc w:val="both"/>
        <w:rPr>
          <w:rFonts w:ascii="Book Antiqua" w:hAnsi="Book Antiqua" w:cs="Arial"/>
        </w:rPr>
      </w:pPr>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t xml:space="preserve">In relation to costs and retention, an important issue is whether the amount of funds retained to cover core management expenditures should be set as a fixed percentage of </w:t>
      </w:r>
      <w:r w:rsidR="00480D3D">
        <w:rPr>
          <w:rFonts w:ascii="Book Antiqua" w:hAnsi="Book Antiqua" w:cs="Arial"/>
        </w:rPr>
        <w:t>REDD+</w:t>
      </w:r>
      <w:r w:rsidRPr="00EC1298">
        <w:rPr>
          <w:rFonts w:ascii="Book Antiqua" w:hAnsi="Book Antiqua" w:cs="Arial"/>
        </w:rPr>
        <w:t xml:space="preserve"> payments, or whether it should be equated to actual costs incurred, in other words whether retention levels should be standardised or differentiated. In practice, the former is generally considered the more realistic option – to specify an indicative percentage that will be allocated for management and administration. Experience shows that this is the formula that is most commonly applied in</w:t>
      </w:r>
      <w:r w:rsidR="001B6D90">
        <w:rPr>
          <w:rFonts w:ascii="Book Antiqua" w:hAnsi="Book Antiqua" w:cs="Arial"/>
        </w:rPr>
        <w:t xml:space="preserve"> PFES</w:t>
      </w:r>
      <w:r w:rsidRPr="00EC1298">
        <w:rPr>
          <w:rFonts w:ascii="Book Antiqua" w:hAnsi="Book Antiqua" w:cs="Arial"/>
        </w:rPr>
        <w:t xml:space="preserve"> and similar schemes. Both Programme 661 and</w:t>
      </w:r>
      <w:r w:rsidR="001B6D90">
        <w:rPr>
          <w:rFonts w:ascii="Book Antiqua" w:hAnsi="Book Antiqua" w:cs="Arial"/>
        </w:rPr>
        <w:t xml:space="preserve"> PFES</w:t>
      </w:r>
      <w:r w:rsidRPr="00EC1298">
        <w:rPr>
          <w:rFonts w:ascii="Book Antiqua" w:hAnsi="Book Antiqua" w:cs="Arial"/>
        </w:rPr>
        <w:t xml:space="preserve">/FDPF for example specify a fixed maximum percentage of funds to be retained for management. Similarly, national-level PES schemes such as the National Programme for Hydrological Environmental Services in Mexico and the National Fund for Forest Financing in Costa Rica require by law that administrative costs have a ceiling of 4% and 7% respectively of the total budget (Wertz-Kanounnikoff 2008). For </w:t>
      </w:r>
      <w:smartTag w:uri="urn:schemas-microsoft-com:office:smarttags" w:element="country-region">
        <w:r w:rsidRPr="00EC1298">
          <w:rPr>
            <w:rFonts w:ascii="Book Antiqua" w:hAnsi="Book Antiqua" w:cs="Arial"/>
          </w:rPr>
          <w:t>Ecuador</w:t>
        </w:r>
      </w:smartTag>
      <w:r w:rsidRPr="00EC1298">
        <w:rPr>
          <w:rFonts w:ascii="Book Antiqua" w:hAnsi="Book Antiqua" w:cs="Arial"/>
        </w:rPr>
        <w:t xml:space="preserve">’s Water Conservation Fund in </w:t>
      </w:r>
      <w:smartTag w:uri="urn:schemas-microsoft-com:office:smarttags" w:element="City">
        <w:smartTag w:uri="urn:schemas-microsoft-com:office:smarttags" w:element="place">
          <w:r w:rsidRPr="00EC1298">
            <w:rPr>
              <w:rFonts w:ascii="Book Antiqua" w:hAnsi="Book Antiqua" w:cs="Arial"/>
            </w:rPr>
            <w:t>Quito</w:t>
          </w:r>
        </w:smartTag>
      </w:smartTag>
      <w:r w:rsidRPr="00EC1298">
        <w:rPr>
          <w:rFonts w:ascii="Book Antiqua" w:hAnsi="Book Antiqua" w:cs="Arial"/>
        </w:rPr>
        <w:t xml:space="preserve">, administration costs are limited to 10-20% total expenditure. Under the Federal Constitution, 75% of the revenues from Brazil’s “Ecological Value-Added Tax” are retained at the central level, and 25% allocated to the municipalities; of this share, 75% are distributed according to an index of municipal economic output, and the remaining quarter are distributed according to criteria defined by each state (May </w:t>
      </w:r>
      <w:r w:rsidRPr="00EC1298">
        <w:rPr>
          <w:rFonts w:ascii="Book Antiqua" w:hAnsi="Book Antiqua" w:cs="Arial"/>
          <w:i/>
          <w:iCs/>
        </w:rPr>
        <w:t>et al</w:t>
      </w:r>
      <w:r w:rsidRPr="00EC1298">
        <w:rPr>
          <w:rFonts w:ascii="Book Antiqua" w:hAnsi="Book Antiqua" w:cs="Arial"/>
        </w:rPr>
        <w:t xml:space="preserve"> 2002).</w:t>
      </w:r>
    </w:p>
    <w:p w:rsidR="00351F2C" w:rsidRPr="00EC1298" w:rsidRDefault="00351F2C" w:rsidP="00BC266C">
      <w:pPr>
        <w:spacing w:after="0" w:line="300" w:lineRule="exact"/>
        <w:jc w:val="both"/>
        <w:rPr>
          <w:rFonts w:ascii="Book Antiqua" w:hAnsi="Book Antiqua" w:cs="Arial"/>
        </w:rPr>
      </w:pPr>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t xml:space="preserve">In relation to </w:t>
      </w:r>
      <w:r w:rsidR="00480D3D">
        <w:rPr>
          <w:rFonts w:ascii="Book Antiqua" w:hAnsi="Book Antiqua" w:cs="Arial"/>
        </w:rPr>
        <w:t>REDD+</w:t>
      </w:r>
      <w:r w:rsidRPr="00EC1298">
        <w:rPr>
          <w:rFonts w:ascii="Book Antiqua" w:hAnsi="Book Antiqua" w:cs="Arial"/>
        </w:rPr>
        <w:t xml:space="preserve">, most countries are still in the early stages of discussing what a realistic retention rate is and how it will be calculated. In </w:t>
      </w:r>
      <w:smartTag w:uri="urn:schemas-microsoft-com:office:smarttags" w:element="country-region">
        <w:smartTag w:uri="urn:schemas-microsoft-com:office:smarttags" w:element="place">
          <w:r w:rsidRPr="00EC1298">
            <w:rPr>
              <w:rFonts w:ascii="Book Antiqua" w:hAnsi="Book Antiqua" w:cs="Arial"/>
            </w:rPr>
            <w:t>Nepal</w:t>
          </w:r>
        </w:smartTag>
      </w:smartTag>
      <w:r w:rsidRPr="00EC1298">
        <w:rPr>
          <w:rFonts w:ascii="Book Antiqua" w:hAnsi="Book Antiqua" w:cs="Arial"/>
        </w:rPr>
        <w:t xml:space="preserve">, for example, there is currently much debate as to the portion of </w:t>
      </w:r>
      <w:r w:rsidR="00480D3D">
        <w:rPr>
          <w:rFonts w:ascii="Book Antiqua" w:hAnsi="Book Antiqua" w:cs="Arial"/>
        </w:rPr>
        <w:t>REDD+</w:t>
      </w:r>
      <w:r w:rsidRPr="00EC1298">
        <w:rPr>
          <w:rFonts w:ascii="Book Antiqua" w:hAnsi="Book Antiqua" w:cs="Arial"/>
        </w:rPr>
        <w:t xml:space="preserve"> payments that the State would retain to cover administrative and monitoring costs, and how this would be divided between different levels of the government administration (Dahal and Banskota 2009). In Indonesia, levels are specified by law, and allow between 10% and 50% to be retained by government (depending on the forest management category; lower levels of government retention apply to Community Forests and Indigenous Peoples’ Forests, and the highest rates apply to Protected Forests and Special Purpose Forest Areas); of this amount, 40% is remitted to central government, 20% to provincial government and 20% to district government</w:t>
      </w:r>
      <w:r w:rsidRPr="00EC1298">
        <w:rPr>
          <w:rStyle w:val="FootnoteReference"/>
          <w:rFonts w:ascii="Book Antiqua" w:hAnsi="Book Antiqua" w:cs="Arial"/>
        </w:rPr>
        <w:footnoteReference w:id="42"/>
      </w:r>
      <w:r w:rsidRPr="00EC1298">
        <w:rPr>
          <w:rFonts w:ascii="Book Antiqua" w:hAnsi="Book Antiqua" w:cs="Arial"/>
        </w:rPr>
        <w:t xml:space="preserve"> (Government of Indonesia 2009).</w:t>
      </w:r>
    </w:p>
    <w:p w:rsidR="00351F2C" w:rsidRPr="00EC1298" w:rsidRDefault="00351F2C" w:rsidP="00BC266C">
      <w:pPr>
        <w:spacing w:after="0" w:line="300" w:lineRule="exact"/>
        <w:jc w:val="both"/>
        <w:rPr>
          <w:rFonts w:ascii="Book Antiqua" w:hAnsi="Book Antiqua" w:cs="Arial"/>
        </w:rPr>
      </w:pPr>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t xml:space="preserve">The level at which this fixed percentage is set should not, however, be set arbitrarily. This runs the risk of leading to a situation where some groups cannot cover their costs, and may encourage rent-seeking behaviour and inappropriate expenditures among others. It needs to be grounded in reality, in other words it should be informed by the estimated </w:t>
      </w:r>
      <w:r w:rsidRPr="00EC1298">
        <w:rPr>
          <w:rFonts w:ascii="Book Antiqua" w:hAnsi="Book Antiqua" w:cs="Arial"/>
        </w:rPr>
        <w:lastRenderedPageBreak/>
        <w:t>real costs to be incurred as well as the delivery of specified emissions targets. Retention should reflect effort, performance and delivery.</w:t>
      </w:r>
    </w:p>
    <w:p w:rsidR="00351F2C" w:rsidRPr="00EC1298" w:rsidRDefault="00351F2C" w:rsidP="00BC266C">
      <w:pPr>
        <w:spacing w:after="0" w:line="300" w:lineRule="exact"/>
        <w:jc w:val="both"/>
        <w:rPr>
          <w:rFonts w:ascii="Book Antiqua" w:hAnsi="Book Antiqua" w:cs="Arial"/>
        </w:rPr>
      </w:pPr>
    </w:p>
    <w:p w:rsidR="00351F2C" w:rsidRPr="00EC1298" w:rsidRDefault="00C47C3B" w:rsidP="00BC266C">
      <w:pPr>
        <w:spacing w:after="0" w:line="300" w:lineRule="exact"/>
        <w:jc w:val="both"/>
        <w:rPr>
          <w:rFonts w:ascii="Book Antiqua" w:hAnsi="Book Antiqua" w:cs="Arial"/>
        </w:rPr>
      </w:pPr>
      <w:r>
        <w:rPr>
          <w:rFonts w:ascii="Book Antiqua" w:hAnsi="Book Antiqua" w:cs="Arial"/>
          <w:noProof/>
          <w:lang w:val="en-US"/>
        </w:rPr>
        <w:pict>
          <v:shape id="_x0000_s1511" type="#_x0000_t202" style="position:absolute;left:0;text-align:left;margin-left:.35pt;margin-top:113.25pt;width:258.15pt;height:326.25pt;z-index:251630080;mso-position-horizontal-relative:margin" fillcolor="#dbe5f1" strokecolor="#1f497d" strokeweight="1.5pt">
            <v:shadow on="t" color="#365f91" opacity=".5" offset="4pt,4pt" offset2="-4pt,-4pt"/>
            <v:textbox style="mso-next-textbox:#_x0000_s1511" inset="1.5mm,1.5mm,1.5mm,1.5mm">
              <w:txbxContent>
                <w:tbl>
                  <w:tblPr>
                    <w:tblW w:w="0" w:type="auto"/>
                    <w:jc w:val="center"/>
                    <w:tblBorders>
                      <w:top w:val="single" w:sz="24" w:space="0" w:color="FFFFFF"/>
                      <w:left w:val="single" w:sz="24" w:space="0" w:color="FFFFFF"/>
                      <w:bottom w:val="single" w:sz="24" w:space="0" w:color="FFFFFF"/>
                      <w:right w:val="single" w:sz="24" w:space="0" w:color="FFFFFF"/>
                      <w:insideH w:val="single" w:sz="12" w:space="0" w:color="FFFFFF"/>
                      <w:insideV w:val="single" w:sz="24" w:space="0" w:color="FFFFFF"/>
                    </w:tblBorders>
                    <w:tblLook w:val="00A0"/>
                  </w:tblPr>
                  <w:tblGrid>
                    <w:gridCol w:w="1275"/>
                    <w:gridCol w:w="1559"/>
                    <w:gridCol w:w="1938"/>
                  </w:tblGrid>
                  <w:tr w:rsidR="00B4351F" w:rsidRPr="0088744B">
                    <w:trPr>
                      <w:tblHeader/>
                      <w:jc w:val="center"/>
                    </w:trPr>
                    <w:tc>
                      <w:tcPr>
                        <w:tcW w:w="1275" w:type="dxa"/>
                        <w:tcBorders>
                          <w:top w:val="single" w:sz="24" w:space="0" w:color="FFFFFF"/>
                          <w:left w:val="single" w:sz="24" w:space="0" w:color="FFFFFF"/>
                          <w:bottom w:val="single" w:sz="12" w:space="0" w:color="FFFFFF"/>
                          <w:right w:val="single" w:sz="24" w:space="0" w:color="FFFFFF"/>
                        </w:tcBorders>
                        <w:shd w:val="clear" w:color="auto" w:fill="365F91"/>
                        <w:vAlign w:val="center"/>
                      </w:tcPr>
                      <w:p w:rsidR="00B4351F" w:rsidRPr="00F74FAA" w:rsidRDefault="00B4351F" w:rsidP="00246293">
                        <w:pPr>
                          <w:spacing w:before="20" w:after="20"/>
                          <w:rPr>
                            <w:b/>
                            <w:bCs/>
                            <w:color w:val="FFFFFF"/>
                            <w:sz w:val="16"/>
                            <w:szCs w:val="16"/>
                          </w:rPr>
                        </w:pPr>
                        <w:r w:rsidRPr="00F74FAA">
                          <w:rPr>
                            <w:b/>
                            <w:bCs/>
                            <w:color w:val="FFFFFF"/>
                            <w:sz w:val="16"/>
                            <w:szCs w:val="16"/>
                          </w:rPr>
                          <w:t>Options</w:t>
                        </w:r>
                      </w:p>
                    </w:tc>
                    <w:tc>
                      <w:tcPr>
                        <w:tcW w:w="1559" w:type="dxa"/>
                        <w:tcBorders>
                          <w:top w:val="single" w:sz="24" w:space="0" w:color="FFFFFF"/>
                          <w:left w:val="single" w:sz="24" w:space="0" w:color="FFFFFF"/>
                          <w:bottom w:val="single" w:sz="12" w:space="0" w:color="FFFFFF"/>
                          <w:right w:val="single" w:sz="24" w:space="0" w:color="FFFFFF"/>
                        </w:tcBorders>
                        <w:shd w:val="clear" w:color="auto" w:fill="365F91"/>
                        <w:vAlign w:val="center"/>
                      </w:tcPr>
                      <w:p w:rsidR="00B4351F" w:rsidRPr="00F74FAA" w:rsidRDefault="00B4351F" w:rsidP="00246293">
                        <w:pPr>
                          <w:spacing w:before="20" w:after="20"/>
                          <w:rPr>
                            <w:b/>
                            <w:bCs/>
                            <w:color w:val="FFFFFF"/>
                            <w:sz w:val="16"/>
                            <w:szCs w:val="16"/>
                          </w:rPr>
                        </w:pPr>
                        <w:r w:rsidRPr="00F74FAA">
                          <w:rPr>
                            <w:b/>
                            <w:bCs/>
                            <w:color w:val="FFFFFF"/>
                            <w:sz w:val="16"/>
                            <w:szCs w:val="16"/>
                          </w:rPr>
                          <w:t>Strengths</w:t>
                        </w:r>
                      </w:p>
                    </w:tc>
                    <w:tc>
                      <w:tcPr>
                        <w:tcW w:w="1938" w:type="dxa"/>
                        <w:tcBorders>
                          <w:top w:val="single" w:sz="24" w:space="0" w:color="FFFFFF"/>
                          <w:left w:val="single" w:sz="24" w:space="0" w:color="FFFFFF"/>
                          <w:bottom w:val="single" w:sz="12" w:space="0" w:color="FFFFFF"/>
                          <w:right w:val="single" w:sz="24" w:space="0" w:color="FFFFFF"/>
                        </w:tcBorders>
                        <w:shd w:val="clear" w:color="auto" w:fill="365F91"/>
                        <w:vAlign w:val="center"/>
                      </w:tcPr>
                      <w:p w:rsidR="00B4351F" w:rsidRPr="00F74FAA" w:rsidRDefault="00B4351F" w:rsidP="00246293">
                        <w:pPr>
                          <w:spacing w:before="20" w:after="20"/>
                          <w:rPr>
                            <w:b/>
                            <w:bCs/>
                            <w:color w:val="FFFFFF"/>
                            <w:sz w:val="16"/>
                            <w:szCs w:val="16"/>
                          </w:rPr>
                        </w:pPr>
                        <w:r w:rsidRPr="00F74FAA">
                          <w:rPr>
                            <w:b/>
                            <w:bCs/>
                            <w:color w:val="FFFFFF"/>
                            <w:sz w:val="16"/>
                            <w:szCs w:val="16"/>
                          </w:rPr>
                          <w:t>Constraints</w:t>
                        </w:r>
                      </w:p>
                    </w:tc>
                  </w:tr>
                  <w:tr w:rsidR="00B4351F" w:rsidRPr="00F010E7">
                    <w:trPr>
                      <w:jc w:val="center"/>
                    </w:trPr>
                    <w:tc>
                      <w:tcPr>
                        <w:tcW w:w="1275" w:type="dxa"/>
                        <w:tcBorders>
                          <w:top w:val="single" w:sz="12" w:space="0" w:color="FFFFFF"/>
                          <w:left w:val="single" w:sz="24" w:space="0" w:color="FFFFFF"/>
                          <w:bottom w:val="single" w:sz="8" w:space="0" w:color="FFFFFF"/>
                          <w:right w:val="single" w:sz="24" w:space="0" w:color="FFFFFF"/>
                        </w:tcBorders>
                        <w:shd w:val="clear" w:color="auto" w:fill="C6D9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Apply standardised cost norms</w:t>
                        </w:r>
                      </w:p>
                    </w:tc>
                    <w:tc>
                      <w:tcPr>
                        <w:tcW w:w="1559" w:type="dxa"/>
                        <w:tcBorders>
                          <w:top w:val="single" w:sz="12" w:space="0" w:color="FFFFFF"/>
                          <w:left w:val="single" w:sz="24" w:space="0" w:color="FFFFFF"/>
                          <w:bottom w:val="single" w:sz="8"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Easy to administer and may minimise potential disputes between recipients</w:t>
                        </w:r>
                      </w:p>
                    </w:tc>
                    <w:tc>
                      <w:tcPr>
                        <w:tcW w:w="1938" w:type="dxa"/>
                        <w:tcBorders>
                          <w:top w:val="single" w:sz="12" w:space="0" w:color="FFFFFF"/>
                          <w:left w:val="single" w:sz="24" w:space="0" w:color="FFFFFF"/>
                          <w:bottom w:val="single" w:sz="8"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May be too low to cover costs of delivery and to reflect variation in circumstances and costs. In some cases may not be high enough to provide effective incentives.</w:t>
                        </w:r>
                      </w:p>
                    </w:tc>
                  </w:tr>
                  <w:tr w:rsidR="00B4351F" w:rsidRPr="00F010E7">
                    <w:trPr>
                      <w:jc w:val="center"/>
                    </w:trPr>
                    <w:tc>
                      <w:tcPr>
                        <w:tcW w:w="1275" w:type="dxa"/>
                        <w:tcBorders>
                          <w:top w:val="single" w:sz="8" w:space="0" w:color="FFFFFF"/>
                          <w:left w:val="single" w:sz="24" w:space="0" w:color="FFFFFF"/>
                          <w:bottom w:val="single" w:sz="8" w:space="0" w:color="FFFFFF"/>
                          <w:right w:val="single" w:sz="24" w:space="0" w:color="FFFFFF"/>
                        </w:tcBorders>
                        <w:shd w:val="clear" w:color="auto" w:fill="C6D9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Base payments on costs incurred to generate reduced emissions</w:t>
                        </w:r>
                      </w:p>
                    </w:tc>
                    <w:tc>
                      <w:tcPr>
                        <w:tcW w:w="1559" w:type="dxa"/>
                        <w:tcBorders>
                          <w:top w:val="single" w:sz="8" w:space="0" w:color="FFFFFF"/>
                          <w:left w:val="single" w:sz="24" w:space="0" w:color="FFFFFF"/>
                          <w:bottom w:val="single" w:sz="8"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Provides a clear link to delivery, and allows for variation in circumstances and costs</w:t>
                        </w:r>
                      </w:p>
                    </w:tc>
                    <w:tc>
                      <w:tcPr>
                        <w:tcW w:w="1938" w:type="dxa"/>
                        <w:tcBorders>
                          <w:top w:val="single" w:sz="8" w:space="0" w:color="FFFFFF"/>
                          <w:left w:val="single" w:sz="24" w:space="0" w:color="FFFFFF"/>
                          <w:bottom w:val="single" w:sz="8"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Can be complex and costly to administer</w:t>
                        </w:r>
                      </w:p>
                    </w:tc>
                  </w:tr>
                  <w:tr w:rsidR="00B4351F" w:rsidRPr="00F010E7">
                    <w:trPr>
                      <w:jc w:val="center"/>
                    </w:trPr>
                    <w:tc>
                      <w:tcPr>
                        <w:tcW w:w="1275" w:type="dxa"/>
                        <w:tcBorders>
                          <w:top w:val="single" w:sz="8" w:space="0" w:color="FFFFFF"/>
                          <w:left w:val="single" w:sz="24" w:space="0" w:color="FFFFFF"/>
                          <w:bottom w:val="single" w:sz="8" w:space="0" w:color="FFFFFF"/>
                          <w:right w:val="single" w:sz="24" w:space="0" w:color="FFFFFF"/>
                        </w:tcBorders>
                        <w:shd w:val="clear" w:color="auto" w:fill="C6D9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Make cash payments only</w:t>
                        </w:r>
                      </w:p>
                    </w:tc>
                    <w:tc>
                      <w:tcPr>
                        <w:tcW w:w="1559" w:type="dxa"/>
                        <w:tcBorders>
                          <w:top w:val="single" w:sz="8" w:space="0" w:color="FFFFFF"/>
                          <w:left w:val="single" w:sz="24" w:space="0" w:color="FFFFFF"/>
                          <w:bottom w:val="single" w:sz="8"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Provides a clear market reward for individual actions and changed behaviour</w:t>
                        </w:r>
                      </w:p>
                    </w:tc>
                    <w:tc>
                      <w:tcPr>
                        <w:tcW w:w="1938" w:type="dxa"/>
                        <w:tcBorders>
                          <w:top w:val="single" w:sz="8" w:space="0" w:color="FFFFFF"/>
                          <w:left w:val="single" w:sz="24" w:space="0" w:color="FFFFFF"/>
                          <w:bottom w:val="single" w:sz="8"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Does not allow for non-monetary or community-level costs and incentives</w:t>
                        </w:r>
                      </w:p>
                    </w:tc>
                  </w:tr>
                  <w:tr w:rsidR="00B4351F" w:rsidRPr="00F010E7">
                    <w:trPr>
                      <w:jc w:val="center"/>
                    </w:trPr>
                    <w:tc>
                      <w:tcPr>
                        <w:tcW w:w="1275" w:type="dxa"/>
                        <w:tcBorders>
                          <w:top w:val="single" w:sz="8" w:space="0" w:color="FFFFFF"/>
                          <w:left w:val="single" w:sz="24" w:space="0" w:color="FFFFFF"/>
                          <w:bottom w:val="single" w:sz="24" w:space="0" w:color="FFFFFF"/>
                          <w:right w:val="single" w:sz="24" w:space="0" w:color="FFFFFF"/>
                        </w:tcBorders>
                        <w:shd w:val="clear" w:color="auto" w:fill="C6D9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Combine cash payments and non-monetary benefits</w:t>
                        </w:r>
                      </w:p>
                    </w:tc>
                    <w:tc>
                      <w:tcPr>
                        <w:tcW w:w="1559"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Covers both monetary and non-monetary costs and incentives</w:t>
                        </w:r>
                      </w:p>
                    </w:tc>
                    <w:tc>
                      <w:tcPr>
                        <w:tcW w:w="1938"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May be more costly in terms of funding required, demands a greater level of coordinated planning between and within communities and local authorities</w:t>
                        </w:r>
                      </w:p>
                    </w:tc>
                  </w:tr>
                </w:tbl>
                <w:p w:rsidR="00B4351F" w:rsidRPr="00F74FAA" w:rsidRDefault="00B4351F" w:rsidP="00246293">
                  <w:pPr>
                    <w:pStyle w:val="Bullets"/>
                    <w:spacing w:before="0" w:line="240" w:lineRule="auto"/>
                    <w:ind w:left="0" w:firstLine="0"/>
                    <w:rPr>
                      <w:rFonts w:ascii="Cambria" w:hAnsi="Cambria" w:cs="Cambria"/>
                    </w:rPr>
                  </w:pPr>
                </w:p>
              </w:txbxContent>
            </v:textbox>
            <w10:wrap type="square" anchorx="margin"/>
            <w10:anchorlock/>
          </v:shape>
        </w:pict>
      </w:r>
      <w:r w:rsidR="00351F2C" w:rsidRPr="00EC1298">
        <w:rPr>
          <w:rFonts w:ascii="Book Antiqua" w:hAnsi="Book Antiqua" w:cs="Arial"/>
        </w:rPr>
        <w:t>There are four elements to be considered in setting fund retention percentages: the need to cover physical implementation and transactions costs, to offset any opportunity costs, to allow for an appropriate premium to reward for compliance, and to link funding to the delivery of specified emissions reductions. It is generally accepted that the magnitude of these costs, against agreed budgets, should provide a guide as to how much revenue should be retained at different levels for these purposes. In relation to the premium added, it is important to note that this may not always be a purely monetary incentive for compliance. It may, for example, be linked to the provision of other benefits from central to sub-national government, or to enabling other, non-</w:t>
      </w:r>
      <w:r w:rsidR="00480D3D">
        <w:rPr>
          <w:rFonts w:ascii="Book Antiqua" w:hAnsi="Book Antiqua" w:cs="Arial"/>
        </w:rPr>
        <w:t>REDD+</w:t>
      </w:r>
      <w:r w:rsidR="00351F2C" w:rsidRPr="00EC1298">
        <w:rPr>
          <w:rFonts w:ascii="Book Antiqua" w:hAnsi="Book Antiqua" w:cs="Arial"/>
        </w:rPr>
        <w:t>, funds to be accessed.</w:t>
      </w:r>
    </w:p>
    <w:p w:rsidR="00351F2C" w:rsidRPr="00EC1298" w:rsidRDefault="00351F2C" w:rsidP="00BC266C">
      <w:pPr>
        <w:spacing w:after="0" w:line="300" w:lineRule="exact"/>
        <w:jc w:val="both"/>
        <w:rPr>
          <w:rFonts w:ascii="Book Antiqua" w:hAnsi="Book Antiqua" w:cs="Arial"/>
        </w:rPr>
      </w:pPr>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t xml:space="preserve">As elaborated elsewhere in this document (section 5.5), fund allocation should obviously also be contingent on performance: on achieving the specified emissions reductions targets that a given level of government administration is mandated to deliver, according to agreed RELs or other measures. An additional consideration is that any method for calculating retention levels should also be flexible enough to cope with (upwards or downwards) changes in costs over time. The initial costs of introducing and setting up </w:t>
      </w:r>
      <w:r w:rsidR="00480D3D">
        <w:rPr>
          <w:rFonts w:ascii="Book Antiqua" w:hAnsi="Book Antiqua" w:cs="Arial"/>
        </w:rPr>
        <w:t>REDD+</w:t>
      </w:r>
      <w:r w:rsidRPr="00EC1298">
        <w:rPr>
          <w:rFonts w:ascii="Book Antiqua" w:hAnsi="Book Antiqua" w:cs="Arial"/>
        </w:rPr>
        <w:t xml:space="preserve"> programmes have, for example, been shown to be far higher than the subsequent costs of running a </w:t>
      </w:r>
      <w:r w:rsidR="00480D3D">
        <w:rPr>
          <w:rFonts w:ascii="Book Antiqua" w:hAnsi="Book Antiqua" w:cs="Arial"/>
        </w:rPr>
        <w:t>REDD+</w:t>
      </w:r>
      <w:r w:rsidRPr="00EC1298">
        <w:rPr>
          <w:rFonts w:ascii="Book Antiqua" w:hAnsi="Book Antiqua" w:cs="Arial"/>
        </w:rPr>
        <w:t xml:space="preserve"> programme once it is established (this is discussed further in the section below on the timing and frequency of disbursements).</w:t>
      </w:r>
    </w:p>
    <w:p w:rsidR="00351F2C" w:rsidRPr="00445F77" w:rsidRDefault="00351F2C" w:rsidP="00BC266C">
      <w:pPr>
        <w:spacing w:after="0" w:line="300" w:lineRule="exact"/>
        <w:rPr>
          <w:rFonts w:ascii="Arial" w:hAnsi="Arial" w:cs="Arial"/>
          <w:sz w:val="24"/>
          <w:szCs w:val="24"/>
        </w:rPr>
      </w:pPr>
    </w:p>
    <w:p w:rsidR="00351F2C" w:rsidRPr="00445F77" w:rsidRDefault="00351F2C" w:rsidP="00A256CB">
      <w:pPr>
        <w:pStyle w:val="Heading3"/>
        <w:rPr>
          <w:rFonts w:ascii="Arial" w:hAnsi="Arial" w:cs="Arial"/>
        </w:rPr>
      </w:pPr>
      <w:bookmarkStart w:id="364" w:name="_Toc243740839"/>
      <w:bookmarkStart w:id="365" w:name="_Toc243984149"/>
      <w:bookmarkStart w:id="366" w:name="_Toc244327675"/>
      <w:bookmarkStart w:id="367" w:name="_Toc244327925"/>
      <w:bookmarkStart w:id="368" w:name="_Toc244735085"/>
      <w:bookmarkStart w:id="369" w:name="_Toc249079559"/>
      <w:r w:rsidRPr="00445F77">
        <w:rPr>
          <w:rFonts w:ascii="Arial" w:hAnsi="Arial" w:cs="Arial"/>
        </w:rPr>
        <w:t>Options for setting payment levels and types for local forest land and resource users</w:t>
      </w:r>
      <w:bookmarkEnd w:id="364"/>
      <w:bookmarkEnd w:id="365"/>
      <w:bookmarkEnd w:id="366"/>
      <w:bookmarkEnd w:id="367"/>
      <w:bookmarkEnd w:id="368"/>
      <w:bookmarkEnd w:id="369"/>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t>It is generally accepted that the benefits that are shared with local forest land and resource users must be provided in a sufficient quantity and in an appropriate form to provide incentives for avoided deforestation. If this is not the case, then it is unlikely that any meaningful reduction in deforestation and forest degradation will be achieved.</w:t>
      </w:r>
    </w:p>
    <w:p w:rsidR="00351F2C" w:rsidRPr="00EC1298" w:rsidRDefault="00351F2C" w:rsidP="00BC266C">
      <w:pPr>
        <w:spacing w:after="0" w:line="300" w:lineRule="exact"/>
        <w:jc w:val="both"/>
        <w:rPr>
          <w:rFonts w:ascii="Book Antiqua" w:hAnsi="Book Antiqua" w:cs="Arial"/>
        </w:rPr>
      </w:pPr>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lastRenderedPageBreak/>
        <w:t xml:space="preserve">Four issues must therefore be considered when determining the lowest level of </w:t>
      </w:r>
      <w:r w:rsidR="00480D3D">
        <w:rPr>
          <w:rFonts w:ascii="Book Antiqua" w:hAnsi="Book Antiqua" w:cs="Arial"/>
        </w:rPr>
        <w:t>REDD+</w:t>
      </w:r>
      <w:r w:rsidRPr="00EC1298">
        <w:rPr>
          <w:rFonts w:ascii="Book Antiqua" w:hAnsi="Book Antiqua" w:cs="Arial"/>
        </w:rPr>
        <w:t xml:space="preserve"> payments: how much funding is shared with forest land and resource users, what form the benefits to be shared will take, on what basis funding is released, and to whom it is allocated. The first two issues only will be considered in the paragraphs below; the third (the basis on which funding is released) is considered in the following section, and the modalities of allocation (i.e. to individuals, communities or both) is discussed in detail elsewhere in this document (section 5.4).</w:t>
      </w:r>
    </w:p>
    <w:p w:rsidR="00351F2C" w:rsidRPr="00EC1298" w:rsidRDefault="00351F2C" w:rsidP="00BC266C">
      <w:pPr>
        <w:spacing w:after="0" w:line="300" w:lineRule="exact"/>
        <w:jc w:val="both"/>
        <w:rPr>
          <w:rFonts w:ascii="Book Antiqua" w:hAnsi="Book Antiqua" w:cs="Arial"/>
        </w:rPr>
      </w:pPr>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t xml:space="preserve">Global PES experience emphasises that payments based on the costs of providing a given environmental service (or land use likely to provide them) can strongly improve the efficiency of a scheme (Wertz-Kanounnikoff and Kongphan-Apirak 2008). In practice, almost all PES payment levels are set according to (implicit or explicit) estimates of conservation opportunity costs (GEF 2009). Unrealistically low payment levels that do not at least compensate these costs (or are perceived by land and resource users to compensate them) will likely hinder </w:t>
      </w:r>
      <w:r w:rsidR="00480D3D">
        <w:rPr>
          <w:rFonts w:ascii="Book Antiqua" w:hAnsi="Book Antiqua" w:cs="Arial"/>
        </w:rPr>
        <w:t>REDD+</w:t>
      </w:r>
      <w:r w:rsidRPr="00EC1298">
        <w:rPr>
          <w:rFonts w:ascii="Book Antiqua" w:hAnsi="Book Antiqua" w:cs="Arial"/>
        </w:rPr>
        <w:t xml:space="preserve"> efforts. In many cases non-competitive payments are at least in part the result of levels being set administratively (see above) rather than through direct negotiations and opportunity cost analyses (Wertz-Kanounnikoff and Kongphan-Apirak 2008). This has been a criticism of the 661 Programme. In the case of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it is too early as yet to determine whether the principles for computing</w:t>
      </w:r>
      <w:r w:rsidR="001B6D90">
        <w:rPr>
          <w:rFonts w:ascii="Book Antiqua" w:hAnsi="Book Antiqua" w:cs="Arial"/>
        </w:rPr>
        <w:t xml:space="preserve"> PFES</w:t>
      </w:r>
      <w:r w:rsidRPr="00EC1298">
        <w:rPr>
          <w:rFonts w:ascii="Book Antiqua" w:hAnsi="Book Antiqua" w:cs="Arial"/>
        </w:rPr>
        <w:t xml:space="preserve"> payments will result in realistic and effective payment levels. </w:t>
      </w:r>
    </w:p>
    <w:p w:rsidR="00351F2C" w:rsidRPr="00EC1298" w:rsidRDefault="00351F2C" w:rsidP="00BC266C">
      <w:pPr>
        <w:spacing w:after="0" w:line="300" w:lineRule="exact"/>
        <w:jc w:val="both"/>
        <w:rPr>
          <w:rFonts w:ascii="Book Antiqua" w:hAnsi="Book Antiqua" w:cs="Arial"/>
        </w:rPr>
      </w:pPr>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t xml:space="preserve">Some level of opportunity cost-based analysis will likely be needed to determine whether the revenues provided under </w:t>
      </w:r>
      <w:r w:rsidR="00480D3D">
        <w:rPr>
          <w:rFonts w:ascii="Book Antiqua" w:hAnsi="Book Antiqua" w:cs="Arial"/>
        </w:rPr>
        <w:t>REDD+</w:t>
      </w:r>
      <w:r w:rsidRPr="00EC1298">
        <w:rPr>
          <w:rFonts w:ascii="Book Antiqua" w:hAnsi="Book Antiqua" w:cs="Arial"/>
        </w:rPr>
        <w:t>, supplemented by national investments and stronger enforcement efforts, will be high enough to displace competing uses of forest land in Viet Nam, such as pepper, coffee and cashew financing in the Central Highlands. As discussed above, the formulation of “R-coefficients” would allow differentiated benefit distribution at each level, reflecting a weighting that allows for variations in payment according to different ecological, economic and sequestration conditions. Payments need to reflect both of the costs of reducing deforestation and the amount of emissions reduced, and to recognise that these will vary between different areas and groups. A second potential area of difference from the existing system for releasing</w:t>
      </w:r>
      <w:r w:rsidR="001B6D90">
        <w:rPr>
          <w:rFonts w:ascii="Book Antiqua" w:hAnsi="Book Antiqua" w:cs="Arial"/>
        </w:rPr>
        <w:t xml:space="preserve"> PFES</w:t>
      </w:r>
      <w:r w:rsidRPr="00EC1298">
        <w:rPr>
          <w:rFonts w:ascii="Book Antiqua" w:hAnsi="Book Antiqua" w:cs="Arial"/>
        </w:rPr>
        <w:t xml:space="preserve"> payments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will be the need to ensure that </w:t>
      </w:r>
      <w:r w:rsidR="00480D3D">
        <w:rPr>
          <w:rFonts w:ascii="Book Antiqua" w:hAnsi="Book Antiqua" w:cs="Arial"/>
        </w:rPr>
        <w:t>REDD+</w:t>
      </w:r>
      <w:r w:rsidRPr="00EC1298">
        <w:rPr>
          <w:rFonts w:ascii="Book Antiqua" w:hAnsi="Book Antiqua" w:cs="Arial"/>
        </w:rPr>
        <w:t xml:space="preserve"> payments are contingent on performance in actually delivering emissions reductions (section 5.5 discusses this in detail).</w:t>
      </w:r>
    </w:p>
    <w:p w:rsidR="00351F2C" w:rsidRPr="00EC1298" w:rsidRDefault="00351F2C" w:rsidP="00BC266C">
      <w:pPr>
        <w:spacing w:after="0" w:line="300" w:lineRule="exact"/>
        <w:jc w:val="both"/>
        <w:rPr>
          <w:rFonts w:ascii="Book Antiqua" w:hAnsi="Book Antiqua" w:cs="Arial"/>
        </w:rPr>
      </w:pPr>
    </w:p>
    <w:p w:rsidR="00351F2C" w:rsidRPr="00EC1298" w:rsidRDefault="00351F2C" w:rsidP="00BC266C">
      <w:pPr>
        <w:spacing w:after="0" w:line="300" w:lineRule="exact"/>
        <w:jc w:val="both"/>
        <w:rPr>
          <w:rFonts w:ascii="Book Antiqua" w:hAnsi="Book Antiqua" w:cs="Arial"/>
        </w:rPr>
      </w:pPr>
      <w:r w:rsidRPr="00EC1298">
        <w:rPr>
          <w:rFonts w:ascii="Book Antiqua" w:hAnsi="Book Antiqua" w:cs="Arial"/>
        </w:rPr>
        <w:t>Not only the quantity, but also the quality, of benefits are important</w:t>
      </w:r>
      <w:r w:rsidRPr="00EC1298">
        <w:rPr>
          <w:rFonts w:ascii="Book Antiqua" w:hAnsi="Book Antiqua" w:cs="Arial"/>
        </w:rPr>
        <w:sym w:font="Symbol" w:char="F0BE"/>
      </w:r>
      <w:r w:rsidRPr="00EC1298">
        <w:rPr>
          <w:rFonts w:ascii="Book Antiqua" w:hAnsi="Book Antiqua" w:cs="Arial"/>
        </w:rPr>
        <w:t xml:space="preserve">the form in which they are received by land and resource users. This will determine whether benefit-sharing will act as an effective disincentive to deforestation and forest degradation. International experience suggests that local-level forest conservation incentive systems are most effective when they offer a combination of cash and non-cash rewards (Peskett and Harkin 2007). Based on experience in community forestry and forest conservation activities, this would also seem to be the case in </w:t>
      </w:r>
      <w:smartTag w:uri="urn:schemas-microsoft-com:office:smarttags" w:element="country-region">
        <w:smartTag w:uri="urn:schemas-microsoft-com:office:smarttags" w:element="place">
          <w:r w:rsidRPr="00EC1298">
            <w:rPr>
              <w:rFonts w:ascii="Book Antiqua" w:hAnsi="Book Antiqua" w:cs="Arial"/>
            </w:rPr>
            <w:t>Viet Nam</w:t>
          </w:r>
        </w:smartTag>
      </w:smartTag>
      <w:r w:rsidRPr="00EC1298">
        <w:rPr>
          <w:rFonts w:ascii="Book Antiqua" w:hAnsi="Book Antiqua" w:cs="Arial"/>
        </w:rPr>
        <w:t xml:space="preserve"> (Gilmour and Diem 2008, Morris </w:t>
      </w:r>
      <w:r w:rsidRPr="00EC1298">
        <w:rPr>
          <w:rFonts w:ascii="Book Antiqua" w:hAnsi="Book Antiqua" w:cs="Arial"/>
          <w:i/>
          <w:iCs/>
        </w:rPr>
        <w:t>et al</w:t>
      </w:r>
      <w:r w:rsidRPr="00EC1298">
        <w:rPr>
          <w:rFonts w:ascii="Book Antiqua" w:hAnsi="Book Antiqua" w:cs="Arial"/>
        </w:rPr>
        <w:t xml:space="preserve"> 2004, Sage and Cu 2001). This, in turn, has implications for the lowest level at which </w:t>
      </w:r>
      <w:r w:rsidR="00480D3D">
        <w:rPr>
          <w:rFonts w:ascii="Book Antiqua" w:hAnsi="Book Antiqua" w:cs="Arial"/>
        </w:rPr>
        <w:t>REDD+</w:t>
      </w:r>
      <w:r w:rsidRPr="00EC1298">
        <w:rPr>
          <w:rFonts w:ascii="Book Antiqua" w:hAnsi="Book Antiqua" w:cs="Arial"/>
        </w:rPr>
        <w:t xml:space="preserve"> funds are shared.  Whereas cash payments require distribution at the household level, investments in broader, non-cash development benefits lend themselves </w:t>
      </w:r>
      <w:r w:rsidRPr="00EC1298">
        <w:rPr>
          <w:rFonts w:ascii="Book Antiqua" w:hAnsi="Book Antiqua" w:cs="Arial"/>
        </w:rPr>
        <w:lastRenderedPageBreak/>
        <w:t>more to district or commune level implementation. The issue of different administrative levels of payment is discussed in detail elsewhere in this document (section 5.4).</w:t>
      </w:r>
    </w:p>
    <w:p w:rsidR="00351F2C" w:rsidRPr="00445F77" w:rsidRDefault="00351F2C" w:rsidP="00522F5C">
      <w:pPr>
        <w:spacing w:after="0"/>
        <w:rPr>
          <w:rFonts w:ascii="Arial" w:hAnsi="Arial" w:cs="Arial"/>
          <w:sz w:val="24"/>
          <w:szCs w:val="24"/>
        </w:rPr>
      </w:pPr>
    </w:p>
    <w:p w:rsidR="00351F2C" w:rsidRPr="00445F77" w:rsidRDefault="00351F2C" w:rsidP="00A256CB">
      <w:pPr>
        <w:pStyle w:val="Heading3"/>
        <w:rPr>
          <w:rFonts w:ascii="Arial" w:hAnsi="Arial" w:cs="Arial"/>
        </w:rPr>
      </w:pPr>
      <w:bookmarkStart w:id="370" w:name="_Toc243740840"/>
      <w:bookmarkStart w:id="371" w:name="_Toc243984150"/>
      <w:bookmarkStart w:id="372" w:name="_Toc244327676"/>
      <w:bookmarkStart w:id="373" w:name="_Toc244327926"/>
      <w:bookmarkStart w:id="374" w:name="_Toc244735086"/>
      <w:bookmarkStart w:id="375" w:name="_Toc249079560"/>
      <w:r w:rsidRPr="00445F77">
        <w:rPr>
          <w:rFonts w:ascii="Arial" w:hAnsi="Arial" w:cs="Arial"/>
        </w:rPr>
        <w:t>Options for identifying admissible costs and activities</w:t>
      </w:r>
      <w:bookmarkEnd w:id="370"/>
      <w:bookmarkEnd w:id="371"/>
      <w:bookmarkEnd w:id="372"/>
      <w:bookmarkEnd w:id="373"/>
      <w:bookmarkEnd w:id="374"/>
      <w:bookmarkEnd w:id="375"/>
    </w:p>
    <w:p w:rsidR="00351F2C" w:rsidRPr="00EC1298" w:rsidRDefault="00C47C3B" w:rsidP="00522F5C">
      <w:pPr>
        <w:spacing w:after="0" w:line="300" w:lineRule="exact"/>
        <w:jc w:val="both"/>
        <w:rPr>
          <w:rFonts w:ascii="Book Antiqua" w:hAnsi="Book Antiqua" w:cs="Arial"/>
          <w:color w:val="000000"/>
        </w:rPr>
      </w:pPr>
      <w:r w:rsidRPr="00C47C3B">
        <w:rPr>
          <w:rFonts w:ascii="Book Antiqua" w:hAnsi="Book Antiqua" w:cs="Arial"/>
          <w:noProof/>
          <w:lang w:val="en-US"/>
        </w:rPr>
        <w:pict>
          <v:shape id="_x0000_s1512" type="#_x0000_t202" style="position:absolute;left:0;text-align:left;margin-left:-1.2pt;margin-top:4.9pt;width:282.45pt;height:163.6pt;z-index:251631104;mso-position-horizontal-relative:margin" fillcolor="#dbe5f1" strokecolor="#1f497d" strokeweight="1.5pt">
            <v:shadow on="t" color="#365f91" opacity=".5" offset="4pt,4pt" offset2="-4pt,-4pt"/>
            <v:textbox style="mso-next-textbox:#_x0000_s1512" inset="1.5mm,1.5mm,1.5mm,1.5mm">
              <w:txbxContent>
                <w:tbl>
                  <w:tblPr>
                    <w:tblW w:w="5410" w:type="dxa"/>
                    <w:jc w:val="center"/>
                    <w:tblBorders>
                      <w:top w:val="single" w:sz="24" w:space="0" w:color="FFFFFF"/>
                      <w:left w:val="single" w:sz="24" w:space="0" w:color="FFFFFF"/>
                      <w:bottom w:val="single" w:sz="24" w:space="0" w:color="FFFFFF"/>
                      <w:right w:val="single" w:sz="24" w:space="0" w:color="FFFFFF"/>
                      <w:insideH w:val="single" w:sz="12" w:space="0" w:color="FFFFFF"/>
                      <w:insideV w:val="single" w:sz="24" w:space="0" w:color="FFFFFF"/>
                    </w:tblBorders>
                    <w:tblLook w:val="00A0"/>
                  </w:tblPr>
                  <w:tblGrid>
                    <w:gridCol w:w="1140"/>
                    <w:gridCol w:w="1974"/>
                    <w:gridCol w:w="2296"/>
                  </w:tblGrid>
                  <w:tr w:rsidR="00B4351F" w:rsidRPr="0088744B">
                    <w:trPr>
                      <w:tblHeader/>
                      <w:jc w:val="center"/>
                    </w:trPr>
                    <w:tc>
                      <w:tcPr>
                        <w:tcW w:w="1140" w:type="dxa"/>
                        <w:tcBorders>
                          <w:top w:val="single" w:sz="24" w:space="0" w:color="FFFFFF"/>
                          <w:left w:val="single" w:sz="24" w:space="0" w:color="FFFFFF"/>
                          <w:bottom w:val="single" w:sz="12" w:space="0" w:color="FFFFFF"/>
                          <w:right w:val="single" w:sz="24" w:space="0" w:color="FFFFFF"/>
                        </w:tcBorders>
                        <w:shd w:val="clear" w:color="auto" w:fill="365F91"/>
                        <w:vAlign w:val="center"/>
                      </w:tcPr>
                      <w:p w:rsidR="00B4351F" w:rsidRPr="00F74FAA" w:rsidRDefault="00B4351F" w:rsidP="00246293">
                        <w:pPr>
                          <w:spacing w:before="20" w:after="20"/>
                          <w:rPr>
                            <w:b/>
                            <w:bCs/>
                            <w:color w:val="FFFFFF"/>
                            <w:sz w:val="16"/>
                            <w:szCs w:val="16"/>
                          </w:rPr>
                        </w:pPr>
                        <w:r w:rsidRPr="00F74FAA">
                          <w:rPr>
                            <w:b/>
                            <w:bCs/>
                            <w:color w:val="FFFFFF"/>
                            <w:sz w:val="16"/>
                            <w:szCs w:val="16"/>
                          </w:rPr>
                          <w:t>Options</w:t>
                        </w:r>
                      </w:p>
                    </w:tc>
                    <w:tc>
                      <w:tcPr>
                        <w:tcW w:w="1974" w:type="dxa"/>
                        <w:tcBorders>
                          <w:top w:val="single" w:sz="24" w:space="0" w:color="FFFFFF"/>
                          <w:left w:val="single" w:sz="24" w:space="0" w:color="FFFFFF"/>
                          <w:bottom w:val="single" w:sz="12" w:space="0" w:color="FFFFFF"/>
                          <w:right w:val="single" w:sz="24" w:space="0" w:color="FFFFFF"/>
                        </w:tcBorders>
                        <w:shd w:val="clear" w:color="auto" w:fill="365F91"/>
                        <w:vAlign w:val="center"/>
                      </w:tcPr>
                      <w:p w:rsidR="00B4351F" w:rsidRPr="00F74FAA" w:rsidRDefault="00B4351F" w:rsidP="00246293">
                        <w:pPr>
                          <w:spacing w:before="20" w:after="20"/>
                          <w:rPr>
                            <w:b/>
                            <w:bCs/>
                            <w:color w:val="FFFFFF"/>
                            <w:sz w:val="16"/>
                            <w:szCs w:val="16"/>
                          </w:rPr>
                        </w:pPr>
                        <w:r w:rsidRPr="00F74FAA">
                          <w:rPr>
                            <w:b/>
                            <w:bCs/>
                            <w:color w:val="FFFFFF"/>
                            <w:sz w:val="16"/>
                            <w:szCs w:val="16"/>
                          </w:rPr>
                          <w:t>Strengths</w:t>
                        </w:r>
                      </w:p>
                    </w:tc>
                    <w:tc>
                      <w:tcPr>
                        <w:tcW w:w="2296" w:type="dxa"/>
                        <w:tcBorders>
                          <w:top w:val="single" w:sz="24" w:space="0" w:color="FFFFFF"/>
                          <w:left w:val="single" w:sz="24" w:space="0" w:color="FFFFFF"/>
                          <w:bottom w:val="single" w:sz="12" w:space="0" w:color="FFFFFF"/>
                          <w:right w:val="single" w:sz="24" w:space="0" w:color="FFFFFF"/>
                        </w:tcBorders>
                        <w:shd w:val="clear" w:color="auto" w:fill="365F91"/>
                        <w:vAlign w:val="center"/>
                      </w:tcPr>
                      <w:p w:rsidR="00B4351F" w:rsidRPr="00F74FAA" w:rsidRDefault="00B4351F" w:rsidP="00246293">
                        <w:pPr>
                          <w:spacing w:before="20" w:after="20"/>
                          <w:rPr>
                            <w:b/>
                            <w:bCs/>
                            <w:color w:val="FFFFFF"/>
                            <w:sz w:val="16"/>
                            <w:szCs w:val="16"/>
                          </w:rPr>
                        </w:pPr>
                        <w:r w:rsidRPr="00F74FAA">
                          <w:rPr>
                            <w:b/>
                            <w:bCs/>
                            <w:color w:val="FFFFFF"/>
                            <w:sz w:val="16"/>
                            <w:szCs w:val="16"/>
                          </w:rPr>
                          <w:t>Constraints</w:t>
                        </w:r>
                      </w:p>
                    </w:tc>
                  </w:tr>
                  <w:tr w:rsidR="00B4351F" w:rsidRPr="00F010E7">
                    <w:trPr>
                      <w:jc w:val="center"/>
                    </w:trPr>
                    <w:tc>
                      <w:tcPr>
                        <w:tcW w:w="1140" w:type="dxa"/>
                        <w:tcBorders>
                          <w:top w:val="single" w:sz="12" w:space="0" w:color="FFFFFF"/>
                          <w:left w:val="single" w:sz="24" w:space="0" w:color="FFFFFF"/>
                          <w:bottom w:val="single" w:sz="8" w:space="0" w:color="FFFFFF"/>
                          <w:right w:val="single" w:sz="24" w:space="0" w:color="FFFFFF"/>
                        </w:tcBorders>
                        <w:shd w:val="clear" w:color="auto" w:fill="C6D9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Release funds solely against performance targets</w:t>
                        </w:r>
                      </w:p>
                    </w:tc>
                    <w:tc>
                      <w:tcPr>
                        <w:tcW w:w="1974" w:type="dxa"/>
                        <w:tcBorders>
                          <w:top w:val="single" w:sz="12" w:space="0" w:color="FFFFFF"/>
                          <w:left w:val="single" w:sz="24" w:space="0" w:color="FFFFFF"/>
                          <w:bottom w:val="single" w:sz="8"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Minimises budgeting and financial monitoring needs, and is more flexible for REDD participants</w:t>
                        </w:r>
                      </w:p>
                    </w:tc>
                    <w:tc>
                      <w:tcPr>
                        <w:tcW w:w="2296" w:type="dxa"/>
                        <w:tcBorders>
                          <w:top w:val="single" w:sz="12" w:space="0" w:color="FFFFFF"/>
                          <w:left w:val="single" w:sz="24" w:space="0" w:color="FFFFFF"/>
                          <w:bottom w:val="single" w:sz="8"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May result in budgets being sidelined for other purposes, and mean that emissions reductions are not effectively met</w:t>
                        </w:r>
                      </w:p>
                    </w:tc>
                  </w:tr>
                  <w:tr w:rsidR="00B4351F" w:rsidRPr="00F010E7">
                    <w:trPr>
                      <w:jc w:val="center"/>
                    </w:trPr>
                    <w:tc>
                      <w:tcPr>
                        <w:tcW w:w="1140" w:type="dxa"/>
                        <w:tcBorders>
                          <w:top w:val="single" w:sz="8" w:space="0" w:color="FFFFFF"/>
                          <w:left w:val="single" w:sz="24" w:space="0" w:color="FFFFFF"/>
                          <w:bottom w:val="single" w:sz="24" w:space="0" w:color="FFFFFF"/>
                          <w:right w:val="single" w:sz="24" w:space="0" w:color="FFFFFF"/>
                        </w:tcBorders>
                        <w:shd w:val="clear" w:color="auto" w:fill="C6D9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Specify admissible costs and activities</w:t>
                        </w:r>
                      </w:p>
                    </w:tc>
                    <w:tc>
                      <w:tcPr>
                        <w:tcW w:w="1974"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Uses budgeting tools already required for financial planning and funding release, acts as a cross-check on planning effectively for reduced deforestation</w:t>
                        </w:r>
                      </w:p>
                    </w:tc>
                    <w:tc>
                      <w:tcPr>
                        <w:tcW w:w="2296"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Introduces additional budgeting and financial monitoring requirements, restricts the flexibility of REDD payments</w:t>
                        </w:r>
                      </w:p>
                    </w:tc>
                  </w:tr>
                </w:tbl>
                <w:p w:rsidR="00B4351F" w:rsidRPr="00F74FAA" w:rsidRDefault="00B4351F" w:rsidP="00246293">
                  <w:pPr>
                    <w:pStyle w:val="Bullets"/>
                    <w:spacing w:before="0" w:line="240" w:lineRule="auto"/>
                    <w:ind w:left="0" w:firstLine="0"/>
                    <w:rPr>
                      <w:rFonts w:ascii="Cambria" w:hAnsi="Cambria" w:cs="Cambria"/>
                    </w:rPr>
                  </w:pPr>
                </w:p>
              </w:txbxContent>
            </v:textbox>
            <w10:wrap type="square" anchorx="margin"/>
            <w10:anchorlock/>
          </v:shape>
        </w:pict>
      </w:r>
      <w:r w:rsidR="00351F2C" w:rsidRPr="00EC1298">
        <w:rPr>
          <w:rFonts w:ascii="Book Antiqua" w:hAnsi="Book Antiqua" w:cs="Arial"/>
          <w:color w:val="000000"/>
        </w:rPr>
        <w:t xml:space="preserve">Unlike other national-level conservation funding mechanisms that are currently in place, </w:t>
      </w:r>
      <w:r w:rsidR="00480D3D">
        <w:rPr>
          <w:rFonts w:ascii="Book Antiqua" w:hAnsi="Book Antiqua" w:cs="Arial"/>
          <w:color w:val="000000"/>
        </w:rPr>
        <w:t>REDD+</w:t>
      </w:r>
      <w:r w:rsidR="00351F2C" w:rsidRPr="00EC1298">
        <w:rPr>
          <w:rFonts w:ascii="Book Antiqua" w:hAnsi="Book Antiqua" w:cs="Arial"/>
          <w:color w:val="000000"/>
        </w:rPr>
        <w:t xml:space="preserve"> funding is contingent on the delivery of a very specific set of emissions reductions targets</w:t>
      </w:r>
      <w:r w:rsidR="00351F2C" w:rsidRPr="00EC1298">
        <w:rPr>
          <w:rFonts w:ascii="Book Antiqua" w:hAnsi="Book Antiqua" w:cs="Arial"/>
          <w:color w:val="000000"/>
        </w:rPr>
        <w:sym w:font="Symbol" w:char="F0BE"/>
      </w:r>
      <w:r w:rsidR="00351F2C" w:rsidRPr="00EC1298">
        <w:rPr>
          <w:rFonts w:ascii="Book Antiqua" w:hAnsi="Book Antiqua" w:cs="Arial"/>
          <w:color w:val="000000"/>
        </w:rPr>
        <w:t xml:space="preserve">rather than being linked to more general environmental or biodiversity conservation goals. </w:t>
      </w:r>
      <w:r w:rsidR="00480D3D">
        <w:rPr>
          <w:rFonts w:ascii="Book Antiqua" w:hAnsi="Book Antiqua" w:cs="Arial"/>
          <w:color w:val="000000"/>
        </w:rPr>
        <w:t>REDD+</w:t>
      </w:r>
      <w:r w:rsidR="00351F2C" w:rsidRPr="00EC1298">
        <w:rPr>
          <w:rFonts w:ascii="Book Antiqua" w:hAnsi="Book Antiqua" w:cs="Arial"/>
          <w:color w:val="000000"/>
        </w:rPr>
        <w:t xml:space="preserve"> funding is linked closely to performance and delivery issues (see section 5.5 and chapter 6). This is recognised in the </w:t>
      </w:r>
      <w:r w:rsidR="0074733F">
        <w:rPr>
          <w:rFonts w:ascii="Book Antiqua" w:hAnsi="Book Antiqua" w:cs="Arial"/>
          <w:color w:val="000000"/>
        </w:rPr>
        <w:t>Readiness Project Identification Note (</w:t>
      </w:r>
      <w:r w:rsidR="00351F2C" w:rsidRPr="00EC1298">
        <w:rPr>
          <w:rFonts w:ascii="Book Antiqua" w:hAnsi="Book Antiqua" w:cs="Arial"/>
          <w:color w:val="000000"/>
        </w:rPr>
        <w:t>R-PIN</w:t>
      </w:r>
      <w:r w:rsidR="0074733F">
        <w:rPr>
          <w:rFonts w:ascii="Book Antiqua" w:hAnsi="Book Antiqua" w:cs="Arial"/>
          <w:color w:val="000000"/>
        </w:rPr>
        <w:t>)</w:t>
      </w:r>
      <w:r w:rsidR="00351F2C" w:rsidRPr="00EC1298">
        <w:rPr>
          <w:rFonts w:ascii="Book Antiqua" w:hAnsi="Book Antiqua" w:cs="Arial"/>
          <w:color w:val="000000"/>
        </w:rPr>
        <w:t xml:space="preserve"> prepared by the </w:t>
      </w:r>
      <w:r w:rsidR="00480D3D">
        <w:rPr>
          <w:rFonts w:ascii="Book Antiqua" w:hAnsi="Book Antiqua" w:cs="Arial"/>
          <w:color w:val="000000"/>
        </w:rPr>
        <w:t>GoV</w:t>
      </w:r>
      <w:r w:rsidR="00351F2C" w:rsidRPr="00EC1298">
        <w:rPr>
          <w:rFonts w:ascii="Book Antiqua" w:hAnsi="Book Antiqua" w:cs="Arial"/>
          <w:color w:val="000000"/>
        </w:rPr>
        <w:t xml:space="preserve"> for the </w:t>
      </w:r>
      <w:r w:rsidR="00D7117B">
        <w:rPr>
          <w:rFonts w:ascii="Book Antiqua" w:hAnsi="Book Antiqua" w:cs="Arial"/>
          <w:color w:val="000000"/>
        </w:rPr>
        <w:t>WB</w:t>
      </w:r>
      <w:r w:rsidR="00351F2C" w:rsidRPr="00EC1298">
        <w:rPr>
          <w:rFonts w:ascii="Book Antiqua" w:hAnsi="Book Antiqua" w:cs="Arial"/>
          <w:color w:val="000000"/>
        </w:rPr>
        <w:t xml:space="preserve">’s Forest Carbon Partnership Facility, which states “benefits can be directly linked to the results of work performed by these stakeholders on forest protection, that is through increases in sequestered carbon, measured through their participation in forest carbon accounting on the ground. This contrasts with previous strategies such as local forest protection contracts under </w:t>
      </w:r>
      <w:r w:rsidR="00480D3D">
        <w:rPr>
          <w:rFonts w:ascii="Book Antiqua" w:hAnsi="Book Antiqua" w:cs="Arial"/>
          <w:color w:val="000000"/>
        </w:rPr>
        <w:t>Programme</w:t>
      </w:r>
      <w:r w:rsidR="00351F2C" w:rsidRPr="00EC1298">
        <w:rPr>
          <w:rFonts w:ascii="Book Antiqua" w:hAnsi="Book Antiqua" w:cs="Arial"/>
          <w:color w:val="000000"/>
        </w:rPr>
        <w:t xml:space="preserve"> 661, which ... were not linked to measurable performance indicators; contract holders basically know they will get the payments irrespective of whether they ‘protect’ forests” (Government of </w:t>
      </w:r>
      <w:r w:rsidR="00480D3D">
        <w:rPr>
          <w:rFonts w:ascii="Book Antiqua" w:hAnsi="Book Antiqua" w:cs="Arial"/>
          <w:color w:val="000000"/>
        </w:rPr>
        <w:t>Viet Nam</w:t>
      </w:r>
      <w:r w:rsidR="00351F2C" w:rsidRPr="00EC1298">
        <w:rPr>
          <w:rFonts w:ascii="Book Antiqua" w:hAnsi="Book Antiqua" w:cs="Arial"/>
          <w:color w:val="000000"/>
        </w:rPr>
        <w:t xml:space="preserve"> 2008a).</w:t>
      </w:r>
    </w:p>
    <w:p w:rsidR="00351F2C" w:rsidRPr="00EC1298" w:rsidRDefault="00351F2C" w:rsidP="00522F5C">
      <w:pPr>
        <w:spacing w:after="0" w:line="300" w:lineRule="exact"/>
        <w:jc w:val="both"/>
        <w:rPr>
          <w:rFonts w:ascii="Book Antiqua" w:hAnsi="Book Antiqua" w:cs="Arial"/>
          <w:color w:val="000000"/>
        </w:rPr>
      </w:pPr>
    </w:p>
    <w:p w:rsidR="00351F2C" w:rsidRPr="00EC1298" w:rsidRDefault="00351F2C" w:rsidP="00522F5C">
      <w:pPr>
        <w:spacing w:after="0" w:line="300" w:lineRule="exact"/>
        <w:jc w:val="both"/>
        <w:rPr>
          <w:rFonts w:ascii="Book Antiqua" w:hAnsi="Book Antiqua" w:cs="Arial"/>
          <w:color w:val="000000"/>
        </w:rPr>
      </w:pPr>
      <w:r w:rsidRPr="00EC1298">
        <w:rPr>
          <w:rFonts w:ascii="Book Antiqua" w:hAnsi="Book Antiqua" w:cs="Arial"/>
          <w:color w:val="000000"/>
        </w:rPr>
        <w:t xml:space="preserve">Although one option is to release funding only against the delivery of specified emissions reductions targets (however they are set, and whatever metric is applied at different levels – see sections 5.4 and 5.5), this may not be the most efficient or effective way to administer funds. It also may result in budgets not being used in the most appropriate way for reducing emissions, for example being “sidelined” for other purposes and goals which will not result in the eventual delivery of the envisaged emissions reductions. This is a particular risk where sub-national conservation and development budgets are already over-stretched. Experience suggests that the principle of admissible costs and activities is an important one and acts as a cross-check to increase the likelihood of successful emissions reduction activities. </w:t>
      </w:r>
    </w:p>
    <w:p w:rsidR="00351F2C" w:rsidRPr="00EC1298" w:rsidRDefault="00351F2C" w:rsidP="00522F5C">
      <w:pPr>
        <w:spacing w:after="0" w:line="300" w:lineRule="exact"/>
        <w:jc w:val="both"/>
        <w:rPr>
          <w:rFonts w:ascii="Book Antiqua" w:hAnsi="Book Antiqua" w:cs="Arial"/>
          <w:color w:val="000000"/>
        </w:rPr>
      </w:pPr>
    </w:p>
    <w:p w:rsidR="00351F2C" w:rsidRPr="00EC1298" w:rsidRDefault="00351F2C" w:rsidP="00522F5C">
      <w:pPr>
        <w:spacing w:after="0" w:line="300" w:lineRule="exact"/>
        <w:jc w:val="both"/>
        <w:rPr>
          <w:rFonts w:ascii="Book Antiqua" w:hAnsi="Book Antiqua" w:cs="Arial"/>
          <w:color w:val="000000"/>
        </w:rPr>
      </w:pPr>
      <w:r w:rsidRPr="00EC1298">
        <w:rPr>
          <w:rFonts w:ascii="Book Antiqua" w:hAnsi="Book Antiqua" w:cs="Arial"/>
          <w:color w:val="000000"/>
        </w:rPr>
        <w:t xml:space="preserve">In turn, what would be considered admissible costs and activities is closely dependent on the nature of the costs that must be covered. For the case of government retention and for implementation and transactions costs, identifying admissible costs and activities is quite straightforward. The government financial planning and administration system already demands the preparation of itemised budgets that specify particular expenditures and activities and are linked closely to a more strategic planning framework and goals. These types of detailed budgets will also in all likelihood be required by </w:t>
      </w:r>
      <w:r w:rsidR="00480D3D">
        <w:rPr>
          <w:rFonts w:ascii="Book Antiqua" w:hAnsi="Book Antiqua" w:cs="Arial"/>
          <w:color w:val="000000"/>
        </w:rPr>
        <w:t>REDD+</w:t>
      </w:r>
      <w:r w:rsidRPr="00EC1298">
        <w:rPr>
          <w:rFonts w:ascii="Book Antiqua" w:hAnsi="Book Antiqua" w:cs="Arial"/>
          <w:color w:val="000000"/>
        </w:rPr>
        <w:t xml:space="preserve"> donors.</w:t>
      </w:r>
    </w:p>
    <w:p w:rsidR="00351F2C" w:rsidRPr="00EC1298" w:rsidRDefault="00351F2C" w:rsidP="00522F5C">
      <w:pPr>
        <w:spacing w:after="0" w:line="300" w:lineRule="exact"/>
        <w:jc w:val="both"/>
        <w:rPr>
          <w:rFonts w:ascii="Book Antiqua" w:hAnsi="Book Antiqua" w:cs="Arial"/>
          <w:color w:val="000000"/>
        </w:rPr>
      </w:pPr>
    </w:p>
    <w:p w:rsidR="00351F2C" w:rsidRPr="00EC1298" w:rsidRDefault="00351F2C" w:rsidP="00522F5C">
      <w:pPr>
        <w:spacing w:after="0" w:line="300" w:lineRule="exact"/>
        <w:jc w:val="both"/>
        <w:rPr>
          <w:rFonts w:ascii="Book Antiqua" w:hAnsi="Book Antiqua" w:cs="Arial"/>
          <w:color w:val="000000"/>
        </w:rPr>
      </w:pPr>
      <w:r w:rsidRPr="00EC1298">
        <w:rPr>
          <w:rFonts w:ascii="Book Antiqua" w:hAnsi="Book Antiqua" w:cs="Arial"/>
          <w:color w:val="000000"/>
        </w:rPr>
        <w:lastRenderedPageBreak/>
        <w:t xml:space="preserve">For payments made to local land and resource users, the specification of admissible costs and activities will be more complex. On the one hand, the principle of opportunity costs and the need to provide a combination of both cash and non-cash benefits provide guidance as to what might be considered admissible costs and activities for provincial or district authorities.  In other words, these budgets will need to include expenditures on broader development activities and investments in forest areas as well as on activities directly related to reducing deforestation and implementing a </w:t>
      </w:r>
      <w:r w:rsidR="00480D3D">
        <w:rPr>
          <w:rFonts w:ascii="Book Antiqua" w:hAnsi="Book Antiqua" w:cs="Arial"/>
          <w:color w:val="000000"/>
        </w:rPr>
        <w:t>REDD+</w:t>
      </w:r>
      <w:r w:rsidRPr="00EC1298">
        <w:rPr>
          <w:rFonts w:ascii="Book Antiqua" w:hAnsi="Book Antiqua" w:cs="Arial"/>
          <w:color w:val="000000"/>
        </w:rPr>
        <w:t xml:space="preserve"> programme. It will, however, be difficult to apply these kinds of principles at the lowest level of benefit distribution when releasing payments to the individuals, households or enterprises who use forest land and resources. This is because the types of activities that are required to reduce deforestation are much broader in scope, and much more variable between different areas and land/resource users. The costs of monitoring expenditures at the local level are also likely to be prohibitively high. For these reasons, it is likely that the principle of admissible costs and activities will apply only to the </w:t>
      </w:r>
      <w:r w:rsidR="00480D3D">
        <w:rPr>
          <w:rFonts w:ascii="Book Antiqua" w:hAnsi="Book Antiqua" w:cs="Arial"/>
          <w:color w:val="000000"/>
        </w:rPr>
        <w:t>REDD+</w:t>
      </w:r>
      <w:r w:rsidRPr="00EC1298">
        <w:rPr>
          <w:rFonts w:ascii="Book Antiqua" w:hAnsi="Book Antiqua" w:cs="Arial"/>
          <w:color w:val="000000"/>
        </w:rPr>
        <w:t xml:space="preserve"> funding that is being retained by government. While it will still be important to ensure that direct payments to land and resource users are performance based, they will in all likelihood be contingent on different metrics of performance.</w:t>
      </w:r>
    </w:p>
    <w:p w:rsidR="00351F2C" w:rsidRPr="00445F77" w:rsidRDefault="00351F2C" w:rsidP="00522F5C">
      <w:pPr>
        <w:spacing w:after="0" w:line="300" w:lineRule="exact"/>
        <w:jc w:val="both"/>
        <w:rPr>
          <w:rFonts w:ascii="Arial" w:hAnsi="Arial" w:cs="Arial"/>
          <w:sz w:val="24"/>
          <w:szCs w:val="24"/>
        </w:rPr>
      </w:pPr>
    </w:p>
    <w:p w:rsidR="00351F2C" w:rsidRPr="00445F77" w:rsidRDefault="00351F2C" w:rsidP="00A256CB">
      <w:pPr>
        <w:pStyle w:val="Heading3"/>
        <w:rPr>
          <w:rFonts w:ascii="Arial" w:hAnsi="Arial" w:cs="Arial"/>
        </w:rPr>
      </w:pPr>
      <w:bookmarkStart w:id="376" w:name="_Toc243740841"/>
      <w:bookmarkStart w:id="377" w:name="_Toc243984151"/>
      <w:bookmarkStart w:id="378" w:name="_Toc244327677"/>
      <w:bookmarkStart w:id="379" w:name="_Toc244327927"/>
      <w:bookmarkStart w:id="380" w:name="_Toc244735087"/>
      <w:bookmarkStart w:id="381" w:name="_Toc249079561"/>
      <w:r w:rsidRPr="00445F77">
        <w:rPr>
          <w:rFonts w:ascii="Arial" w:hAnsi="Arial" w:cs="Arial"/>
        </w:rPr>
        <w:t>Options for timing the disbursement of funds</w:t>
      </w:r>
      <w:bookmarkEnd w:id="376"/>
      <w:bookmarkEnd w:id="377"/>
      <w:bookmarkEnd w:id="378"/>
      <w:bookmarkEnd w:id="379"/>
      <w:bookmarkEnd w:id="380"/>
      <w:bookmarkEnd w:id="381"/>
    </w:p>
    <w:p w:rsidR="00351F2C" w:rsidRPr="001358CE" w:rsidRDefault="00C47C3B" w:rsidP="00522F5C">
      <w:pPr>
        <w:spacing w:after="0" w:line="300" w:lineRule="exact"/>
        <w:jc w:val="both"/>
        <w:rPr>
          <w:rFonts w:ascii="Book Antiqua" w:hAnsi="Book Antiqua" w:cs="Arial"/>
        </w:rPr>
      </w:pPr>
      <w:r>
        <w:rPr>
          <w:rFonts w:ascii="Book Antiqua" w:hAnsi="Book Antiqua" w:cs="Arial"/>
          <w:noProof/>
          <w:lang w:val="en-US"/>
        </w:rPr>
        <w:pict>
          <v:shape id="_x0000_s1513" type="#_x0000_t202" style="position:absolute;left:0;text-align:left;margin-left:-.1pt;margin-top:5.75pt;width:283.35pt;height:170.9pt;z-index:251632128;mso-position-horizontal-relative:margin" fillcolor="#dbe5f1" strokecolor="#1f497d" strokeweight="1.5pt">
            <v:shadow on="t" color="#365f91" opacity=".5" offset="4pt,4pt" offset2="-4pt,-4pt"/>
            <v:textbox style="mso-next-textbox:#_x0000_s1513" inset="1.5mm,1.5mm,1.5mm,1.5mm">
              <w:txbxContent>
                <w:tbl>
                  <w:tblPr>
                    <w:tblW w:w="0" w:type="auto"/>
                    <w:jc w:val="center"/>
                    <w:tblBorders>
                      <w:top w:val="single" w:sz="24" w:space="0" w:color="FFFFFF"/>
                      <w:left w:val="single" w:sz="24" w:space="0" w:color="FFFFFF"/>
                      <w:bottom w:val="single" w:sz="24" w:space="0" w:color="FFFFFF"/>
                      <w:right w:val="single" w:sz="24" w:space="0" w:color="FFFFFF"/>
                      <w:insideH w:val="single" w:sz="12" w:space="0" w:color="FFFFFF"/>
                      <w:insideV w:val="single" w:sz="24" w:space="0" w:color="FFFFFF"/>
                    </w:tblBorders>
                    <w:tblLook w:val="00A0"/>
                  </w:tblPr>
                  <w:tblGrid>
                    <w:gridCol w:w="1170"/>
                    <w:gridCol w:w="1806"/>
                    <w:gridCol w:w="2351"/>
                  </w:tblGrid>
                  <w:tr w:rsidR="00B4351F" w:rsidRPr="0088744B">
                    <w:trPr>
                      <w:tblHeader/>
                      <w:jc w:val="center"/>
                    </w:trPr>
                    <w:tc>
                      <w:tcPr>
                        <w:tcW w:w="1170" w:type="dxa"/>
                        <w:tcBorders>
                          <w:top w:val="single" w:sz="24" w:space="0" w:color="FFFFFF"/>
                          <w:left w:val="single" w:sz="24" w:space="0" w:color="FFFFFF"/>
                          <w:bottom w:val="single" w:sz="12" w:space="0" w:color="FFFFFF"/>
                          <w:right w:val="single" w:sz="24" w:space="0" w:color="FFFFFF"/>
                        </w:tcBorders>
                        <w:shd w:val="clear" w:color="auto" w:fill="365F91"/>
                        <w:vAlign w:val="center"/>
                      </w:tcPr>
                      <w:p w:rsidR="00B4351F" w:rsidRPr="00F74FAA" w:rsidRDefault="00B4351F" w:rsidP="00246293">
                        <w:pPr>
                          <w:spacing w:before="20" w:after="20"/>
                          <w:rPr>
                            <w:b/>
                            <w:bCs/>
                            <w:color w:val="FFFFFF"/>
                            <w:sz w:val="16"/>
                            <w:szCs w:val="16"/>
                          </w:rPr>
                        </w:pPr>
                        <w:r w:rsidRPr="00F74FAA">
                          <w:rPr>
                            <w:b/>
                            <w:bCs/>
                            <w:color w:val="FFFFFF"/>
                            <w:sz w:val="16"/>
                            <w:szCs w:val="16"/>
                          </w:rPr>
                          <w:t>Options</w:t>
                        </w:r>
                      </w:p>
                    </w:tc>
                    <w:tc>
                      <w:tcPr>
                        <w:tcW w:w="1806" w:type="dxa"/>
                        <w:tcBorders>
                          <w:top w:val="single" w:sz="24" w:space="0" w:color="FFFFFF"/>
                          <w:left w:val="single" w:sz="24" w:space="0" w:color="FFFFFF"/>
                          <w:bottom w:val="single" w:sz="12" w:space="0" w:color="FFFFFF"/>
                          <w:right w:val="single" w:sz="24" w:space="0" w:color="FFFFFF"/>
                        </w:tcBorders>
                        <w:shd w:val="clear" w:color="auto" w:fill="365F91"/>
                        <w:vAlign w:val="center"/>
                      </w:tcPr>
                      <w:p w:rsidR="00B4351F" w:rsidRPr="00F74FAA" w:rsidRDefault="00B4351F" w:rsidP="00246293">
                        <w:pPr>
                          <w:spacing w:before="20" w:after="20"/>
                          <w:rPr>
                            <w:b/>
                            <w:bCs/>
                            <w:color w:val="FFFFFF"/>
                            <w:sz w:val="16"/>
                            <w:szCs w:val="16"/>
                          </w:rPr>
                        </w:pPr>
                        <w:r w:rsidRPr="00F74FAA">
                          <w:rPr>
                            <w:b/>
                            <w:bCs/>
                            <w:color w:val="FFFFFF"/>
                            <w:sz w:val="16"/>
                            <w:szCs w:val="16"/>
                          </w:rPr>
                          <w:t>Strengths</w:t>
                        </w:r>
                      </w:p>
                    </w:tc>
                    <w:tc>
                      <w:tcPr>
                        <w:tcW w:w="2351" w:type="dxa"/>
                        <w:tcBorders>
                          <w:top w:val="single" w:sz="24" w:space="0" w:color="FFFFFF"/>
                          <w:left w:val="single" w:sz="24" w:space="0" w:color="FFFFFF"/>
                          <w:bottom w:val="single" w:sz="12" w:space="0" w:color="FFFFFF"/>
                          <w:right w:val="single" w:sz="24" w:space="0" w:color="FFFFFF"/>
                        </w:tcBorders>
                        <w:shd w:val="clear" w:color="auto" w:fill="365F91"/>
                        <w:vAlign w:val="center"/>
                      </w:tcPr>
                      <w:p w:rsidR="00B4351F" w:rsidRPr="00F74FAA" w:rsidRDefault="00B4351F" w:rsidP="00246293">
                        <w:pPr>
                          <w:spacing w:before="20" w:after="20"/>
                          <w:rPr>
                            <w:b/>
                            <w:bCs/>
                            <w:color w:val="FFFFFF"/>
                            <w:sz w:val="16"/>
                            <w:szCs w:val="16"/>
                          </w:rPr>
                        </w:pPr>
                        <w:r w:rsidRPr="00F74FAA">
                          <w:rPr>
                            <w:b/>
                            <w:bCs/>
                            <w:color w:val="FFFFFF"/>
                            <w:sz w:val="16"/>
                            <w:szCs w:val="16"/>
                          </w:rPr>
                          <w:t>Constraints</w:t>
                        </w:r>
                      </w:p>
                    </w:tc>
                  </w:tr>
                  <w:tr w:rsidR="00B4351F" w:rsidRPr="00F010E7">
                    <w:trPr>
                      <w:jc w:val="center"/>
                    </w:trPr>
                    <w:tc>
                      <w:tcPr>
                        <w:tcW w:w="1170" w:type="dxa"/>
                        <w:tcBorders>
                          <w:top w:val="single" w:sz="12" w:space="0" w:color="FFFFFF"/>
                          <w:left w:val="single" w:sz="24" w:space="0" w:color="FFFFFF"/>
                          <w:bottom w:val="single" w:sz="8" w:space="0" w:color="FFFFFF"/>
                          <w:right w:val="single" w:sz="24" w:space="0" w:color="FFFFFF"/>
                        </w:tcBorders>
                        <w:shd w:val="clear" w:color="auto" w:fill="C6D9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Release funds ex-post: after delivery of agreed activities</w:t>
                        </w:r>
                      </w:p>
                    </w:tc>
                    <w:tc>
                      <w:tcPr>
                        <w:tcW w:w="1806" w:type="dxa"/>
                        <w:tcBorders>
                          <w:top w:val="single" w:sz="12" w:space="0" w:color="FFFFFF"/>
                          <w:left w:val="single" w:sz="24" w:space="0" w:color="FFFFFF"/>
                          <w:bottom w:val="single" w:sz="8"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Provides clear incentives for performance and delivery</w:t>
                        </w:r>
                      </w:p>
                    </w:tc>
                    <w:tc>
                      <w:tcPr>
                        <w:tcW w:w="2351" w:type="dxa"/>
                        <w:tcBorders>
                          <w:top w:val="single" w:sz="12" w:space="0" w:color="FFFFFF"/>
                          <w:left w:val="single" w:sz="24" w:space="0" w:color="FFFFFF"/>
                          <w:bottom w:val="single" w:sz="8"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Many groups will not be in a position to bear the upfront costs and risks of REDD actions, and so may reduce the uptake of actions to reduce deforestation</w:t>
                        </w:r>
                      </w:p>
                    </w:tc>
                  </w:tr>
                  <w:tr w:rsidR="00B4351F" w:rsidRPr="00F010E7">
                    <w:trPr>
                      <w:jc w:val="center"/>
                    </w:trPr>
                    <w:tc>
                      <w:tcPr>
                        <w:tcW w:w="1170" w:type="dxa"/>
                        <w:tcBorders>
                          <w:top w:val="single" w:sz="8" w:space="0" w:color="FFFFFF"/>
                          <w:left w:val="single" w:sz="24" w:space="0" w:color="FFFFFF"/>
                          <w:bottom w:val="single" w:sz="24" w:space="0" w:color="FFFFFF"/>
                          <w:right w:val="single" w:sz="24" w:space="0" w:color="FFFFFF"/>
                        </w:tcBorders>
                        <w:shd w:val="clear" w:color="auto" w:fill="C6D9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Make a phased release of funds from initiation onwards</w:t>
                        </w:r>
                      </w:p>
                    </w:tc>
                    <w:tc>
                      <w:tcPr>
                        <w:tcW w:w="1806"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Spreads the risk of delivery, matches the timing of costs of avoided deforestation actions, engages interest and buy-in for REDD actions</w:t>
                        </w:r>
                      </w:p>
                    </w:tc>
                    <w:tc>
                      <w:tcPr>
                        <w:tcW w:w="2351" w:type="dxa"/>
                        <w:tcBorders>
                          <w:top w:val="single" w:sz="8" w:space="0" w:color="FFFFFF"/>
                          <w:left w:val="single" w:sz="24" w:space="0" w:color="FFFFFF"/>
                          <w:bottom w:val="single" w:sz="24" w:space="0" w:color="FFFFFF"/>
                          <w:right w:val="single" w:sz="24" w:space="0" w:color="FFFFFF"/>
                        </w:tcBorders>
                        <w:shd w:val="clear" w:color="auto" w:fill="DBE5F1"/>
                        <w:vAlign w:val="center"/>
                      </w:tcPr>
                      <w:p w:rsidR="00B4351F" w:rsidRPr="00C724C9" w:rsidRDefault="00B4351F" w:rsidP="00246293">
                        <w:pPr>
                          <w:spacing w:before="20" w:after="20"/>
                          <w:rPr>
                            <w:rFonts w:ascii="Arial" w:hAnsi="Arial" w:cs="Arial"/>
                            <w:sz w:val="16"/>
                            <w:szCs w:val="16"/>
                          </w:rPr>
                        </w:pPr>
                        <w:r w:rsidRPr="00C724C9">
                          <w:rPr>
                            <w:rFonts w:ascii="Arial" w:hAnsi="Arial" w:cs="Arial"/>
                            <w:sz w:val="16"/>
                            <w:szCs w:val="16"/>
                          </w:rPr>
                          <w:t>Increases the burden of risk for central government, and increases the needs to seek pre-financing and start-up funds</w:t>
                        </w:r>
                      </w:p>
                    </w:tc>
                  </w:tr>
                </w:tbl>
                <w:p w:rsidR="00B4351F" w:rsidRPr="00F74FAA" w:rsidRDefault="00B4351F" w:rsidP="00246293">
                  <w:pPr>
                    <w:pStyle w:val="Bullets"/>
                    <w:spacing w:before="0" w:line="240" w:lineRule="auto"/>
                    <w:ind w:left="0" w:firstLine="0"/>
                    <w:rPr>
                      <w:rFonts w:ascii="Cambria" w:hAnsi="Cambria" w:cs="Cambria"/>
                    </w:rPr>
                  </w:pPr>
                </w:p>
              </w:txbxContent>
            </v:textbox>
            <w10:wrap type="square" anchorx="margin"/>
            <w10:anchorlock/>
          </v:shape>
        </w:pict>
      </w:r>
      <w:r w:rsidR="00351F2C" w:rsidRPr="001358CE">
        <w:rPr>
          <w:rFonts w:ascii="Book Antiqua" w:hAnsi="Book Antiqua" w:cs="Arial"/>
        </w:rPr>
        <w:t xml:space="preserve">A final, and yet important, issue relating to </w:t>
      </w:r>
      <w:r w:rsidR="00480D3D">
        <w:rPr>
          <w:rFonts w:ascii="Book Antiqua" w:hAnsi="Book Antiqua" w:cs="Arial"/>
        </w:rPr>
        <w:t>REDD+</w:t>
      </w:r>
      <w:r w:rsidR="00351F2C" w:rsidRPr="001358CE">
        <w:rPr>
          <w:rFonts w:ascii="Book Antiqua" w:hAnsi="Book Antiqua" w:cs="Arial"/>
        </w:rPr>
        <w:t xml:space="preserve"> costs and retention is the timing and frequency of fund disbursement. This relates both to when funds are received by </w:t>
      </w:r>
      <w:smartTag w:uri="urn:schemas-microsoft-com:office:smarttags" w:element="country-region">
        <w:smartTag w:uri="urn:schemas-microsoft-com:office:smarttags" w:element="place">
          <w:r w:rsidR="00351F2C" w:rsidRPr="001358CE">
            <w:rPr>
              <w:rFonts w:ascii="Book Antiqua" w:hAnsi="Book Antiqua" w:cs="Arial"/>
            </w:rPr>
            <w:t>Viet Nam</w:t>
          </w:r>
        </w:smartTag>
      </w:smartTag>
      <w:r w:rsidR="00351F2C" w:rsidRPr="001358CE">
        <w:rPr>
          <w:rFonts w:ascii="Book Antiqua" w:hAnsi="Book Antiqua" w:cs="Arial"/>
        </w:rPr>
        <w:t xml:space="preserve"> from the global community, and when benefits are disbursed down the chain at the sub-national and local levels. The modalities and structure of the eventual global </w:t>
      </w:r>
      <w:r w:rsidR="00480D3D">
        <w:rPr>
          <w:rFonts w:ascii="Book Antiqua" w:hAnsi="Book Antiqua" w:cs="Arial"/>
        </w:rPr>
        <w:t>REDD+</w:t>
      </w:r>
      <w:r w:rsidR="00351F2C" w:rsidRPr="001358CE">
        <w:rPr>
          <w:rFonts w:ascii="Book Antiqua" w:hAnsi="Book Antiqua" w:cs="Arial"/>
        </w:rPr>
        <w:t xml:space="preserve"> system are still under debate but it seems likely that countries will most likely receive </w:t>
      </w:r>
      <w:r w:rsidR="00480D3D">
        <w:rPr>
          <w:rFonts w:ascii="Book Antiqua" w:hAnsi="Book Antiqua" w:cs="Arial"/>
        </w:rPr>
        <w:t>REDD+</w:t>
      </w:r>
      <w:r w:rsidR="00351F2C" w:rsidRPr="001358CE">
        <w:rPr>
          <w:rFonts w:ascii="Book Antiqua" w:hAnsi="Book Antiqua" w:cs="Arial"/>
        </w:rPr>
        <w:t xml:space="preserve"> payments </w:t>
      </w:r>
      <w:r w:rsidR="00351F2C" w:rsidRPr="001358CE">
        <w:rPr>
          <w:rFonts w:ascii="Book Antiqua" w:hAnsi="Book Antiqua" w:cs="Arial"/>
          <w:i/>
          <w:iCs/>
        </w:rPr>
        <w:t>ex post</w:t>
      </w:r>
      <w:r w:rsidR="00351F2C" w:rsidRPr="001358CE">
        <w:rPr>
          <w:rFonts w:ascii="Book Antiqua" w:hAnsi="Book Antiqua" w:cs="Arial"/>
        </w:rPr>
        <w:t xml:space="preserve"> or “on delivery” for the carbon emissions avoided through reducing deforestation (Legge </w:t>
      </w:r>
      <w:r w:rsidR="00351F2C" w:rsidRPr="001358CE">
        <w:rPr>
          <w:rFonts w:ascii="Book Antiqua" w:hAnsi="Book Antiqua" w:cs="Arial"/>
          <w:i/>
          <w:iCs/>
        </w:rPr>
        <w:t>et al</w:t>
      </w:r>
      <w:r w:rsidR="00351F2C" w:rsidRPr="001358CE">
        <w:rPr>
          <w:rFonts w:ascii="Book Antiqua" w:hAnsi="Book Antiqua" w:cs="Arial"/>
        </w:rPr>
        <w:t xml:space="preserve"> 2008). However, whatever form a </w:t>
      </w:r>
      <w:r w:rsidR="00480D3D">
        <w:rPr>
          <w:rFonts w:ascii="Book Antiqua" w:hAnsi="Book Antiqua" w:cs="Arial"/>
        </w:rPr>
        <w:t>REDD+</w:t>
      </w:r>
      <w:r w:rsidR="00351F2C" w:rsidRPr="001358CE">
        <w:rPr>
          <w:rFonts w:ascii="Book Antiqua" w:hAnsi="Book Antiqua" w:cs="Arial"/>
        </w:rPr>
        <w:t xml:space="preserve"> fund takes, there will still be need for </w:t>
      </w:r>
      <w:r w:rsidR="00351F2C" w:rsidRPr="001358CE">
        <w:rPr>
          <w:rFonts w:ascii="Book Antiqua" w:hAnsi="Book Antiqua" w:cs="Arial"/>
          <w:i/>
          <w:iCs/>
        </w:rPr>
        <w:t>a priori</w:t>
      </w:r>
      <w:r w:rsidR="00351F2C" w:rsidRPr="001358CE">
        <w:rPr>
          <w:rFonts w:ascii="Book Antiqua" w:hAnsi="Book Antiqua" w:cs="Arial"/>
        </w:rPr>
        <w:t xml:space="preserve"> or up-front investment. Determining what form and by whom this pre-funding is provided to Viet Nam lies beyond the scope of this document, but the issue of the timing of the release of benefits at the sub-national level is of key importance.</w:t>
      </w:r>
    </w:p>
    <w:p w:rsidR="00351F2C" w:rsidRPr="001358CE" w:rsidRDefault="00351F2C" w:rsidP="00522F5C">
      <w:pPr>
        <w:spacing w:after="0" w:line="300" w:lineRule="exact"/>
        <w:jc w:val="both"/>
        <w:rPr>
          <w:rFonts w:ascii="Book Antiqua" w:hAnsi="Book Antiqua" w:cs="Arial"/>
        </w:rPr>
      </w:pPr>
    </w:p>
    <w:p w:rsidR="00351F2C" w:rsidRPr="001358CE" w:rsidRDefault="00351F2C" w:rsidP="00522F5C">
      <w:pPr>
        <w:spacing w:after="0" w:line="300" w:lineRule="exact"/>
        <w:jc w:val="both"/>
        <w:rPr>
          <w:rFonts w:ascii="Book Antiqua" w:hAnsi="Book Antiqua" w:cs="Arial"/>
        </w:rPr>
      </w:pPr>
      <w:r w:rsidRPr="001358CE">
        <w:rPr>
          <w:rFonts w:ascii="Book Antiqua" w:hAnsi="Book Antiqua" w:cs="Arial"/>
        </w:rPr>
        <w:t xml:space="preserve">One option is to release funds down the national chain of payment only after the delivery of agreed activities and emissions reductions. Although providing clear links to for performance, this is not likely to be viable in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 Most sub-national authorities and land/resource users cannot afford to bear these costs. It will diminish their incentive to participate in </w:t>
      </w:r>
      <w:r w:rsidR="00480D3D">
        <w:rPr>
          <w:rFonts w:ascii="Book Antiqua" w:hAnsi="Book Antiqua" w:cs="Arial"/>
        </w:rPr>
        <w:t>REDD+</w:t>
      </w:r>
      <w:r w:rsidRPr="001358CE">
        <w:rPr>
          <w:rFonts w:ascii="Book Antiqua" w:hAnsi="Book Antiqua" w:cs="Arial"/>
        </w:rPr>
        <w:t>, unfairly transfer the burden of risk, and place a cost on sub-</w:t>
      </w:r>
      <w:r w:rsidRPr="001358CE">
        <w:rPr>
          <w:rFonts w:ascii="Book Antiqua" w:hAnsi="Book Antiqua" w:cs="Arial"/>
        </w:rPr>
        <w:lastRenderedPageBreak/>
        <w:t xml:space="preserve">national authorities and landholders that they cannot be expected to be either able or willing to bear. Some mechanism for pre-financing will need to be established. Experience to date from carbon projects show that the implementation, transactions and opportunity costs of avoiding deforestation at the set-up stage tend to be the highest: over time, the relative costs of delivering a specified level of emissions reductions reduce. Offset projects developed out of </w:t>
      </w:r>
      <w:r w:rsidR="00480D3D">
        <w:rPr>
          <w:rFonts w:ascii="Book Antiqua" w:hAnsi="Book Antiqua" w:cs="Arial"/>
        </w:rPr>
        <w:t>REDD+</w:t>
      </w:r>
      <w:r w:rsidRPr="001358CE">
        <w:rPr>
          <w:rFonts w:ascii="Book Antiqua" w:hAnsi="Book Antiqua" w:cs="Arial"/>
        </w:rPr>
        <w:t xml:space="preserve"> activities (in the voluntary market so far) show that significant resources need to be deployed upfront to help in structuring and developing of the project (Ecosecurities 2009). Accordingly, </w:t>
      </w:r>
      <w:r w:rsidR="00480D3D">
        <w:rPr>
          <w:rFonts w:ascii="Book Antiqua" w:hAnsi="Book Antiqua" w:cs="Arial"/>
        </w:rPr>
        <w:t>REDD+</w:t>
      </w:r>
      <w:r w:rsidRPr="001358CE">
        <w:rPr>
          <w:rFonts w:ascii="Book Antiqua" w:hAnsi="Book Antiqua" w:cs="Arial"/>
        </w:rPr>
        <w:t xml:space="preserve"> payments not only need to be high enough to recover development and start-up costs, but any delay in the payment schedule can have significant impacts on the profitability of the operation and the ability of the </w:t>
      </w:r>
      <w:r w:rsidR="00480D3D">
        <w:rPr>
          <w:rFonts w:ascii="Book Antiqua" w:hAnsi="Book Antiqua" w:cs="Arial"/>
        </w:rPr>
        <w:t>REDD+</w:t>
      </w:r>
      <w:r w:rsidRPr="001358CE">
        <w:rPr>
          <w:rFonts w:ascii="Book Antiqua" w:hAnsi="Book Antiqua" w:cs="Arial"/>
        </w:rPr>
        <w:t xml:space="preserve"> participant to complete the project. (ICF International 2009).</w:t>
      </w:r>
    </w:p>
    <w:p w:rsidR="00351F2C" w:rsidRPr="001358CE" w:rsidRDefault="00351F2C" w:rsidP="00522F5C">
      <w:pPr>
        <w:spacing w:after="0" w:line="300" w:lineRule="exact"/>
        <w:jc w:val="both"/>
        <w:rPr>
          <w:rFonts w:ascii="Book Antiqua" w:hAnsi="Book Antiqua" w:cs="Arial"/>
        </w:rPr>
      </w:pPr>
    </w:p>
    <w:p w:rsidR="00351F2C" w:rsidRPr="001358CE" w:rsidRDefault="00351F2C" w:rsidP="00522F5C">
      <w:pPr>
        <w:spacing w:after="0" w:line="300" w:lineRule="exact"/>
        <w:jc w:val="both"/>
        <w:rPr>
          <w:rFonts w:ascii="Book Antiqua" w:hAnsi="Book Antiqua" w:cs="Arial"/>
        </w:rPr>
      </w:pPr>
      <w:r w:rsidRPr="001358CE">
        <w:rPr>
          <w:rFonts w:ascii="Book Antiqua" w:hAnsi="Book Antiqua" w:cs="Arial"/>
        </w:rPr>
        <w:t>Both Programme 661 and</w:t>
      </w:r>
      <w:r w:rsidR="001B6D90">
        <w:rPr>
          <w:rFonts w:ascii="Book Antiqua" w:hAnsi="Book Antiqua" w:cs="Arial"/>
        </w:rPr>
        <w:t xml:space="preserve"> PFES</w:t>
      </w:r>
      <w:r w:rsidRPr="001358CE">
        <w:rPr>
          <w:rFonts w:ascii="Book Antiqua" w:hAnsi="Book Antiqua" w:cs="Arial"/>
        </w:rPr>
        <w:t xml:space="preserve"> schemes in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 are based on providing a regular flow of payments to participants, beginning from the initiation of the activity to conserve forests or reduce deforestation (although only the former allows for the release of funds specifically to cover start-up costs). This is an appropriate model for </w:t>
      </w:r>
      <w:r w:rsidR="00480D3D">
        <w:rPr>
          <w:rFonts w:ascii="Book Antiqua" w:hAnsi="Book Antiqua" w:cs="Arial"/>
        </w:rPr>
        <w:t>REDD+</w:t>
      </w:r>
      <w:r w:rsidRPr="001358CE">
        <w:rPr>
          <w:rFonts w:ascii="Book Antiqua" w:hAnsi="Book Antiqua" w:cs="Arial"/>
        </w:rPr>
        <w:t xml:space="preserve">, as payment scheduling needs to match the regular costs that will be incurred by all groups in delivering emissions reductions from reduced deforestation (Bond </w:t>
      </w:r>
      <w:r w:rsidRPr="001358CE">
        <w:rPr>
          <w:rFonts w:ascii="Book Antiqua" w:hAnsi="Book Antiqua" w:cs="Arial"/>
          <w:i/>
          <w:iCs/>
        </w:rPr>
        <w:t>et al</w:t>
      </w:r>
      <w:r w:rsidRPr="001358CE">
        <w:rPr>
          <w:rFonts w:ascii="Book Antiqua" w:hAnsi="Book Antiqua" w:cs="Arial"/>
        </w:rPr>
        <w:t xml:space="preserve"> 2009). There is consensus that, at the sub-national level, the most effective mechanism will be to make a phased release of </w:t>
      </w:r>
      <w:r w:rsidR="00480D3D">
        <w:rPr>
          <w:rFonts w:ascii="Book Antiqua" w:hAnsi="Book Antiqua" w:cs="Arial"/>
        </w:rPr>
        <w:t>REDD+</w:t>
      </w:r>
      <w:r w:rsidRPr="001358CE">
        <w:rPr>
          <w:rFonts w:ascii="Book Antiqua" w:hAnsi="Book Antiqua" w:cs="Arial"/>
        </w:rPr>
        <w:t xml:space="preserve"> benefits, from the preparation and initiation of activities onwards. One way to deal with the potential risks of providing upfront payments before the delivery of emissions reductions would be to adopt an approach similar to that introduced in the sixth KfW-funded forestry project. Here, “savings books” are given to participating households at the Bank for Social Policies, which allow a phased withdrawal of funds and reserve the right to freeze or terminate savings books in case of household non-compliance with the required management practices. This is discussed further in section 5.5 of this document.</w:t>
      </w:r>
    </w:p>
    <w:p w:rsidR="00351F2C" w:rsidRPr="001358CE" w:rsidRDefault="00351F2C" w:rsidP="00522F5C">
      <w:pPr>
        <w:spacing w:after="0"/>
        <w:rPr>
          <w:rFonts w:ascii="Book Antiqua" w:hAnsi="Book Antiqua" w:cs="Arial"/>
        </w:rPr>
      </w:pPr>
    </w:p>
    <w:p w:rsidR="00351F2C" w:rsidRPr="008F6D17" w:rsidRDefault="00351F2C" w:rsidP="00A256CB">
      <w:pPr>
        <w:pStyle w:val="Heading2"/>
        <w:rPr>
          <w:rFonts w:ascii="Arial" w:hAnsi="Arial" w:cs="Arial"/>
          <w:sz w:val="24"/>
          <w:szCs w:val="24"/>
        </w:rPr>
      </w:pPr>
      <w:bookmarkStart w:id="382" w:name="_Ref243026607"/>
      <w:bookmarkStart w:id="383" w:name="_Toc243740842"/>
      <w:bookmarkStart w:id="384" w:name="_Toc244735664"/>
      <w:bookmarkStart w:id="385" w:name="_Toc252354741"/>
      <w:bookmarkStart w:id="386" w:name="_Toc242777311"/>
      <w:bookmarkStart w:id="387" w:name="_Toc242848566"/>
      <w:bookmarkStart w:id="388" w:name="_Toc242872655"/>
      <w:bookmarkStart w:id="389" w:name="_Toc242927145"/>
      <w:bookmarkStart w:id="390" w:name="_Toc242942787"/>
      <w:r w:rsidRPr="008F6D17">
        <w:rPr>
          <w:rFonts w:ascii="Arial" w:hAnsi="Arial" w:cs="Arial"/>
          <w:sz w:val="24"/>
          <w:szCs w:val="24"/>
        </w:rPr>
        <w:t xml:space="preserve">5.5 </w:t>
      </w:r>
      <w:bookmarkStart w:id="391" w:name="_Toc243984152"/>
      <w:bookmarkStart w:id="392" w:name="_Toc244327678"/>
      <w:bookmarkStart w:id="393" w:name="_Toc244327928"/>
      <w:bookmarkStart w:id="394" w:name="_Toc244735088"/>
      <w:r w:rsidRPr="008F6D17">
        <w:rPr>
          <w:rFonts w:ascii="Arial" w:hAnsi="Arial" w:cs="Arial"/>
          <w:sz w:val="24"/>
          <w:szCs w:val="24"/>
        </w:rPr>
        <w:t xml:space="preserve">Recommendations and next steps: factoring revenue retention, cost-recovery and incentive considerations into </w:t>
      </w:r>
      <w:smartTag w:uri="urn:schemas-microsoft-com:office:smarttags" w:element="country-region">
        <w:smartTag w:uri="urn:schemas-microsoft-com:office:smarttags" w:element="place">
          <w:r w:rsidRPr="008F6D17">
            <w:rPr>
              <w:rFonts w:ascii="Arial" w:hAnsi="Arial" w:cs="Arial"/>
              <w:sz w:val="24"/>
              <w:szCs w:val="24"/>
            </w:rPr>
            <w:t>Viet Nam</w:t>
          </w:r>
        </w:smartTag>
      </w:smartTag>
      <w:r w:rsidRPr="008F6D17">
        <w:rPr>
          <w:rFonts w:ascii="Arial" w:hAnsi="Arial" w:cs="Arial"/>
          <w:sz w:val="24"/>
          <w:szCs w:val="24"/>
        </w:rPr>
        <w:t xml:space="preserve">’s </w:t>
      </w:r>
      <w:r w:rsidR="00480D3D" w:rsidRPr="008F6D17">
        <w:rPr>
          <w:rFonts w:ascii="Arial" w:hAnsi="Arial" w:cs="Arial"/>
          <w:sz w:val="24"/>
          <w:szCs w:val="24"/>
        </w:rPr>
        <w:t>REDD+</w:t>
      </w:r>
      <w:r w:rsidRPr="008F6D17">
        <w:rPr>
          <w:rFonts w:ascii="Arial" w:hAnsi="Arial" w:cs="Arial"/>
          <w:sz w:val="24"/>
          <w:szCs w:val="24"/>
        </w:rPr>
        <w:t xml:space="preserve"> </w:t>
      </w:r>
      <w:r w:rsidR="00765C66" w:rsidRPr="008F6D17">
        <w:rPr>
          <w:rFonts w:ascii="Arial" w:hAnsi="Arial" w:cs="Arial"/>
          <w:sz w:val="24"/>
          <w:szCs w:val="24"/>
        </w:rPr>
        <w:t>BDS</w:t>
      </w:r>
      <w:bookmarkEnd w:id="382"/>
      <w:bookmarkEnd w:id="383"/>
      <w:bookmarkEnd w:id="384"/>
      <w:bookmarkEnd w:id="385"/>
      <w:bookmarkEnd w:id="391"/>
      <w:bookmarkEnd w:id="392"/>
      <w:bookmarkEnd w:id="393"/>
      <w:bookmarkEnd w:id="394"/>
    </w:p>
    <w:p w:rsidR="00351F2C" w:rsidRPr="001358CE" w:rsidRDefault="00351F2C" w:rsidP="00522F5C">
      <w:pPr>
        <w:spacing w:after="0" w:line="300" w:lineRule="exact"/>
        <w:jc w:val="both"/>
        <w:rPr>
          <w:rFonts w:ascii="Book Antiqua" w:hAnsi="Book Antiqua" w:cs="Arial"/>
        </w:rPr>
      </w:pPr>
      <w:r w:rsidRPr="001358CE">
        <w:rPr>
          <w:rFonts w:ascii="Book Antiqua" w:hAnsi="Book Antiqua" w:cs="Arial"/>
        </w:rPr>
        <w:t xml:space="preserve">Four key decisions need to be made about cost and retention aspects of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’s </w:t>
      </w:r>
      <w:r w:rsidR="00480D3D">
        <w:rPr>
          <w:rFonts w:ascii="Book Antiqua" w:hAnsi="Book Antiqua" w:cs="Arial"/>
        </w:rPr>
        <w:t>REDD+</w:t>
      </w:r>
      <w:r w:rsidRPr="001358CE">
        <w:rPr>
          <w:rFonts w:ascii="Book Antiqua" w:hAnsi="Book Antiqua" w:cs="Arial"/>
        </w:rPr>
        <w:t xml:space="preserve"> BDS, which are in turn linked to further work and needs for information </w:t>
      </w:r>
      <w:r w:rsidR="00B54274">
        <w:rPr>
          <w:rFonts w:ascii="Book Antiqua" w:hAnsi="Book Antiqua" w:cs="Arial"/>
        </w:rPr>
        <w:t>to be conducted, starting in 2010</w:t>
      </w:r>
      <w:r w:rsidRPr="001358CE">
        <w:rPr>
          <w:rFonts w:ascii="Book Antiqua" w:hAnsi="Book Antiqua" w:cs="Arial"/>
        </w:rPr>
        <w:t xml:space="preserve">. </w:t>
      </w:r>
    </w:p>
    <w:p w:rsidR="00351F2C" w:rsidRPr="001358CE" w:rsidRDefault="00351F2C" w:rsidP="00522F5C">
      <w:pPr>
        <w:spacing w:after="0" w:line="300" w:lineRule="exact"/>
        <w:jc w:val="both"/>
        <w:rPr>
          <w:rFonts w:ascii="Book Antiqua" w:hAnsi="Book Antiqua" w:cs="Arial"/>
        </w:rPr>
      </w:pPr>
    </w:p>
    <w:p w:rsidR="00351F2C" w:rsidRPr="001358CE" w:rsidRDefault="00351F2C" w:rsidP="00522F5C">
      <w:pPr>
        <w:spacing w:after="0" w:line="300" w:lineRule="exact"/>
        <w:jc w:val="both"/>
        <w:rPr>
          <w:rFonts w:ascii="Book Antiqua" w:hAnsi="Book Antiqua" w:cs="Arial"/>
        </w:rPr>
      </w:pPr>
      <w:r w:rsidRPr="001358CE">
        <w:rPr>
          <w:rFonts w:ascii="Book Antiqua" w:hAnsi="Book Antiqua" w:cs="Arial"/>
        </w:rPr>
        <w:t xml:space="preserve">This section brings together the findings and conclusions of chapter 5 and lays out possible criteria and principles for assessing the costs and activities for which </w:t>
      </w:r>
      <w:r w:rsidR="00480D3D">
        <w:rPr>
          <w:rFonts w:ascii="Book Antiqua" w:hAnsi="Book Antiqua" w:cs="Arial"/>
        </w:rPr>
        <w:t>REDD+</w:t>
      </w:r>
      <w:r w:rsidRPr="001358CE">
        <w:rPr>
          <w:rFonts w:ascii="Book Antiqua" w:hAnsi="Book Antiqua" w:cs="Arial"/>
        </w:rPr>
        <w:t xml:space="preserve"> funds may be retained and distributed in Viet Nam, specifying informational and policy requirements and identifying a workplan for implementation. These relate to:</w:t>
      </w:r>
    </w:p>
    <w:p w:rsidR="00351F2C" w:rsidRPr="001358CE" w:rsidRDefault="00351F2C" w:rsidP="003E3CBA">
      <w:pPr>
        <w:pStyle w:val="Bullets"/>
        <w:numPr>
          <w:ilvl w:val="0"/>
          <w:numId w:val="50"/>
        </w:numPr>
        <w:spacing w:before="0" w:line="300" w:lineRule="exact"/>
        <w:rPr>
          <w:rFonts w:ascii="Book Antiqua" w:hAnsi="Book Antiqua" w:cs="Arial"/>
          <w:sz w:val="22"/>
        </w:rPr>
      </w:pPr>
      <w:r w:rsidRPr="001358CE">
        <w:rPr>
          <w:rFonts w:ascii="Book Antiqua" w:hAnsi="Book Antiqua" w:cs="Arial"/>
          <w:sz w:val="22"/>
        </w:rPr>
        <w:t>Stating the levels or proportion of revenues that will be retained to cover core programme costs;</w:t>
      </w:r>
    </w:p>
    <w:p w:rsidR="00351F2C" w:rsidRPr="001358CE" w:rsidRDefault="00351F2C" w:rsidP="003E3CBA">
      <w:pPr>
        <w:pStyle w:val="Bullets"/>
        <w:numPr>
          <w:ilvl w:val="0"/>
          <w:numId w:val="50"/>
        </w:numPr>
        <w:spacing w:before="0" w:line="300" w:lineRule="exact"/>
        <w:rPr>
          <w:rFonts w:ascii="Book Antiqua" w:hAnsi="Book Antiqua" w:cs="Arial"/>
          <w:sz w:val="22"/>
        </w:rPr>
      </w:pPr>
      <w:r w:rsidRPr="001358CE">
        <w:rPr>
          <w:rFonts w:ascii="Book Antiqua" w:hAnsi="Book Antiqua" w:cs="Arial"/>
          <w:sz w:val="22"/>
        </w:rPr>
        <w:t>Deciding on the methods by which payment levels for local forest land and resource users will be calculated;</w:t>
      </w:r>
    </w:p>
    <w:p w:rsidR="00351F2C" w:rsidRPr="001358CE" w:rsidRDefault="00351F2C" w:rsidP="003E3CBA">
      <w:pPr>
        <w:pStyle w:val="Bullets"/>
        <w:numPr>
          <w:ilvl w:val="0"/>
          <w:numId w:val="50"/>
        </w:numPr>
        <w:spacing w:before="0" w:line="300" w:lineRule="exact"/>
        <w:rPr>
          <w:rFonts w:ascii="Book Antiqua" w:hAnsi="Book Antiqua" w:cs="Arial"/>
          <w:sz w:val="22"/>
        </w:rPr>
      </w:pPr>
      <w:r w:rsidRPr="001358CE">
        <w:rPr>
          <w:rFonts w:ascii="Book Antiqua" w:hAnsi="Book Antiqua" w:cs="Arial"/>
          <w:sz w:val="22"/>
        </w:rPr>
        <w:t xml:space="preserve">Specifying what will be considered to be admissible costs and activities for funding under the </w:t>
      </w:r>
      <w:r w:rsidR="00480D3D">
        <w:rPr>
          <w:rFonts w:ascii="Book Antiqua" w:hAnsi="Book Antiqua" w:cs="Arial"/>
          <w:sz w:val="22"/>
        </w:rPr>
        <w:t>REDD+</w:t>
      </w:r>
      <w:r w:rsidRPr="001358CE">
        <w:rPr>
          <w:rFonts w:ascii="Book Antiqua" w:hAnsi="Book Antiqua" w:cs="Arial"/>
          <w:sz w:val="22"/>
        </w:rPr>
        <w:t xml:space="preserve"> programme; and</w:t>
      </w:r>
    </w:p>
    <w:p w:rsidR="00351F2C" w:rsidRPr="001358CE" w:rsidRDefault="00351F2C" w:rsidP="003E3CBA">
      <w:pPr>
        <w:pStyle w:val="Bullets"/>
        <w:numPr>
          <w:ilvl w:val="0"/>
          <w:numId w:val="50"/>
        </w:numPr>
        <w:spacing w:before="0" w:line="300" w:lineRule="exact"/>
        <w:rPr>
          <w:rFonts w:ascii="Book Antiqua" w:hAnsi="Book Antiqua" w:cs="Arial"/>
          <w:sz w:val="22"/>
        </w:rPr>
      </w:pPr>
      <w:r w:rsidRPr="001358CE">
        <w:rPr>
          <w:rFonts w:ascii="Book Antiqua" w:hAnsi="Book Antiqua" w:cs="Arial"/>
          <w:sz w:val="22"/>
        </w:rPr>
        <w:lastRenderedPageBreak/>
        <w:t xml:space="preserve">Sourcing the funding required to pre-finance benefit distribution until global </w:t>
      </w:r>
      <w:r w:rsidR="00480D3D">
        <w:rPr>
          <w:rFonts w:ascii="Book Antiqua" w:hAnsi="Book Antiqua" w:cs="Arial"/>
          <w:sz w:val="22"/>
        </w:rPr>
        <w:t>REDD+</w:t>
      </w:r>
      <w:r w:rsidRPr="001358CE">
        <w:rPr>
          <w:rFonts w:ascii="Book Antiqua" w:hAnsi="Book Antiqua" w:cs="Arial"/>
          <w:sz w:val="22"/>
        </w:rPr>
        <w:t xml:space="preserve"> payments are received.</w:t>
      </w:r>
    </w:p>
    <w:p w:rsidR="00A37267" w:rsidRDefault="00A37267" w:rsidP="00A37267">
      <w:pPr>
        <w:pStyle w:val="Caption"/>
        <w:spacing w:after="0"/>
        <w:jc w:val="center"/>
        <w:rPr>
          <w:rFonts w:ascii="Book Antiqua" w:hAnsi="Book Antiqua" w:cs="Arial"/>
          <w:sz w:val="22"/>
          <w:szCs w:val="22"/>
        </w:rPr>
      </w:pPr>
      <w:bookmarkStart w:id="395" w:name="_Toc243740854"/>
    </w:p>
    <w:p w:rsidR="00A37267" w:rsidRDefault="00A37267" w:rsidP="00A37267">
      <w:pPr>
        <w:pStyle w:val="Caption"/>
        <w:spacing w:after="0"/>
        <w:jc w:val="center"/>
        <w:rPr>
          <w:rFonts w:ascii="Book Antiqua" w:hAnsi="Book Antiqua" w:cs="Arial"/>
          <w:sz w:val="22"/>
          <w:szCs w:val="22"/>
        </w:rPr>
      </w:pPr>
    </w:p>
    <w:p w:rsidR="00351F2C" w:rsidRPr="001358CE" w:rsidRDefault="00351F2C" w:rsidP="00A37267">
      <w:pPr>
        <w:pStyle w:val="Caption"/>
        <w:spacing w:after="0"/>
        <w:jc w:val="center"/>
        <w:rPr>
          <w:rFonts w:ascii="Book Antiqua" w:hAnsi="Book Antiqua" w:cs="Arial"/>
          <w:sz w:val="22"/>
          <w:szCs w:val="22"/>
        </w:rPr>
      </w:pPr>
      <w:r w:rsidRPr="001358CE">
        <w:rPr>
          <w:rFonts w:ascii="Book Antiqua" w:hAnsi="Book Antiqua" w:cs="Arial"/>
          <w:sz w:val="22"/>
          <w:szCs w:val="22"/>
        </w:rPr>
        <w:t xml:space="preserve">Figure 5.3: Summary of criteria for </w:t>
      </w:r>
      <w:r w:rsidR="00480D3D">
        <w:rPr>
          <w:rFonts w:ascii="Book Antiqua" w:hAnsi="Book Antiqua" w:cs="Arial"/>
          <w:sz w:val="22"/>
          <w:szCs w:val="22"/>
        </w:rPr>
        <w:t>REDD+</w:t>
      </w:r>
      <w:r w:rsidRPr="001358CE">
        <w:rPr>
          <w:rFonts w:ascii="Book Antiqua" w:hAnsi="Book Antiqua" w:cs="Arial"/>
          <w:sz w:val="22"/>
          <w:szCs w:val="22"/>
        </w:rPr>
        <w:t xml:space="preserve"> costs and retention</w:t>
      </w:r>
      <w:bookmarkEnd w:id="395"/>
    </w:p>
    <w:p w:rsidR="00351F2C" w:rsidRPr="00445F77" w:rsidRDefault="00C47C3B" w:rsidP="00246293">
      <w:pPr>
        <w:jc w:val="center"/>
        <w:rPr>
          <w:rFonts w:ascii="Arial" w:hAnsi="Arial" w:cs="Arial"/>
          <w:sz w:val="24"/>
          <w:szCs w:val="24"/>
        </w:rPr>
      </w:pPr>
      <w:r w:rsidRPr="00C47C3B">
        <w:rPr>
          <w:rFonts w:ascii="Arial" w:hAnsi="Arial" w:cs="Arial"/>
          <w:sz w:val="24"/>
          <w:szCs w:val="24"/>
        </w:rPr>
      </w:r>
      <w:r>
        <w:rPr>
          <w:rFonts w:ascii="Arial" w:hAnsi="Arial" w:cs="Arial"/>
          <w:sz w:val="24"/>
          <w:szCs w:val="24"/>
        </w:rPr>
        <w:pict>
          <v:group id="_x0000_s1147" editas="canvas" style="width:451.15pt;height:217.95pt;mso-position-horizontal-relative:char;mso-position-vertical-relative:line" coordorigin="-1,-1" coordsize="9023,4197">
            <o:lock v:ext="edit" aspectratio="t"/>
            <v:shape id="_x0000_s1148" type="#_x0000_t75" style="position:absolute;left:-1;top:-1;width:9023;height:4197" o:preferrelative="f">
              <v:fill o:detectmouseclick="t"/>
              <v:path o:extrusionok="t" o:connecttype="none"/>
              <o:lock v:ext="edit" text="t"/>
            </v:shape>
            <v:group id="_x0000_s1149" style="position:absolute;left:201;top:-1;width:8688;height:4036" coordorigin="-1,-1" coordsize="8508,4036">
              <v:rect id="_x0000_s1150" style="position:absolute;left:-1;top:-1;width:8507;height:4036" stroked="f"/>
              <v:rect id="_x0000_s1151" style="position:absolute;left:2870;top:-1;width:3171;height:4036" fillcolor="#d9d9d9" stroked="f"/>
              <v:rect id="_x0000_s1152" style="position:absolute;left:-1;top:-1;width:1029;height:4036" fillcolor="#d9d9d9" stroked="f"/>
              <v:rect id="_x0000_s1153" style="position:absolute;left:164;top:41;width:702;height:490;mso-wrap-style:none" filled="f" stroked="f">
                <v:textbox style="mso-next-textbox:#_x0000_s1153;mso-fit-shape-to-text:t" inset="0,0,0,0">
                  <w:txbxContent>
                    <w:p w:rsidR="00B4351F" w:rsidRDefault="00B4351F">
                      <w:r>
                        <w:rPr>
                          <w:color w:val="000000"/>
                        </w:rPr>
                        <w:t xml:space="preserve">GLOBAL </w:t>
                      </w:r>
                    </w:p>
                  </w:txbxContent>
                </v:textbox>
              </v:rect>
              <v:rect id="_x0000_s1154" style="position:absolute;left:171;top:296;width:682;height:490;mso-wrap-style:none" filled="f" stroked="f">
                <v:textbox style="mso-next-textbox:#_x0000_s1154;mso-fit-shape-to-text:t" inset="0,0,0,0">
                  <w:txbxContent>
                    <w:p w:rsidR="00B4351F" w:rsidRDefault="00B4351F">
                      <w:r>
                        <w:rPr>
                          <w:color w:val="000000"/>
                        </w:rPr>
                        <w:t>BUYERS</w:t>
                      </w:r>
                    </w:p>
                  </w:txbxContent>
                </v:textbox>
              </v:rect>
              <v:rect id="_x0000_s1155" style="position:absolute;left:1492;top:41;width:921;height:490;mso-wrap-style:none" filled="f" stroked="f">
                <v:textbox style="mso-next-textbox:#_x0000_s1155;mso-fit-shape-to-text:t" inset="0,0,0,0">
                  <w:txbxContent>
                    <w:p w:rsidR="00B4351F" w:rsidRDefault="00B4351F">
                      <w:r>
                        <w:rPr>
                          <w:color w:val="000000"/>
                        </w:rPr>
                        <w:t xml:space="preserve">NATIONAL </w:t>
                      </w:r>
                    </w:p>
                  </w:txbxContent>
                </v:textbox>
              </v:rect>
              <v:rect id="_x0000_s1156" style="position:absolute;left:1374;top:296;width:1140;height:490;mso-wrap-style:none" filled="f" stroked="f">
                <v:textbox style="mso-next-textbox:#_x0000_s1156;mso-fit-shape-to-text:t" inset="0,0,0,0">
                  <w:txbxContent>
                    <w:p w:rsidR="00B4351F" w:rsidRDefault="00B4351F">
                      <w:r>
                        <w:rPr>
                          <w:color w:val="000000"/>
                        </w:rPr>
                        <w:t>MECHANISM</w:t>
                      </w:r>
                    </w:p>
                  </w:txbxContent>
                </v:textbox>
              </v:rect>
              <v:rect id="_x0000_s1157" style="position:absolute;left:1448;top:555;width:937;height:354;mso-wrap-style:none" filled="f" stroked="f">
                <v:textbox style="mso-next-textbox:#_x0000_s1157;mso-fit-shape-to-text:t" inset="0,0,0,0">
                  <w:txbxContent>
                    <w:p w:rsidR="00B4351F" w:rsidRDefault="00B4351F">
                      <w:r>
                        <w:rPr>
                          <w:color w:val="000000"/>
                          <w:sz w:val="12"/>
                          <w:szCs w:val="12"/>
                        </w:rPr>
                        <w:t xml:space="preserve">Forest Protection &amp; </w:t>
                      </w:r>
                    </w:p>
                  </w:txbxContent>
                </v:textbox>
              </v:rect>
              <v:rect id="_x0000_s1158" style="position:absolute;left:1119;top:704;width:1117;height:354;mso-wrap-style:none" filled="f" stroked="f">
                <v:textbox style="mso-next-textbox:#_x0000_s1158;mso-fit-shape-to-text:t" inset="0,0,0,0">
                  <w:txbxContent>
                    <w:p w:rsidR="00B4351F" w:rsidRDefault="00B4351F">
                      <w:r>
                        <w:rPr>
                          <w:color w:val="000000"/>
                          <w:sz w:val="12"/>
                          <w:szCs w:val="12"/>
                        </w:rPr>
                        <w:t>Development Fund Sub</w:t>
                      </w:r>
                    </w:p>
                  </w:txbxContent>
                </v:textbox>
              </v:rect>
              <v:rect id="_x0000_s1159" style="position:absolute;left:2321;top:704;width:37;height:354;mso-wrap-style:none" filled="f" stroked="f">
                <v:textbox style="mso-next-textbox:#_x0000_s1159;mso-fit-shape-to-text:t" inset="0,0,0,0">
                  <w:txbxContent>
                    <w:p w:rsidR="00B4351F" w:rsidRDefault="00B4351F">
                      <w:r>
                        <w:rPr>
                          <w:color w:val="000000"/>
                          <w:sz w:val="12"/>
                          <w:szCs w:val="12"/>
                        </w:rPr>
                        <w:t>-</w:t>
                      </w:r>
                    </w:p>
                  </w:txbxContent>
                </v:textbox>
              </v:rect>
              <v:rect id="_x0000_s1160" style="position:absolute;left:2361;top:704;width:393;height:354;mso-wrap-style:none" filled="f" stroked="f">
                <v:textbox style="mso-next-textbox:#_x0000_s1160;mso-fit-shape-to-text:t" inset="0,0,0,0">
                  <w:txbxContent>
                    <w:p w:rsidR="00B4351F" w:rsidRDefault="00B4351F">
                      <w:r>
                        <w:rPr>
                          <w:color w:val="000000"/>
                          <w:sz w:val="12"/>
                          <w:szCs w:val="12"/>
                        </w:rPr>
                        <w:t>Account</w:t>
                      </w:r>
                    </w:p>
                  </w:txbxContent>
                </v:textbox>
              </v:rect>
              <v:rect id="_x0000_s1161" style="position:absolute;left:3787;top:41;width:354;height:490;mso-wrap-style:none" filled="f" stroked="f">
                <v:textbox style="mso-next-textbox:#_x0000_s1161;mso-fit-shape-to-text:t" inset="0,0,0,0">
                  <w:txbxContent>
                    <w:p w:rsidR="00B4351F" w:rsidRDefault="00B4351F">
                      <w:r>
                        <w:rPr>
                          <w:color w:val="000000"/>
                        </w:rPr>
                        <w:t>SUB</w:t>
                      </w:r>
                    </w:p>
                  </w:txbxContent>
                </v:textbox>
              </v:rect>
              <v:rect id="_x0000_s1162" style="position:absolute;left:4145;top:41;width:68;height:491;mso-wrap-style:none" filled="f" stroked="f">
                <v:textbox style="mso-next-textbox:#_x0000_s1162;mso-fit-shape-to-text:t" inset="0,0,0,0">
                  <w:txbxContent>
                    <w:p w:rsidR="00B4351F" w:rsidRDefault="00B4351F">
                      <w:r>
                        <w:rPr>
                          <w:color w:val="000000"/>
                        </w:rPr>
                        <w:t>-</w:t>
                      </w:r>
                    </w:p>
                  </w:txbxContent>
                </v:textbox>
              </v:rect>
              <v:rect id="_x0000_s1163" style="position:absolute;left:4213;top:41;width:920;height:490;mso-wrap-style:none" filled="f" stroked="f">
                <v:textbox style="mso-next-textbox:#_x0000_s1163;mso-fit-shape-to-text:t" inset="0,0,0,0">
                  <w:txbxContent>
                    <w:p w:rsidR="00B4351F" w:rsidRDefault="00B4351F">
                      <w:r>
                        <w:rPr>
                          <w:color w:val="000000"/>
                        </w:rPr>
                        <w:t xml:space="preserve">NATIONAL </w:t>
                      </w:r>
                    </w:p>
                  </w:txbxContent>
                </v:textbox>
              </v:rect>
              <v:rect id="_x0000_s1164" style="position:absolute;left:3246;top:296;width:2417;height:490;mso-wrap-style:none" filled="f" stroked="f">
                <v:textbox style="mso-next-textbox:#_x0000_s1164;mso-fit-shape-to-text:t" inset="0,0,0,0">
                  <w:txbxContent>
                    <w:p w:rsidR="00B4351F" w:rsidRDefault="00B4351F">
                      <w:r>
                        <w:rPr>
                          <w:color w:val="000000"/>
                        </w:rPr>
                        <w:t>ALLOCATION MECHANISMS</w:t>
                      </w:r>
                    </w:p>
                  </w:txbxContent>
                </v:textbox>
              </v:rect>
              <v:rect id="_x0000_s1165" style="position:absolute;left:3039;top:555;width:1565;height:354;mso-wrap-style:none" filled="f" stroked="f">
                <v:textbox style="mso-next-textbox:#_x0000_s1165;mso-fit-shape-to-text:t" inset="0,0,0,0">
                  <w:txbxContent>
                    <w:p w:rsidR="00B4351F" w:rsidRDefault="00B4351F">
                      <w:r>
                        <w:rPr>
                          <w:color w:val="000000"/>
                          <w:sz w:val="12"/>
                          <w:szCs w:val="12"/>
                        </w:rPr>
                        <w:t xml:space="preserve">may be Provincial and/or District </w:t>
                      </w:r>
                    </w:p>
                  </w:txbxContent>
                </v:textbox>
              </v:rect>
              <v:rect id="_x0000_s1166" style="position:absolute;left:4754;top:555;width:60;height:354;mso-wrap-style:none" filled="f" stroked="f">
                <v:textbox style="mso-next-textbox:#_x0000_s1166;mso-fit-shape-to-text:t" inset="0,0,0,0">
                  <w:txbxContent>
                    <w:p w:rsidR="00B4351F" w:rsidRDefault="00B4351F">
                      <w:r>
                        <w:rPr>
                          <w:color w:val="000000"/>
                          <w:sz w:val="12"/>
                          <w:szCs w:val="12"/>
                        </w:rPr>
                        <w:t>–</w:t>
                      </w:r>
                    </w:p>
                  </w:txbxContent>
                </v:textbox>
              </v:rect>
              <v:rect id="_x0000_s1167" style="position:absolute;left:4846;top:555;width:954;height:354;mso-wrap-style:none" filled="f" stroked="f">
                <v:textbox style="mso-next-textbox:#_x0000_s1167;mso-fit-shape-to-text:t" inset="0,0,0,0">
                  <w:txbxContent>
                    <w:p w:rsidR="00B4351F" w:rsidRDefault="00B4351F">
                      <w:r>
                        <w:rPr>
                          <w:color w:val="000000"/>
                          <w:sz w:val="12"/>
                          <w:szCs w:val="12"/>
                        </w:rPr>
                        <w:t>this is to be decided</w:t>
                      </w:r>
                    </w:p>
                  </w:txbxContent>
                </v:textbox>
              </v:rect>
              <v:rect id="_x0000_s1168" style="position:absolute;left:6710;top:41;width:1120;height:490;mso-wrap-style:none" filled="f" stroked="f">
                <v:textbox style="mso-next-textbox:#_x0000_s1168;mso-fit-shape-to-text:t" inset="0,0,0,0">
                  <w:txbxContent>
                    <w:p w:rsidR="00B4351F" w:rsidRDefault="00B4351F">
                      <w:r>
                        <w:rPr>
                          <w:color w:val="000000"/>
                        </w:rPr>
                        <w:t xml:space="preserve">BENEFITS TO </w:t>
                      </w:r>
                    </w:p>
                  </w:txbxContent>
                </v:textbox>
              </v:rect>
              <v:rect id="_x0000_s1169" style="position:absolute;left:6383;top:296;width:1769;height:490;mso-wrap-style:none" filled="f" stroked="f">
                <v:textbox style="mso-next-textbox:#_x0000_s1169;mso-fit-shape-to-text:t" inset="0,0,0,0">
                  <w:txbxContent>
                    <w:p w:rsidR="00B4351F" w:rsidRDefault="00B4351F">
                      <w:r>
                        <w:rPr>
                          <w:color w:val="000000"/>
                        </w:rPr>
                        <w:t>SERVICE PROVIDERS</w:t>
                      </w:r>
                    </w:p>
                  </w:txbxContent>
                </v:textbox>
              </v:rect>
              <v:rect id="_x0000_s1170" style="position:absolute;left:6374;top:555;width:1675;height:354;mso-wrap-style:none" filled="f" stroked="f">
                <v:textbox style="mso-next-textbox:#_x0000_s1170;mso-fit-shape-to-text:t" inset="0,0,0,0">
                  <w:txbxContent>
                    <w:p w:rsidR="00B4351F" w:rsidRDefault="00B4351F">
                      <w:r>
                        <w:rPr>
                          <w:color w:val="000000"/>
                          <w:sz w:val="12"/>
                          <w:szCs w:val="12"/>
                        </w:rPr>
                        <w:t xml:space="preserve">PA Management Boards, Economic </w:t>
                      </w:r>
                    </w:p>
                  </w:txbxContent>
                </v:textbox>
              </v:rect>
              <v:rect id="_x0000_s1171" style="position:absolute;left:6193;top:704;width:2001;height:354;mso-wrap-style:none" filled="f" stroked="f">
                <v:textbox style="mso-next-textbox:#_x0000_s1171;mso-fit-shape-to-text:t" inset="0,0,0,0">
                  <w:txbxContent>
                    <w:p w:rsidR="00B4351F" w:rsidRDefault="00B4351F">
                      <w:r>
                        <w:rPr>
                          <w:color w:val="000000"/>
                          <w:sz w:val="12"/>
                          <w:szCs w:val="12"/>
                        </w:rPr>
                        <w:t xml:space="preserve">organizations, Households and individuals </w:t>
                      </w:r>
                    </w:p>
                  </w:txbxContent>
                </v:textbox>
              </v:rect>
              <v:rect id="_x0000_s1172" style="position:absolute;left:6256;top:854;width:1890;height:354;mso-wrap-style:none" filled="f" stroked="f">
                <v:textbox style="mso-next-textbox:#_x0000_s1172;mso-fit-shape-to-text:t" inset="0,0,0,0">
                  <w:txbxContent>
                    <w:p w:rsidR="00B4351F" w:rsidRDefault="00B4351F">
                      <w:r>
                        <w:rPr>
                          <w:color w:val="000000"/>
                          <w:sz w:val="12"/>
                          <w:szCs w:val="12"/>
                        </w:rPr>
                        <w:t>within the country, village communities</w:t>
                      </w:r>
                    </w:p>
                  </w:txbxContent>
                </v:textbox>
              </v:rect>
              <v:rect id="_x0000_s1173" style="position:absolute;left:179;top:1369;width:703;height:488" fillcolor="#404040" stroked="f"/>
              <v:shape id="_x0000_s1174" style="position:absolute;left:96;top:1287;width:869;height:82" coordsize="869,82" path="m,l869,,786,82,83,82,,xe" fillcolor="#656565" stroked="f">
                <v:path arrowok="t"/>
              </v:shape>
              <v:shape id="_x0000_s1175" style="position:absolute;left:96;top:1857;width:869;height:81" coordsize="869,81" path="m,81l83,,786,r83,81l,81xe" fillcolor="#333" stroked="f">
                <v:path arrowok="t"/>
              </v:shape>
              <v:shape id="_x0000_s1176" style="position:absolute;left:96;top:1287;width:83;height:651" coordsize="83,651" path="m,l83,82r,488l,651,,xe" fillcolor="#8c8c8c" stroked="f">
                <v:path arrowok="t"/>
              </v:shape>
              <v:shape id="_x0000_s1177" style="position:absolute;left:882;top:1287;width:83;height:651" coordsize="83,651" path="m83,r,651l,570,,82,83,xe" fillcolor="#262626" stroked="f">
                <v:path arrowok="t"/>
              </v:shape>
              <v:shape id="_x0000_s1178" style="position:absolute;left:89;top:1281;width:883;height:663" coordsize="6475,4976" path="m,50hdc,22,22,,50,hal6425,hdc6453,,6475,22,6475,50hal6475,4926hdc6475,4954,6453,4976,6425,4976hal50,4976hdc22,4976,,4954,,4926hal,50hdxm100,4926hal50,4876r6375,l6375,4926r,-4876l6425,100,50,100,100,50r,4876hdxm609,660v,-28,23,-51,50,-51hal5816,609hdc5843,609,5866,632,5866,660hal5866,4317hdc5866,4344,5843,4367,5816,4367hal659,4367hdc632,4367,609,4344,609,4317hal609,660hdxm709,4317hal659,4267r5157,l5766,4317r,-3657l5816,710r-5157,l709,660r,3657hdxm85,15hal695,624r-71,71l15,85,85,15hdxm15,4891hal624,4281r71,71l85,4962,15,4891hdxm6460,85hal5851,695r-71,-71l6390,15r70,70hdxm6390,4962hal5780,4352r71,-71l6460,4891r-70,71hdxe" fillcolor="black" strokeweight="0">
                <v:path arrowok="t"/>
                <o:lock v:ext="edit" verticies="t"/>
              </v:shape>
              <v:rect id="_x0000_s1179" style="position:absolute;left:318;top:1419;width:412;height:409;mso-wrap-style:none" filled="f" stroked="f">
                <v:textbox style="mso-next-textbox:#_x0000_s1179;mso-fit-shape-to-text:t" inset="0,0,0,0">
                  <w:txbxContent>
                    <w:p w:rsidR="00B4351F" w:rsidRDefault="00B4351F">
                      <w:r>
                        <w:rPr>
                          <w:color w:val="FFFFFF"/>
                          <w:sz w:val="16"/>
                          <w:szCs w:val="16"/>
                        </w:rPr>
                        <w:t xml:space="preserve">Global </w:t>
                      </w:r>
                    </w:p>
                  </w:txbxContent>
                </v:textbox>
              </v:rect>
              <v:rect id="_x0000_s1180" style="position:absolute;left:276;top:1611;width:493;height:409;mso-wrap-style:none" filled="f" stroked="f">
                <v:textbox style="mso-next-textbox:#_x0000_s1180;mso-fit-shape-to-text:t" inset="0,0,0,0">
                  <w:txbxContent>
                    <w:p w:rsidR="00B4351F" w:rsidRDefault="00B4351F">
                      <w:r>
                        <w:rPr>
                          <w:color w:val="FFFFFF"/>
                          <w:sz w:val="16"/>
                          <w:szCs w:val="16"/>
                        </w:rPr>
                        <w:t>Finance</w:t>
                      </w:r>
                    </w:p>
                  </w:txbxContent>
                </v:textbox>
              </v:rect>
              <v:rect id="_x0000_s1181" style="position:absolute;left:1402;top:1369;width:1215;height:488" fillcolor="#030" stroked="f"/>
              <v:shape id="_x0000_s1182" style="position:absolute;left:1318;top:1287;width:1382;height:82" coordsize="1382,82" path="m,l1382,r-83,82l84,82,,xe" fillcolor="#325b32" stroked="f">
                <v:path arrowok="t"/>
              </v:shape>
              <v:shape id="_x0000_s1183" style="position:absolute;left:1318;top:1857;width:1382;height:81" coordsize="1382,81" path="m,81l84,,1299,r83,81l,81xe" fillcolor="#002900" stroked="f">
                <v:path arrowok="t"/>
              </v:shape>
              <v:shape id="_x0000_s1184" style="position:absolute;left:1318;top:1287;width:84;height:651" coordsize="84,651" path="m,l84,82r,488l,651,,xe" fillcolor="#668566" stroked="f">
                <v:path arrowok="t"/>
              </v:shape>
              <v:shape id="_x0000_s1185" style="position:absolute;left:2617;top:1287;width:83;height:651" coordsize="83,651" path="m83,r,651l,570,,82,83,xe" fillcolor="#001f00" stroked="f">
                <v:path arrowok="t"/>
              </v:shape>
              <v:shape id="_x0000_s1186" style="position:absolute;left:1312;top:1281;width:1394;height:663" coordsize="10225,4976" path="m,50hdc,22,22,,50,hal10175,hdc10203,,10225,22,10225,50hal10225,4926hdc10225,4954,10203,4976,10175,4976hal50,4976hdc22,4976,,4954,,4926hal,50hdxm100,4926hal50,4876r10125,l10125,4926r,-4876l10175,100,50,100,100,50r,4876hdxm609,660v,-28,23,-51,50,-51hal9566,609hdc9593,609,9616,632,9616,660hal9616,4317hdc9616,4344,9593,4367,9566,4367hal659,4367hdc632,4367,609,4344,609,4317hal609,660hdxm709,4317hal659,4267r8907,l9516,4317r,-3657l9566,710r-8907,l709,660r,3657hdxm85,15hal695,624r-71,71l15,85,85,15hdxm15,4891hal624,4281r71,71l85,4962,15,4891hdxm10210,85hal9601,695r-71,-71l10140,15r70,70hdxm10140,4962hal9530,4352r71,-71l10210,4891r-70,71hdxe" fillcolor="#4f6228" strokecolor="#4f6228" strokeweight="0">
                <v:path arrowok="t"/>
                <o:lock v:ext="edit" verticies="t"/>
              </v:shape>
              <v:rect id="_x0000_s1187" style="position:absolute;left:1545;top:1419;width:895;height:409;mso-wrap-style:none" filled="f" stroked="f">
                <v:textbox style="mso-next-textbox:#_x0000_s1187;mso-fit-shape-to-text:t" inset="0,0,0,0">
                  <w:txbxContent>
                    <w:p w:rsidR="00B4351F" w:rsidRDefault="00B4351F">
                      <w:r>
                        <w:rPr>
                          <w:color w:val="FFFFFF"/>
                          <w:sz w:val="16"/>
                          <w:szCs w:val="16"/>
                        </w:rPr>
                        <w:t>National Fund</w:t>
                      </w:r>
                    </w:p>
                  </w:txbxContent>
                </v:textbox>
              </v:rect>
              <v:rect id="_x0000_s1188" style="position:absolute;left:1791;top:1611;width:129;height:490;mso-wrap-style:none" filled="f" stroked="f">
                <v:textbox style="mso-next-textbox:#_x0000_s1188;mso-fit-shape-to-text:t" inset="0,0,0,0">
                  <w:txbxContent>
                    <w:p w:rsidR="00B4351F" w:rsidRDefault="00B4351F"/>
                  </w:txbxContent>
                </v:textbox>
              </v:rect>
              <v:rect id="_x0000_s1189" style="position:absolute;left:3293;top:1425;width:896;height:375" fillcolor="#090" stroked="f"/>
              <v:shape id="_x0000_s1190" style="position:absolute;left:3230;top:1362;width:1023;height:63" coordsize="1023,63" path="m,l1023,,959,63,63,63,,xe" fillcolor="#32ad32" stroked="f">
                <v:path arrowok="t"/>
              </v:shape>
              <v:shape id="_x0000_s1191" style="position:absolute;left:3230;top:1800;width:1023;height:63" coordsize="1023,63" path="m,63l63,,959,r64,63l,63xe" fillcolor="#007b00" stroked="f">
                <v:path arrowok="t"/>
              </v:shape>
              <v:shape id="_x0000_s1192" style="position:absolute;left:3230;top:1362;width:63;height:501" coordsize="63,501" path="m,l63,63r,375l,501,,xe" fillcolor="#66c266" stroked="f">
                <v:path arrowok="t"/>
              </v:shape>
              <v:shape id="_x0000_s1193" style="position:absolute;left:4189;top:1362;width:64;height:501" coordsize="64,501" path="m64,r,501l,438,,63,64,xe" fillcolor="#005c00" stroked="f">
                <v:path arrowok="t"/>
              </v:shape>
              <v:shape id="_x0000_s1194" style="position:absolute;left:3223;top:1356;width:1036;height:513" coordsize="7600,3851" path="m,50hdc,22,22,,50,hal7550,hdc7577,,7600,22,7600,50hal7600,3801hdc7600,3828,7577,3851,7550,3851hal50,3851hdc22,3851,,3828,,3801hal,50hdxm100,3801hal50,3751r7500,l7500,3801r,-3751l7550,100,50,100,100,50r,3751hdxm468,519v,-28,23,-51,51,-51hal7081,468hdc7109,468,7131,491,7131,519hal7131,3332hdc7131,3359,7109,3382,7081,3382hal519,3382hdc491,3382,468,3359,468,3332hal468,519hdxm569,3332hal519,3282r6562,l7031,3332r,-2813l7081,569r-6562,l569,519r,2813hdxm85,14hal554,483r-71,71l14,85,85,14hdxm14,3765hal483,3296r71,71l85,3836,14,3765hdxm7585,85hal7116,554r-70,-71l7514,14r71,71hdxm7514,3836hal7046,3367r70,-71l7585,3765r-71,71hdxe" fillcolor="#060" strokecolor="#060" strokeweight="0">
                <v:path arrowok="t"/>
                <o:lock v:ext="edit" verticies="t"/>
              </v:shape>
              <v:rect id="_x0000_s1195" style="position:absolute;left:3419;top:1419;width:621;height:409;mso-wrap-style:none" filled="f" stroked="f">
                <v:textbox style="mso-next-textbox:#_x0000_s1195;mso-fit-shape-to-text:t" inset="0,0,0,0">
                  <w:txbxContent>
                    <w:p w:rsidR="00B4351F" w:rsidRDefault="00B4351F">
                      <w:r>
                        <w:rPr>
                          <w:color w:val="FFFFFF"/>
                          <w:sz w:val="16"/>
                          <w:szCs w:val="16"/>
                        </w:rPr>
                        <w:t>Provincial</w:t>
                      </w:r>
                    </w:p>
                  </w:txbxContent>
                </v:textbox>
              </v:rect>
              <v:rect id="_x0000_s1196" style="position:absolute;left:3524;top:1611;width:129;height:490;mso-wrap-style:none" filled="f" stroked="f">
                <v:textbox style="mso-next-textbox:#_x0000_s1196;mso-fit-shape-to-text:t" inset="0,0,0,0">
                  <w:txbxContent>
                    <w:p w:rsidR="00B4351F" w:rsidRDefault="00B4351F"/>
                  </w:txbxContent>
                </v:textbox>
              </v:rect>
              <v:shape id="_x0000_s1197" style="position:absolute;left:2700;top:1532;width:530;height:164" coordsize="3885,1229" path="m,506r1942,hdc1998,506,2042,551,2042,606hal2042,614,1942,514r1737,l3679,715r-1737,hdc1887,715,1842,670,1842,614hal1842,606r100,100l,706,,506xm2827,27l3885,614,2827,1202hdc2779,1229,2718,1211,2691,1163v-26,-48,-9,-109,39,-136hal3630,527r,175l2730,202hdc2682,175,2665,114,2691,66,2718,17,2779,,2827,27haxe" fillcolor="#404040" strokecolor="#404040" strokeweight="0">
                <v:path arrowok="t"/>
                <o:lock v:ext="edit" verticies="t"/>
              </v:shape>
              <v:shape id="_x0000_s1198" style="position:absolute;left:4253;top:1532;width:420;height:164" coordsize="1543,614" path="m,253r772,hdc799,253,822,275,822,303hal822,307,772,257r668,l1440,357r-668,hdc744,357,722,335,722,307hal722,303r50,50l,353,,253xm1014,13r529,294l1014,601hdc990,614,960,605,946,581v-13,-24,-4,-54,20,-68hal1416,263r,88l966,101hdc942,87,933,57,946,33,960,8,990,,1014,13haxe" fillcolor="#404040" strokecolor="#404040" strokeweight="0">
                <v:path arrowok="t"/>
                <o:lock v:ext="edit" verticies="t"/>
              </v:shape>
              <v:shape id="_x0000_s1199" style="position:absolute;left:965;top:1531;width:353;height:164" coordsize="2589,1228" path="m,509r2383,8l2383,717,,709,,509xm1534,27l2589,617,1530,1202hdc1481,1228,1421,1211,1394,1162v-27,-48,-9,-109,39,-136hal2335,529r-1,175l1436,201hdc1388,174,1370,113,1397,65,1424,17,1485,,1534,27haxe" fillcolor="#404040" strokecolor="#404040" strokeweight="0">
                <v:path arrowok="t"/>
                <o:lock v:ext="edit" verticies="t"/>
              </v:shape>
              <v:shape id="_x0000_s1200" type="#_x0000_t75" style="position:absolute;left:157;top:2425;width:788;height:653"/>
              <v:shape id="_x0000_s1201" type="#_x0000_t75" style="position:absolute;left:157;top:2425;width:788;height:653"/>
              <v:shape id="_x0000_s1202" type="#_x0000_t75" style="position:absolute;left:157;top:2474;width:786;height:508"/>
              <v:shape id="_x0000_s1203" type="#_x0000_t75" style="position:absolute;left:157;top:2474;width:786;height:508"/>
              <v:rect id="_x0000_s1204" style="position:absolute;left:185;top:2454;width:692;height:558" fillcolor="#404040" stroked="f"/>
              <v:shape id="_x0000_s1205" style="position:absolute;left:176;top:2445;width:710;height:576" coordsize="5205,4318" path="m,67hdc,30,30,,66,hal5139,hdc5175,,5205,30,5205,67hal5205,4251hdc5205,4288,5175,4318,5139,4318hal66,4318hdc30,4318,,4288,,4251hal,67hdxm133,4251hal66,4185r5073,l5072,4251r,-4184l5139,133,66,133,133,67r,4184hdxe" fillcolor="black" strokeweight="0">
                <v:path arrowok="t"/>
                <o:lock v:ext="edit" verticies="t"/>
              </v:shape>
              <v:rect id="_x0000_s1206" style="position:absolute;left:317;top:2540;width:412;height:409;mso-wrap-style:none" filled="f" stroked="f">
                <v:textbox style="mso-next-textbox:#_x0000_s1206;mso-fit-shape-to-text:t" inset="0,0,0,0">
                  <w:txbxContent>
                    <w:p w:rsidR="00B4351F" w:rsidRDefault="00B4351F">
                      <w:r>
                        <w:rPr>
                          <w:color w:val="FFFFFF"/>
                          <w:sz w:val="16"/>
                          <w:szCs w:val="16"/>
                        </w:rPr>
                        <w:t xml:space="preserve">Global </w:t>
                      </w:r>
                    </w:p>
                  </w:txbxContent>
                </v:textbox>
              </v:rect>
              <v:rect id="_x0000_s1207" style="position:absolute;left:275;top:2732;width:493;height:410;mso-wrap-style:none" filled="f" stroked="f">
                <v:textbox style="mso-next-textbox:#_x0000_s1207;mso-fit-shape-to-text:t" inset="0,0,0,0">
                  <w:txbxContent>
                    <w:p w:rsidR="00B4351F" w:rsidRDefault="00B4351F">
                      <w:r>
                        <w:rPr>
                          <w:color w:val="FFFFFF"/>
                          <w:sz w:val="16"/>
                          <w:szCs w:val="16"/>
                        </w:rPr>
                        <w:t>Finance</w:t>
                      </w:r>
                    </w:p>
                  </w:txbxContent>
                </v:textbox>
              </v:rect>
              <v:shape id="_x0000_s1208" style="position:absolute;left:876;top:2652;width:442;height:163" coordsize="3241,1229" path="m1,509r3034,8l3035,717,,709,1,509xm2185,27l3241,617,2182,1202hdc2134,1229,2073,1211,2046,1163v-26,-48,-9,-109,39,-136hal2987,529r-1,175l2088,202hdc2039,175,2022,114,2049,66,2076,17,2137,,2185,27haxe" fillcolor="#404040" strokecolor="#404040" strokeweight="0">
                <v:path arrowok="t"/>
                <o:lock v:ext="edit" verticies="t"/>
              </v:shape>
              <v:shape id="_x0000_s1209" style="position:absolute;left:5531;top:1355;width:1433;height:164" coordsize="5250,615" path="m,257r5147,l5147,357,,357,,257xm4721,14r529,293l4721,601hdc4697,615,4666,606,4653,582v-13,-24,-5,-55,19,-68hal5122,264r,87l4672,101hdc4648,88,4640,57,4653,33,4666,9,4697,,4721,14haxe" fillcolor="#404040" strokecolor="#404040" strokeweight="0">
                <v:path arrowok="t"/>
                <o:lock v:ext="edit" verticies="t"/>
              </v:shape>
              <v:shape id="_x0000_s1210" style="position:absolute;left:5531;top:1706;width:1433;height:164" coordsize="5250,614" path="m,257r5147,l5147,357,,357,,257xm4721,13r529,294l4721,601hdc4697,614,4666,606,4653,582v-13,-25,-5,-55,19,-68hal5122,264r,87l4672,101hdc4648,87,4640,57,4653,33,4666,9,4697,,4721,13haxe" fillcolor="#404040" strokecolor="#404040" strokeweight="0">
                <v:path arrowok="t"/>
                <o:lock v:ext="edit" verticies="t"/>
              </v:shape>
              <v:rect id="_x0000_s1211" style="position:absolute;left:6151;top:1665;width:455;height:245" stroked="f"/>
              <v:rect id="_x0000_s1212" style="position:absolute;left:6180;top:1689;width:384;height:409;mso-wrap-style:none" filled="f" stroked="f">
                <v:textbox style="mso-next-textbox:#_x0000_s1212;mso-fit-shape-to-text:t" inset="0,0,0,0">
                  <w:txbxContent>
                    <w:p w:rsidR="00B4351F" w:rsidRDefault="00B4351F">
                      <w:r>
                        <w:rPr>
                          <w:color w:val="000000"/>
                          <w:sz w:val="16"/>
                          <w:szCs w:val="16"/>
                        </w:rPr>
                        <w:t>Direct</w:t>
                      </w:r>
                    </w:p>
                  </w:txbxContent>
                </v:textbox>
              </v:rect>
              <v:rect id="_x0000_s1213" style="position:absolute;left:6094;top:1315;width:569;height:245" stroked="f"/>
              <v:rect id="_x0000_s1214" style="position:absolute;left:6121;top:1339;width:492;height:409;mso-wrap-style:none" filled="f" stroked="f">
                <v:textbox style="mso-next-textbox:#_x0000_s1214;mso-fit-shape-to-text:t" inset="0,0,0,0">
                  <w:txbxContent>
                    <w:p w:rsidR="00B4351F" w:rsidRDefault="00B4351F">
                      <w:r>
                        <w:rPr>
                          <w:color w:val="000000"/>
                          <w:sz w:val="16"/>
                          <w:szCs w:val="16"/>
                        </w:rPr>
                        <w:t>Indirect</w:t>
                      </w:r>
                    </w:p>
                  </w:txbxContent>
                </v:textbox>
              </v:rect>
              <v:shape id="_x0000_s1215" style="position:absolute;left:5480;top:2852;width:1484;height:164" coordsize="5438,614" path="m,257r5335,l5335,357,,357,,257xm4909,13r529,294l4909,601hdc4885,614,4854,605,4841,581v-13,-24,-5,-54,19,-68hal5310,263r,88l4860,100hdc4836,87,4828,57,4841,32,4854,8,4885,,4909,13haxe" fillcolor="#404040" strokecolor="#404040" strokeweight="0">
                <v:path arrowok="t"/>
                <o:lock v:ext="edit" verticies="t"/>
              </v:shape>
              <v:rect id="_x0000_s1216" style="position:absolute;left:6151;top:2812;width:455;height:245" stroked="f"/>
              <v:rect id="_x0000_s1217" style="position:absolute;left:6180;top:2835;width:384;height:410;mso-wrap-style:none" filled="f" stroked="f">
                <v:textbox style="mso-next-textbox:#_x0000_s1217;mso-fit-shape-to-text:t" inset="0,0,0,0">
                  <w:txbxContent>
                    <w:p w:rsidR="00B4351F" w:rsidRDefault="00B4351F">
                      <w:r>
                        <w:rPr>
                          <w:color w:val="000000"/>
                          <w:sz w:val="16"/>
                          <w:szCs w:val="16"/>
                        </w:rPr>
                        <w:t>Direct</w:t>
                      </w:r>
                    </w:p>
                  </w:txbxContent>
                </v:textbox>
              </v:rect>
              <v:shape id="_x0000_s1218" style="position:absolute;left:5480;top:2457;width:1484;height:164" coordsize="5438,614" path="m,257r5335,l5335,357,,357,,257xm4909,13r529,294l4909,601hdc4885,614,4854,606,4841,581v-13,-24,-5,-54,19,-68hal5310,263r,88l4860,101hdc4836,87,4828,57,4841,33,4854,9,4885,,4909,13haxe" fillcolor="#404040" strokecolor="#404040" strokeweight="0">
                <v:path arrowok="t"/>
                <o:lock v:ext="edit" verticies="t"/>
              </v:shape>
              <v:rect id="_x0000_s1219" style="position:absolute;left:6094;top:2417;width:569;height:245" stroked="f"/>
              <v:rect id="_x0000_s1220" style="position:absolute;left:6121;top:2441;width:492;height:409;mso-wrap-style:none" filled="f" stroked="f">
                <v:textbox style="mso-next-textbox:#_x0000_s1220;mso-fit-shape-to-text:t" inset="0,0,0,0">
                  <w:txbxContent>
                    <w:p w:rsidR="00B4351F" w:rsidRDefault="00B4351F">
                      <w:r>
                        <w:rPr>
                          <w:color w:val="000000"/>
                          <w:sz w:val="16"/>
                          <w:szCs w:val="16"/>
                        </w:rPr>
                        <w:t>Indirect</w:t>
                      </w:r>
                    </w:p>
                  </w:txbxContent>
                </v:textbox>
              </v:rect>
              <v:rect id="_x0000_s1221" style="position:absolute;left:4738;top:1425;width:895;height:375" fillcolor="#3c3" stroked="f"/>
              <v:shape id="_x0000_s1222" style="position:absolute;left:4673;top:1362;width:1024;height:63" coordsize="1024,63" path="m,l1024,,960,63,65,63,,xe" fillcolor="#5bd65b" stroked="f">
                <v:path arrowok="t"/>
              </v:shape>
              <v:shape id="_x0000_s1223" style="position:absolute;left:4673;top:1800;width:1024;height:63" coordsize="1024,63" path="m,63l65,,960,r64,63l,63xe" fillcolor="#29a429" stroked="f">
                <v:path arrowok="t"/>
              </v:shape>
              <v:shape id="_x0000_s1224" style="position:absolute;left:4673;top:1362;width:65;height:501" coordsize="65,501" path="m,l65,63r,375l,501,,xe" fillcolor="#85e085" stroked="f">
                <v:path arrowok="t"/>
              </v:shape>
              <v:shape id="_x0000_s1225" style="position:absolute;left:5633;top:1362;width:64;height:501" coordsize="64,501" path="m64,r,501l,438,,63,64,xe" fillcolor="#1f7a1f" stroked="f">
                <v:path arrowok="t"/>
              </v:shape>
              <v:shape id="_x0000_s1226" style="position:absolute;left:4667;top:1356;width:1036;height:514" coordsize="3800,1926" path="m,25hdc,11,11,,25,hal3775,hdc3789,,3800,11,3800,25hal3800,1901hdc3800,1914,3789,1926,3775,1926hal25,1926hdc11,1926,,1914,,1901hal,25hdxm50,1901hal25,1876r3750,l3750,1901r,-1876l3775,50,25,50,50,25r,1876hdxm235,259v,-13,11,-25,25,-25hal3541,234hdc3555,234,3566,246,3566,259hal3566,1666hdc3566,1680,3555,1691,3541,1691hal260,1691hdc246,1691,235,1680,235,1666hal235,259hdxm285,1666hal260,1641r3281,l3516,1666r,-1407l3541,284r-3281,l285,259r,1407hdxm43,7hal277,242r-35,35l8,43,43,7hdxm8,1883hal242,1648r35,36l43,1918,8,1883hdxm3793,43hal3559,277r-36,-35l3758,7r35,36hdxm3758,1918hal3523,1684r36,-36l3793,1883r-35,35hdxe" fillcolor="#0c0" strokecolor="#0c0" strokeweight="0">
                <v:path arrowok="t"/>
                <o:lock v:ext="edit" verticies="t"/>
              </v:shape>
              <v:rect id="_x0000_s1227" style="position:absolute;left:4950;top:1419;width:457;height:409;mso-wrap-style:none" filled="f" stroked="f">
                <v:textbox style="mso-next-textbox:#_x0000_s1227;mso-fit-shape-to-text:t" inset="0,0,0,0">
                  <w:txbxContent>
                    <w:p w:rsidR="00B4351F" w:rsidRDefault="00B4351F">
                      <w:r>
                        <w:rPr>
                          <w:color w:val="FFFFFF"/>
                          <w:sz w:val="16"/>
                          <w:szCs w:val="16"/>
                        </w:rPr>
                        <w:t xml:space="preserve">District </w:t>
                      </w:r>
                    </w:p>
                  </w:txbxContent>
                </v:textbox>
              </v:rect>
              <v:rect id="_x0000_s1228" style="position:absolute;left:4900;top:1611;width:550;height:409;mso-wrap-style:none" filled="f" stroked="f">
                <v:textbox style="mso-next-textbox:#_x0000_s1228;mso-fit-shape-to-text:t" inset="0,0,0,0">
                  <w:txbxContent>
                    <w:p w:rsidR="00B4351F" w:rsidRDefault="00B4351F">
                      <w:r>
                        <w:rPr>
                          <w:color w:val="FFFFFF"/>
                          <w:sz w:val="16"/>
                          <w:szCs w:val="16"/>
                        </w:rPr>
                        <w:t>(Budget)</w:t>
                      </w:r>
                    </w:p>
                  </w:txbxContent>
                </v:textbox>
              </v:rect>
              <v:rect id="_x0000_s1229" style="position:absolute;left:7002;top:1675;width:1415;height:225" fillcolor="#9f6" stroked="f"/>
              <v:shape id="_x0000_s1230" style="position:absolute;left:6964;top:1638;width:1491;height:37" coordsize="1491,37" path="m,l1491,r-38,37l38,37,,xe" fillcolor="#adff84" stroked="f">
                <v:path arrowok="t"/>
              </v:shape>
              <v:shape id="_x0000_s1231" style="position:absolute;left:6964;top:1900;width:1491;height:38" coordsize="1491,38" path="m,38l38,,1453,r38,38l,38xe" fillcolor="#7bcd52" stroked="f">
                <v:path arrowok="t"/>
              </v:shape>
              <v:shape id="_x0000_s1232" style="position:absolute;left:6964;top:1638;width:38;height:300" coordsize="38,300" path="m,l38,37r,225l,300,,xe" fillcolor="#c2ffa3" stroked="f">
                <v:path arrowok="t"/>
              </v:shape>
              <v:shape id="_x0000_s1233" style="position:absolute;left:8417;top:1638;width:38;height:300" coordsize="38,300" path="m38,r,300l,262,,37,38,xe" fillcolor="#5c993d" stroked="f">
                <v:path arrowok="t"/>
              </v:shape>
              <v:shape id="_x0000_s1234" style="position:absolute;left:6957;top:1631;width:1505;height:314" coordsize="5516,1175" path="m,25hdc,11,11,,25,hal5491,hdc5505,,5516,11,5516,25hal5516,1150hdc5516,1164,5505,1175,5491,1175hal25,1175hdc11,1175,,1164,,1150hal,25hdxm50,1150hal25,1125r5466,l5466,1150r,-1125l5491,50,25,50,50,25r,1125hdxm140,165v,-14,12,-25,25,-25hal5351,140hdc5364,140,5376,151,5376,165hal5376,1009hdc5376,1023,5364,1034,5351,1034hal165,1034hdc152,1034,140,1023,140,1009hal140,165hdxm190,1009hal165,984r5186,l5326,1009r,-844l5351,190r-5186,l190,165r,844hdxm42,7hal183,148r-35,35l7,42,42,7hdxm7,1132hal148,992r35,35l42,1168,7,1132hdxm5509,42hal5368,183r-35,-35l5474,7r35,35hdxm5474,1168hal5333,1027r35,-35l5509,1132r-35,36hdxe" fillcolor="#6f3" strokecolor="#6f3" strokeweight="0">
                <v:path arrowok="t"/>
                <o:lock v:ext="edit" verticies="t"/>
              </v:shape>
              <v:rect id="_x0000_s1235" style="position:absolute;left:7387;top:1691;width:626;height:409;mso-wrap-style:none" filled="f" stroked="f">
                <v:textbox style="mso-next-textbox:#_x0000_s1235;mso-fit-shape-to-text:t" inset="0,0,0,0">
                  <w:txbxContent>
                    <w:p w:rsidR="00B4351F" w:rsidRDefault="00B4351F">
                      <w:r>
                        <w:rPr>
                          <w:color w:val="000000"/>
                          <w:sz w:val="16"/>
                          <w:szCs w:val="16"/>
                        </w:rPr>
                        <w:t>Payments</w:t>
                      </w:r>
                    </w:p>
                  </w:txbxContent>
                </v:textbox>
              </v:rect>
              <v:rect id="_x0000_s1236" style="position:absolute;left:7002;top:1325;width:1415;height:225" fillcolor="#9f6" stroked="f"/>
              <v:shape id="_x0000_s1237" style="position:absolute;left:6964;top:1287;width:1491;height:38" coordsize="1491,38" path="m,l1491,r-38,38l38,38,,xe" fillcolor="#adff84" stroked="f">
                <v:path arrowok="t"/>
              </v:shape>
              <v:shape id="_x0000_s1238" style="position:absolute;left:6964;top:1550;width:1491;height:38" coordsize="1491,38" path="m,38l38,,1453,r38,38l,38xe" fillcolor="#7bcd52" stroked="f">
                <v:path arrowok="t"/>
              </v:shape>
              <v:shape id="_x0000_s1239" style="position:absolute;left:6964;top:1287;width:38;height:301" coordsize="38,301" path="m,l38,38r,225l,301,,xe" fillcolor="#c2ffa3" stroked="f">
                <v:path arrowok="t"/>
              </v:shape>
              <v:shape id="_x0000_s1240" style="position:absolute;left:8417;top:1287;width:38;height:301" coordsize="38,301" path="m38,r,301l,263,,38,38,xe" fillcolor="#5c993d" stroked="f">
                <v:path arrowok="t"/>
              </v:shape>
              <v:shape id="_x0000_s1241" style="position:absolute;left:6957;top:1281;width:1505;height:313" coordsize="5516,1175" path="m,25hdc,11,11,,25,hal5491,hdc5505,,5516,11,5516,25hal5516,1150hdc5516,1164,5505,1175,5491,1175hal25,1175hdc11,1175,,1164,,1150hal,25hdxm50,1150hal25,1125r5466,l5466,1150r,-1125l5491,50,25,50,50,25r,1125hdxm140,165v,-13,12,-25,25,-25hal5351,140hdc5364,140,5376,152,5376,165hal5376,1009hdc5376,1023,5364,1034,5351,1034hal165,1034hdc152,1034,140,1023,140,1009hal140,165hdxm190,1009hal165,984r5186,l5326,1009r,-844l5351,190r-5186,l190,165r,844hdxm42,7hal183,148r-35,35l7,42,42,7hdxm7,1132hal148,992r35,35l42,1168,7,1132hdxm5509,42hal5368,183r-35,-35l5474,7r35,35hdxm5474,1168hal5333,1027r35,-35l5509,1132r-35,36hdxe" fillcolor="#6f3" strokecolor="#6f3" strokeweight="0">
                <v:path arrowok="t"/>
                <o:lock v:ext="edit" verticies="t"/>
              </v:shape>
              <v:rect id="_x0000_s1242" style="position:absolute;left:7306;top:1340;width:785;height:409;mso-wrap-style:none" filled="f" stroked="f">
                <v:textbox style="mso-next-textbox:#_x0000_s1242;mso-fit-shape-to-text:t" inset="0,0,0,0">
                  <w:txbxContent>
                    <w:p w:rsidR="00B4351F" w:rsidRDefault="00B4351F">
                      <w:r>
                        <w:rPr>
                          <w:color w:val="000000"/>
                          <w:sz w:val="16"/>
                          <w:szCs w:val="16"/>
                        </w:rPr>
                        <w:t>Investments</w:t>
                      </w:r>
                    </w:p>
                  </w:txbxContent>
                </v:textbox>
              </v:rect>
              <v:shape id="_x0000_s1243" type="#_x0000_t75" style="position:absolute;left:6936;top:2726;width:1571;height:553"/>
              <v:shape id="_x0000_s1244" type="#_x0000_t75" style="position:absolute;left:6936;top:2726;width:1571;height:553"/>
              <v:shape id="_x0000_s1245" type="#_x0000_t75" style="position:absolute;left:7008;top:2726;width:1440;height:508"/>
              <v:shape id="_x0000_s1246" type="#_x0000_t75" style="position:absolute;left:7008;top:2726;width:1440;height:508"/>
              <v:rect id="_x0000_s1247" style="position:absolute;left:6964;top:2754;width:1491;height:458" fillcolor="#9f6" stroked="f"/>
              <v:shape id="_x0000_s1248" style="position:absolute;left:6954;top:2745;width:1510;height:476" coordsize="5534,1784" path="m,33hdc,14,15,,34,hal5500,hdc5519,,5534,14,5534,33hal5534,1750hdc5534,1769,5519,1784,5500,1784hal34,1784hdc15,1784,,1769,,1750hal,33hdxm67,1750hal34,1717r5466,l5467,1750r,-1717l5500,66,34,66,67,33r,1717hdxe" fillcolor="#6f3" strokecolor="#6f3" strokeweight="0">
                <v:path arrowok="t"/>
                <o:lock v:ext="edit" verticies="t"/>
              </v:shape>
              <v:rect id="_x0000_s1249" style="position:absolute;left:7168;top:2790;width:745;height:409;mso-wrap-style:none" filled="f" stroked="f">
                <v:textbox style="mso-next-textbox:#_x0000_s1249;mso-fit-shape-to-text:t" inset="0,0,0,0">
                  <w:txbxContent>
                    <w:p w:rsidR="00B4351F" w:rsidRDefault="00B4351F">
                      <w:r>
                        <w:rPr>
                          <w:color w:val="000000"/>
                          <w:sz w:val="16"/>
                          <w:szCs w:val="16"/>
                        </w:rPr>
                        <w:t xml:space="preserve">Reflects   R- </w:t>
                      </w:r>
                    </w:p>
                  </w:txbxContent>
                </v:textbox>
              </v:rect>
              <v:rect id="_x0000_s1250" style="position:absolute;left:7127;top:2981;width:736;height:409;mso-wrap-style:none" filled="f" stroked="f">
                <v:textbox style="mso-next-textbox:#_x0000_s1250;mso-fit-shape-to-text:t" inset="0,0,0,0">
                  <w:txbxContent>
                    <w:p w:rsidR="00B4351F" w:rsidRDefault="00B4351F">
                      <w:r>
                        <w:rPr>
                          <w:color w:val="000000"/>
                          <w:sz w:val="16"/>
                          <w:szCs w:val="16"/>
                        </w:rPr>
                        <w:t>coefficients</w:t>
                      </w:r>
                    </w:p>
                  </w:txbxContent>
                </v:textbox>
              </v:rect>
              <v:shape id="_x0000_s1251" type="#_x0000_t75" style="position:absolute;left:6936;top:2242;width:1571;height:538"/>
              <v:shape id="_x0000_s1252" type="#_x0000_t75" style="position:absolute;left:6936;top:2242;width:1571;height:538"/>
              <v:shape id="_x0000_s1253" type="#_x0000_t75" style="position:absolute;left:6938;top:2233;width:1569;height:508"/>
              <v:shape id="_x0000_s1254" type="#_x0000_t75" style="position:absolute;left:6938;top:2233;width:1569;height:508"/>
              <v:rect id="_x0000_s1255" style="position:absolute;left:6964;top:2269;width:1491;height:443" fillcolor="#9f6" stroked="f"/>
              <v:shape id="_x0000_s1256" style="position:absolute;left:6954;top:2260;width:1510;height:461" coordsize="5534,1725" path="m,33hdc,15,15,,34,hal5500,hdc5519,,5534,15,5534,33hal5534,1692hdc5534,1710,5519,1725,5500,1725hal34,1725hdc15,1725,,1710,,1692hal,33hdxm67,1692hal34,1658r5466,l5467,1692r,-1659l5500,66,34,66,67,33r,1659hdxe" fillcolor="#6f3" strokecolor="#6f3" strokeweight="0">
                <v:path arrowok="t"/>
                <o:lock v:ext="edit" verticies="t"/>
              </v:shape>
              <v:rect id="_x0000_s1257" style="position:absolute;left:7159;top:2297;width:1059;height:377;mso-wrap-style:none" filled="f" stroked="f">
                <v:textbox style="mso-next-textbox:#_x0000_s1257;mso-fit-shape-to-text:t" inset="0,0,0,0">
                  <w:txbxContent>
                    <w:p w:rsidR="00B4351F" w:rsidRDefault="00B4351F" w:rsidP="00A256CB">
                      <w:pPr>
                        <w:spacing w:after="0" w:line="240" w:lineRule="auto"/>
                        <w:rPr>
                          <w:color w:val="000000"/>
                          <w:sz w:val="16"/>
                          <w:szCs w:val="16"/>
                        </w:rPr>
                      </w:pPr>
                      <w:r>
                        <w:rPr>
                          <w:color w:val="000000"/>
                          <w:sz w:val="16"/>
                          <w:szCs w:val="16"/>
                        </w:rPr>
                        <w:t>Based on agreed</w:t>
                      </w:r>
                    </w:p>
                    <w:p w:rsidR="00B4351F" w:rsidRDefault="00B4351F" w:rsidP="00A256CB">
                      <w:pPr>
                        <w:spacing w:after="0" w:line="240" w:lineRule="auto"/>
                      </w:pPr>
                      <w:r>
                        <w:rPr>
                          <w:color w:val="000000"/>
                          <w:sz w:val="16"/>
                          <w:szCs w:val="16"/>
                        </w:rPr>
                        <w:t xml:space="preserve">activities </w:t>
                      </w:r>
                    </w:p>
                  </w:txbxContent>
                </v:textbox>
              </v:rect>
              <v:rect id="_x0000_s1258" style="position:absolute;left:7057;top:2489;width:126;height:490;mso-wrap-style:none" filled="f" stroked="f">
                <v:textbox style="mso-next-textbox:#_x0000_s1258;mso-fit-shape-to-text:t" inset="0,0,0,0">
                  <w:txbxContent>
                    <w:p w:rsidR="00B4351F" w:rsidRPr="00555349" w:rsidRDefault="00B4351F" w:rsidP="00A256CB"/>
                  </w:txbxContent>
                </v:textbox>
              </v:rect>
              <v:rect id="_x0000_s1259" style="position:absolute;left:1217;top:3291;width:6656;height:490" filled="f" stroked="f">
                <v:textbox style="mso-next-textbox:#_x0000_s1259;mso-fit-shape-to-text:t" inset="0,0,0,0">
                  <w:txbxContent>
                    <w:p w:rsidR="00B4351F" w:rsidRPr="00514C81" w:rsidRDefault="00B4351F" w:rsidP="00A256CB"/>
                  </w:txbxContent>
                </v:textbox>
              </v:rect>
              <v:rect id="_x0000_s1260" style="position:absolute;left:1021;top:3367;width:44;height:655" fillcolor="#030" stroked="f"/>
              <v:rect id="_x0000_s1261" style="position:absolute;left:1065;top:3367;width:87;height:655" fillcolor="#003500" stroked="f"/>
              <v:rect id="_x0000_s1262" style="position:absolute;left:1152;top:3367;width:59;height:655" fillcolor="#003700" stroked="f"/>
              <v:rect id="_x0000_s1263" style="position:absolute;left:1211;top:3367;width:88;height:655" fillcolor="#003900" stroked="f"/>
              <v:rect id="_x0000_s1264" style="position:absolute;left:1299;top:3367;width:58;height:655" fillcolor="#003b00" stroked="f"/>
              <v:rect id="_x0000_s1265" style="position:absolute;left:1357;top:3367;width:88;height:655" fillcolor="#003d00" stroked="f"/>
              <v:rect id="_x0000_s1266" style="position:absolute;left:1445;top:3367;width:59;height:655" fillcolor="#003f00" stroked="f"/>
              <v:rect id="_x0000_s1267" style="position:absolute;left:1504;top:3367;width:87;height:655" fillcolor="#004100" stroked="f"/>
              <v:rect id="_x0000_s1268" style="position:absolute;left:1591;top:3367;width:59;height:655" fillcolor="#004300" stroked="f"/>
              <v:rect id="_x0000_s1269" style="position:absolute;left:1650;top:3367;width:87;height:655" fillcolor="#004500" stroked="f"/>
              <v:rect id="_x0000_s1270" style="position:absolute;left:1737;top:3367;width:59;height:655" fillcolor="#004700" stroked="f"/>
              <v:rect id="_x0000_s1271" style="position:absolute;left:1796;top:3367;width:87;height:655" fillcolor="#004900" stroked="f"/>
              <v:rect id="_x0000_s1272" style="position:absolute;left:1883;top:3367;width:59;height:655" fillcolor="#004b00" stroked="f"/>
              <v:rect id="_x0000_s1273" style="position:absolute;left:1942;top:3367;width:88;height:655" fillcolor="#004d00" stroked="f"/>
              <v:rect id="_x0000_s1274" style="position:absolute;left:2030;top:3367;width:87;height:655" fillcolor="#004f00" stroked="f"/>
              <v:rect id="_x0000_s1275" style="position:absolute;left:2117;top:3367;width:59;height:655" fillcolor="#005100" stroked="f"/>
              <v:rect id="_x0000_s1276" style="position:absolute;left:2176;top:3367;width:87;height:655" fillcolor="#005300" stroked="f"/>
              <v:rect id="_x0000_s1277" style="position:absolute;left:2263;top:3367;width:59;height:655" fillcolor="#050" stroked="f"/>
              <v:rect id="_x0000_s1278" style="position:absolute;left:2322;top:3367;width:87;height:655" fillcolor="#005700" stroked="f"/>
              <v:rect id="_x0000_s1279" style="position:absolute;left:2409;top:3367;width:59;height:655" fillcolor="#005900" stroked="f"/>
              <v:rect id="_x0000_s1280" style="position:absolute;left:2468;top:3367;width:88;height:655" fillcolor="#005b00" stroked="f"/>
              <v:rect id="_x0000_s1281" style="position:absolute;left:2556;top:3367;width:56;height:655" fillcolor="#005d00" stroked="f"/>
              <v:rect id="_x0000_s1282" style="position:absolute;left:2612;top:3367;width:90;height:655" fillcolor="#005f00" stroked="f"/>
              <v:rect id="_x0000_s1283" style="position:absolute;left:2702;top:3367;width:57;height:655" fillcolor="#006100" stroked="f"/>
              <v:rect id="_x0000_s1284" style="position:absolute;left:2759;top:3367;width:89;height:655" fillcolor="#006300" stroked="f"/>
              <v:rect id="_x0000_s1285" style="position:absolute;left:2848;top:3367;width:57;height:655" fillcolor="#006500" stroked="f"/>
              <v:rect id="_x0000_s1286" style="position:absolute;left:2905;top:3367;width:87;height:655" fillcolor="#006700" stroked="f"/>
              <v:rect id="_x0000_s1287" style="position:absolute;left:2992;top:3367;width:59;height:655" fillcolor="#006900" stroked="f"/>
              <v:rect id="_x0000_s1288" style="position:absolute;left:3051;top:3367;width:87;height:655" fillcolor="#006b00" stroked="f"/>
              <v:rect id="_x0000_s1289" style="position:absolute;left:3138;top:3367;width:59;height:655" fillcolor="#006d00" stroked="f"/>
              <v:rect id="_x0000_s1290" style="position:absolute;left:3197;top:3367;width:88;height:655" fillcolor="#006f00" stroked="f"/>
              <v:rect id="_x0000_s1291" style="position:absolute;left:3285;top:3367;width:59;height:655" fillcolor="#007100" stroked="f"/>
              <v:rect id="_x0000_s1292" style="position:absolute;left:3344;top:3367;width:87;height:655" fillcolor="#007300" stroked="f"/>
              <v:rect id="_x0000_s1293" style="position:absolute;left:3431;top:3367;width:59;height:655" fillcolor="#007500" stroked="f"/>
              <v:rect id="_x0000_s1294" style="position:absolute;left:3490;top:3367;width:87;height:655" fillcolor="#070" stroked="f"/>
              <v:rect id="_x0000_s1295" style="position:absolute;left:3577;top:3367;width:59;height:655" fillcolor="#007900" stroked="f"/>
              <v:rect id="_x0000_s1296" style="position:absolute;left:3636;top:3367;width:87;height:655" fillcolor="#007b00" stroked="f"/>
              <v:rect id="_x0000_s1297" style="position:absolute;left:3723;top:3367;width:59;height:655" fillcolor="#007d00" stroked="f"/>
              <v:rect id="_x0000_s1298" style="position:absolute;left:3782;top:3367;width:88;height:655" fillcolor="#007f00" stroked="f"/>
              <v:rect id="_x0000_s1299" style="position:absolute;left:3870;top:3367;width:58;height:655" fillcolor="#008100" stroked="f"/>
              <v:rect id="_x0000_s1300" style="position:absolute;left:3928;top:3367;width:88;height:655" fillcolor="#008300" stroked="f"/>
              <v:rect id="_x0000_s1301" style="position:absolute;left:4016;top:3367;width:56;height:655" fillcolor="#008500" stroked="f"/>
              <v:rect id="_x0000_s1302" style="position:absolute;left:4072;top:3367;width:90;height:655" fillcolor="#008700" stroked="f"/>
              <v:rect id="_x0000_s1303" style="position:absolute;left:4162;top:3367;width:57;height:655" fillcolor="#008900" stroked="f"/>
              <v:rect id="_x0000_s1304" style="position:absolute;left:4219;top:3367;width:89;height:655" fillcolor="#008b00" stroked="f"/>
              <v:rect id="_x0000_s1305" style="position:absolute;left:4308;top:3367;width:57;height:655" fillcolor="#008d00" stroked="f"/>
              <v:rect id="_x0000_s1306" style="position:absolute;left:4365;top:3367;width:87;height:655" fillcolor="#008f00" stroked="f"/>
              <v:rect id="_x0000_s1307" style="position:absolute;left:4452;top:3367;width:59;height:655" fillcolor="#009100" stroked="f"/>
              <v:rect id="_x0000_s1308" style="position:absolute;left:4511;top:3367;width:87;height:655" fillcolor="#009300" stroked="f"/>
              <v:rect id="_x0000_s1309" style="position:absolute;left:4598;top:3367;width:59;height:655" fillcolor="#009500" stroked="f"/>
              <v:rect id="_x0000_s1310" style="position:absolute;left:4657;top:3367;width:88;height:655" fillcolor="#009700" stroked="f"/>
              <v:rect id="_x0000_s1311" style="position:absolute;left:4745;top:3367;width:59;height:655" fillcolor="#090" stroked="f"/>
              <v:rect id="_x0000_s1312" style="position:absolute;left:4804;top:3367;width:87;height:655" fillcolor="#029b02" stroked="f"/>
              <v:rect id="_x0000_s1313" style="position:absolute;left:4891;top:3367;width:59;height:655" fillcolor="#049d04" stroked="f"/>
              <v:rect id="_x0000_s1314" style="position:absolute;left:4950;top:3367;width:87;height:655" fillcolor="#069f06" stroked="f"/>
              <v:rect id="_x0000_s1315" style="position:absolute;left:5037;top:3367;width:59;height:655" fillcolor="#08a108" stroked="f"/>
              <v:rect id="_x0000_s1316" style="position:absolute;left:5096;top:3367;width:87;height:655" fillcolor="#0aa30a" stroked="f"/>
              <v:rect id="_x0000_s1317" style="position:absolute;left:5183;top:3367;width:59;height:655" fillcolor="#0ca50c" stroked="f"/>
              <v:rect id="_x0000_s1318" style="position:absolute;left:5242;top:3367;width:88;height:655" fillcolor="#0ea70e" stroked="f"/>
              <v:rect id="_x0000_s1319" style="position:absolute;left:5330;top:3367;width:59;height:655" fillcolor="#10a910" stroked="f"/>
              <v:rect id="_x0000_s1320" style="position:absolute;left:5389;top:3367;width:87;height:655" fillcolor="#12ab12" stroked="f"/>
              <v:rect id="_x0000_s1321" style="position:absolute;left:5476;top:3367;width:57;height:655" fillcolor="#14ad14" stroked="f"/>
              <v:rect id="_x0000_s1322" style="position:absolute;left:5533;top:3367;width:89;height:655" fillcolor="#16af16" stroked="f"/>
              <v:rect id="_x0000_s1323" style="position:absolute;left:5622;top:3367;width:57;height:655" fillcolor="#18b118" stroked="f"/>
              <v:rect id="_x0000_s1324" style="position:absolute;left:5679;top:3367;width:89;height:655" fillcolor="#1ab31a" stroked="f"/>
              <v:rect id="_x0000_s1325" style="position:absolute;left:5768;top:3367;width:88;height:655" fillcolor="#1cb51c" stroked="f"/>
              <v:rect id="_x0000_s1326" style="position:absolute;left:5856;top:3367;width:56;height:655" fillcolor="#1eb71e" stroked="f"/>
              <v:rect id="_x0000_s1327" style="position:absolute;left:5912;top:3367;width:90;height:655" fillcolor="#20b920" stroked="f"/>
              <v:rect id="_x0000_s1328" style="position:absolute;left:6002;top:3367;width:57;height:655" fillcolor="#2b2" stroked="f"/>
              <v:rect id="_x0000_s1329" style="position:absolute;left:6059;top:3367;width:87;height:655" fillcolor="#24bd24" stroked="f"/>
              <v:rect id="_x0000_s1330" style="position:absolute;left:6146;top:3367;width:59;height:655" fillcolor="#26bf26" stroked="f"/>
              <v:rect id="_x0000_s1331" style="position:absolute;left:6205;top:3367;width:87;height:655" fillcolor="#28c128" stroked="f"/>
              <v:rect id="_x0000_s1332" style="position:absolute;left:6292;top:3367;width:59;height:655" fillcolor="#2ac32a" stroked="f"/>
              <v:rect id="_x0000_s1333" style="position:absolute;left:6351;top:3367;width:87;height:655" fillcolor="#2cc52c" stroked="f"/>
              <v:rect id="_x0000_s1334" style="position:absolute;left:6438;top:3367;width:59;height:655" fillcolor="#2ec72e" stroked="f"/>
              <v:rect id="_x0000_s1335" style="position:absolute;left:6497;top:3367;width:88;height:655" fillcolor="#30c930" stroked="f"/>
              <v:rect id="_x0000_s1336" style="position:absolute;left:6585;top:3367;width:52;height:655" fillcolor="#32cb32" stroked="f"/>
              <v:rect id="_x0000_s1337" style="position:absolute;left:6637;top:3367;width:35;height:655" fillcolor="#34cc33" stroked="f"/>
              <v:rect id="_x0000_s1338" style="position:absolute;left:6672;top:3367;width:37;height:655" fillcolor="#36ce35" stroked="f"/>
              <v:rect id="_x0000_s1339" style="position:absolute;left:6709;top:3367;width:44;height:655" fillcolor="#38ce35" stroked="f"/>
              <v:rect id="_x0000_s1340" style="position:absolute;left:6753;top:3367;width:28;height:655" fillcolor="#3acf36" stroked="f"/>
              <v:rect id="_x0000_s1341" style="position:absolute;left:6781;top:3367;width:37;height:655" fillcolor="#3cd037" stroked="f"/>
              <v:rect id="_x0000_s1342" style="position:absolute;left:6818;top:3367;width:37;height:655" fillcolor="#3ed239" stroked="f"/>
              <v:rect id="_x0000_s1343" style="position:absolute;left:6855;top:3367;width:44;height:655" fillcolor="#40d239" stroked="f"/>
              <v:rect id="_x0000_s1344" style="position:absolute;left:6899;top:3367;width:28;height:655" fillcolor="#42d33a" stroked="f"/>
              <v:rect id="_x0000_s1345" style="position:absolute;left:6927;top:3367;width:37;height:655" fillcolor="#44d43b" stroked="f"/>
              <v:rect id="_x0000_s1346" style="position:absolute;left:6964;top:3367;width:37;height:655" fillcolor="#46d63d" stroked="f"/>
              <v:rect id="_x0000_s1347" style="position:absolute;left:7001;top:3367;width:44;height:655" fillcolor="#48d63d" stroked="f"/>
              <v:rect id="_x0000_s1348" style="position:absolute;left:7045;top:3367;width:28;height:655" fillcolor="#4ad73e" stroked="f"/>
              <v:rect id="_x0000_s1349" style="position:absolute;left:7073;top:3367;width:37;height:655" fillcolor="#4cd83f" stroked="f"/>
            </v:group>
            <v:rect id="_x0000_s1350" style="position:absolute;left:7110;top:3367;width:38;height:655" fillcolor="#4eda41" stroked="f"/>
            <v:rect id="_x0000_s1351" style="position:absolute;left:7148;top:3367;width:43;height:655" fillcolor="#50da41" stroked="f"/>
            <v:rect id="_x0000_s1352" style="position:absolute;left:7191;top:3367;width:37;height:655" fillcolor="#52db42" stroked="f"/>
            <v:rect id="_x0000_s1353" style="position:absolute;left:7228;top:3367;width:35;height:655" fillcolor="#54dd44" stroked="f"/>
            <v:rect id="_x0000_s1354" style="position:absolute;left:7263;top:3367;width:31;height:655" fillcolor="#56de45" stroked="f"/>
            <v:rect id="_x0000_s1355" style="position:absolute;left:7294;top:3367;width:43;height:655" fillcolor="#58de45" stroked="f"/>
            <v:rect id="_x0000_s1356" style="position:absolute;left:7337;top:3367;width:35;height:655" fillcolor="#5adf46" stroked="f"/>
            <v:rect id="_x0000_s1357" style="position:absolute;left:7372;top:3367;width:37;height:655" fillcolor="#5ce148" stroked="f"/>
            <v:rect id="_x0000_s1358" style="position:absolute;left:7409;top:3367;width:31;height:655" fillcolor="#5ee249" stroked="f"/>
            <v:rect id="_x0000_s1359" style="position:absolute;left:7440;top:3367;width:44;height:655" fillcolor="#60e249" stroked="f"/>
            <v:rect id="_x0000_s1360" style="position:absolute;left:7484;top:3367;width:35;height:655" fillcolor="#62e34a" stroked="f"/>
            <v:rect id="_x0000_s1361" style="position:absolute;left:7519;top:3367;width:37;height:655" fillcolor="#64e54c" stroked="f"/>
            <v:rect id="_x0000_s1362" style="position:absolute;left:7556;top:3367;width:28;height:655" fillcolor="#66e64d" stroked="f"/>
            <v:rect id="_x0000_s1363" style="position:absolute;left:7584;top:3367;width:46;height:655" fillcolor="#68e64d" stroked="f"/>
            <v:rect id="_x0000_s1364" style="position:absolute;left:7630;top:3367;width:35;height:655" fillcolor="#6ae74e" stroked="f"/>
            <v:rect id="_x0000_s1365" style="position:absolute;left:7665;top:3367;width:37;height:655" fillcolor="#6ce950" stroked="f"/>
            <v:rect id="_x0000_s1366" style="position:absolute;left:7702;top:3367;width:28;height:655" fillcolor="#6ee950" stroked="f"/>
            <v:rect id="_x0000_s1367" style="position:absolute;left:7730;top:3367;width:44;height:655" fillcolor="#70ea51" stroked="f"/>
            <v:rect id="_x0000_s1368" style="position:absolute;left:7774;top:3367;width:37;height:655" fillcolor="#72eb52" stroked="f"/>
            <v:rect id="_x0000_s1369" style="position:absolute;left:7811;top:3367;width:37;height:655" fillcolor="#74ed54" stroked="f"/>
            <v:rect id="_x0000_s1370" style="position:absolute;left:7848;top:3367;width:29;height:655" fillcolor="#76ed54" stroked="f"/>
            <v:rect id="_x0000_s1371" style="position:absolute;left:7877;top:3367;width:43;height:655" fillcolor="#78ee55" stroked="f"/>
            <v:rect id="_x0000_s1372" style="position:absolute;left:7920;top:3367;width:37;height:655" fillcolor="#7aef56" stroked="f"/>
            <v:rect id="_x0000_s1373" style="position:absolute;left:7957;top:3367;width:37;height:655" fillcolor="#7cf158" stroked="f"/>
            <v:rect id="_x0000_s1374" style="position:absolute;left:7994;top:3367;width:29;height:655" fillcolor="#7ef158" stroked="f"/>
            <v:rect id="_x0000_s1375" style="position:absolute;left:8023;top:3367;width:43;height:655" fillcolor="#80f259" stroked="f"/>
            <v:rect id="_x0000_s1376" style="position:absolute;left:8066;top:3367;width:38;height:655" fillcolor="#82f35a" stroked="f"/>
            <v:rect id="_x0000_s1377" style="position:absolute;left:8104;top:3367;width:37;height:655" fillcolor="#84f55c" stroked="f"/>
            <v:rect id="_x0000_s1378" style="position:absolute;left:8141;top:3367;width:43;height:655" fillcolor="#86f55c" stroked="f"/>
            <v:rect id="_x0000_s1379" style="position:absolute;left:8184;top:3367;width:29;height:655" fillcolor="#88f65d" stroked="f"/>
            <v:rect id="_x0000_s1380" style="position:absolute;left:8213;top:3367;width:37;height:655" fillcolor="#8af75e" stroked="f"/>
            <v:rect id="_x0000_s1381" style="position:absolute;left:8250;top:3367;width:37;height:655" fillcolor="#8cf960" stroked="f"/>
            <v:rect id="_x0000_s1382" style="position:absolute;left:8287;top:3367;width:43;height:655" fillcolor="#8ef960" stroked="f"/>
            <v:rect id="_x0000_s1383" style="position:absolute;left:8330;top:3367;width:29;height:655" fillcolor="#90fa61" stroked="f"/>
            <v:rect id="_x0000_s1384" style="position:absolute;left:8359;top:3367;width:37;height:655" fillcolor="#92fb62" stroked="f"/>
            <v:rect id="_x0000_s1385" style="position:absolute;left:8396;top:3367;width:35;height:655" fillcolor="#94fd64" stroked="f"/>
            <v:rect id="_x0000_s1386" style="position:absolute;left:8431;top:3367;width:46;height:655" fillcolor="#96fd64" stroked="f"/>
            <v:rect id="_x0000_s1387" style="position:absolute;left:8477;top:3367;width:24;height:655" fillcolor="#9f6" stroked="f"/>
            <v:rect id="_x0000_s1388" style="position:absolute;left:1445;top:3458;width:7033;height:515" filled="f" stroked="f">
              <v:textbox style="mso-next-textbox:#_x0000_s1388" inset="0,0,0,0">
                <w:txbxContent>
                  <w:p w:rsidR="00B4351F" w:rsidRPr="003D2B4C" w:rsidRDefault="00B4351F" w:rsidP="00A256CB">
                    <w:pPr>
                      <w:spacing w:after="0" w:line="240" w:lineRule="auto"/>
                      <w:rPr>
                        <w:color w:val="FFFFFF"/>
                        <w:sz w:val="16"/>
                        <w:szCs w:val="16"/>
                      </w:rPr>
                    </w:pPr>
                    <w:r w:rsidRPr="003D2B4C">
                      <w:rPr>
                        <w:color w:val="FFFFFF"/>
                        <w:sz w:val="16"/>
                        <w:szCs w:val="16"/>
                      </w:rPr>
                      <w:t>Distribution to all levels is linked to performance and delivery of specified emissions reductions targets</w:t>
                    </w:r>
                  </w:p>
                  <w:p w:rsidR="00B4351F" w:rsidRPr="003D2B4C" w:rsidRDefault="00B4351F" w:rsidP="00A256CB">
                    <w:pPr>
                      <w:spacing w:after="0" w:line="240" w:lineRule="auto"/>
                      <w:rPr>
                        <w:color w:val="FFFFFF"/>
                      </w:rPr>
                    </w:pPr>
                    <w:r w:rsidRPr="003D2B4C">
                      <w:rPr>
                        <w:color w:val="FFFFFF"/>
                        <w:sz w:val="16"/>
                        <w:szCs w:val="16"/>
                      </w:rPr>
                      <w:t>Payment commences at start-up of REDD activities, and disbursed regularly thereafter</w:t>
                    </w:r>
                    <w:r w:rsidRPr="003D2B4C">
                      <w:rPr>
                        <w:vanish/>
                        <w:color w:val="FFFFFF"/>
                      </w:rPr>
                      <w:t>5.2ivitiestsmmary</w:t>
                    </w:r>
                    <w:r w:rsidRPr="003D2B4C">
                      <w:rPr>
                        <w:vanish/>
                        <w:color w:val="FFFFFF"/>
                      </w:rPr>
                      <w:cr/>
                      <w:t>sultant</w:t>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r w:rsidRPr="003D2B4C">
                      <w:rPr>
                        <w:vanish/>
                        <w:color w:val="FFFFFF"/>
                      </w:rPr>
                      <w:pgNum/>
                    </w:r>
                  </w:p>
                </w:txbxContent>
              </v:textbox>
            </v:rect>
            <v:rect id="_x0000_s1389" style="position:absolute;left:3753;top:3596;width:49;height:409;mso-wrap-style:none" filled="f" stroked="f">
              <v:textbox style="mso-next-textbox:#_x0000_s1389;mso-fit-shape-to-text:t" inset="0,0,0,0">
                <w:txbxContent>
                  <w:p w:rsidR="00B4351F" w:rsidRDefault="00B4351F">
                    <w:r>
                      <w:rPr>
                        <w:color w:val="FFFFFF"/>
                        <w:sz w:val="16"/>
                        <w:szCs w:val="16"/>
                      </w:rPr>
                      <w:t>-</w:t>
                    </w:r>
                  </w:p>
                </w:txbxContent>
              </v:textbox>
            </v:rect>
            <v:rect id="_x0000_s1390" style="position:absolute;left:3804;top:3596;width:129;height:491;mso-wrap-style:none" filled="f" stroked="f">
              <v:textbox style="mso-next-textbox:#_x0000_s1390;mso-fit-shape-to-text:t" inset="0,0,0,0">
                <w:txbxContent>
                  <w:p w:rsidR="00B4351F" w:rsidRPr="00514C81" w:rsidRDefault="00B4351F" w:rsidP="00A256CB"/>
                </w:txbxContent>
              </v:textbox>
            </v:rect>
            <v:rect id="_x0000_s1391" style="position:absolute;left:110;top:975;width:1852;height:436;mso-wrap-style:none" filled="f" stroked="f">
              <v:textbox style="mso-next-textbox:#_x0000_s1391;mso-fit-shape-to-text:t" inset="0,0,0,0">
                <w:txbxContent>
                  <w:p w:rsidR="00B4351F" w:rsidRDefault="00B4351F">
                    <w:r>
                      <w:rPr>
                        <w:b/>
                        <w:bCs/>
                        <w:color w:val="000000"/>
                        <w:sz w:val="18"/>
                        <w:szCs w:val="18"/>
                      </w:rPr>
                      <w:t>Chain of REDD payments</w:t>
                    </w:r>
                  </w:p>
                </w:txbxContent>
              </v:textbox>
            </v:rect>
            <v:rect id="_x0000_s1392" style="position:absolute;left:109;top:1170;width:1960;height:17" fillcolor="black" stroked="f"/>
            <v:rect id="_x0000_s1393" style="position:absolute;left:110;top:2148;width:2797;height:436;mso-wrap-style:none" filled="f" stroked="f">
              <v:textbox style="mso-next-textbox:#_x0000_s1393;mso-fit-shape-to-text:t" inset="0,0,0,0">
                <w:txbxContent>
                  <w:p w:rsidR="00B4351F" w:rsidRDefault="00B4351F">
                    <w:r>
                      <w:rPr>
                        <w:b/>
                        <w:bCs/>
                        <w:color w:val="000000"/>
                        <w:sz w:val="18"/>
                        <w:szCs w:val="18"/>
                      </w:rPr>
                      <w:t>Criteria for retention and distribution</w:t>
                    </w:r>
                  </w:p>
                </w:txbxContent>
              </v:textbox>
            </v:rect>
            <v:rect id="_x0000_s1394" style="position:absolute;left:109;top:2343;width:2955;height:17" fillcolor="black" stroked="f"/>
            <v:shape id="_x0000_s1395" type="#_x0000_t75" style="position:absolute;left:1290;top:2425;width:4515;height:653"/>
            <v:shape id="_x0000_s1396" type="#_x0000_t75" style="position:absolute;left:1290;top:2425;width:4515;height:653"/>
            <v:rect id="_x0000_s1397" style="position:absolute;left:1318;top:2453;width:906;height:559" fillcolor="#030" stroked="f"/>
            <v:rect id="_x0000_s1398" style="position:absolute;left:2224;top:2453;width:52;height:559" fillcolor="#003500" stroked="f"/>
            <v:rect id="_x0000_s1399" style="position:absolute;left:2276;top:2453;width:35;height:559" fillcolor="#003700" stroked="f"/>
            <v:rect id="_x0000_s1400" style="position:absolute;left:2311;top:2453;width:35;height:559" fillcolor="#003900" stroked="f"/>
            <v:rect id="_x0000_s1401" style="position:absolute;left:2346;top:2453;width:50;height:559" fillcolor="#003b00" stroked="f"/>
            <v:rect id="_x0000_s1402" style="position:absolute;left:2396;top:2453;width:35;height:559" fillcolor="#003d00" stroked="f"/>
            <v:rect id="_x0000_s1403" style="position:absolute;left:2431;top:2453;width:35;height:559" fillcolor="#003f00" stroked="f"/>
            <v:rect id="_x0000_s1404" style="position:absolute;left:2466;top:2453;width:53;height:559" fillcolor="#004100" stroked="f"/>
            <v:rect id="_x0000_s1405" style="position:absolute;left:2519;top:2453;width:32;height:559" fillcolor="#004300" stroked="f"/>
            <v:rect id="_x0000_s1406" style="position:absolute;left:2551;top:2453;width:35;height:559" fillcolor="#004500" stroked="f"/>
            <v:rect id="_x0000_s1407" style="position:absolute;left:2586;top:2453;width:53;height:559" fillcolor="#004700" stroked="f"/>
            <v:rect id="_x0000_s1408" style="position:absolute;left:2639;top:2453;width:35;height:559" fillcolor="#004900" stroked="f"/>
            <v:rect id="_x0000_s1409" style="position:absolute;left:2674;top:2453;width:34;height:559" fillcolor="#004b00" stroked="f"/>
            <v:rect id="_x0000_s1410" style="position:absolute;left:2708;top:2453;width:33;height:559" fillcolor="#004d00" stroked="f"/>
            <v:rect id="_x0000_s1411" style="position:absolute;left:2741;top:2453;width:53;height:559" fillcolor="#004f00" stroked="f"/>
            <v:rect id="_x0000_s1412" style="position:absolute;left:2794;top:2453;width:34;height:559" fillcolor="#005100" stroked="f"/>
            <v:rect id="_x0000_s1413" style="position:absolute;left:2828;top:2453;width:35;height:559" fillcolor="#005300" stroked="f"/>
            <v:rect id="_x0000_s1414" style="position:absolute;left:2863;top:2453;width:51;height:559" fillcolor="#050" stroked="f"/>
            <v:rect id="_x0000_s1415" style="position:absolute;left:2914;top:2453;width:35;height:559" fillcolor="#005700" stroked="f"/>
            <v:rect id="_x0000_s1416" style="position:absolute;left:2949;top:2453;width:34;height:559" fillcolor="#005900" stroked="f"/>
            <v:rect id="_x0000_s1417" style="position:absolute;left:2983;top:2453;width:53;height:559" fillcolor="#005b00" stroked="f"/>
            <v:rect id="_x0000_s1418" style="position:absolute;left:3036;top:2453;width:35;height:559" fillcolor="#005d00" stroked="f"/>
            <v:rect id="_x0000_s1419" style="position:absolute;left:3071;top:2453;width:32;height:559" fillcolor="#005f00" stroked="f"/>
            <v:rect id="_x0000_s1420" style="position:absolute;left:3103;top:2453;width:53;height:559" fillcolor="#006100" stroked="f"/>
            <v:rect id="_x0000_s1421" style="position:absolute;left:3156;top:2453;width:35;height:559" fillcolor="#006300" stroked="f"/>
            <v:rect id="_x0000_s1422" style="position:absolute;left:3191;top:2453;width:35;height:559" fillcolor="#006500" stroked="f"/>
            <v:rect id="_x0000_s1423" style="position:absolute;left:3226;top:2453;width:35;height:559" fillcolor="#006700" stroked="f"/>
            <v:rect id="_x0000_s1424" style="position:absolute;left:3261;top:2453;width:50;height:559" fillcolor="#006900" stroked="f"/>
            <v:rect id="_x0000_s1425" style="position:absolute;left:3311;top:2453;width:35;height:559" fillcolor="#006b00" stroked="f"/>
            <v:rect id="_x0000_s1426" style="position:absolute;left:3346;top:2453;width:35;height:559" fillcolor="#006d00" stroked="f"/>
            <v:rect id="_x0000_s1427" style="position:absolute;left:3381;top:2453;width:52;height:559" fillcolor="#006f00" stroked="f"/>
            <v:rect id="_x0000_s1428" style="position:absolute;left:3433;top:2453;width:33;height:559" fillcolor="#007100" stroked="f"/>
            <v:rect id="_x0000_s1429" style="position:absolute;left:3466;top:2453;width:35;height:559" fillcolor="#007300" stroked="f"/>
            <v:rect id="_x0000_s1430" style="position:absolute;left:3501;top:2453;width:52;height:559" fillcolor="#007500" stroked="f"/>
            <v:rect id="_x0000_s1431" style="position:absolute;left:3553;top:2453;width:35;height:559" fillcolor="#070" stroked="f"/>
            <v:rect id="_x0000_s1432" style="position:absolute;left:3588;top:2453;width:35;height:559" fillcolor="#007900" stroked="f"/>
            <v:rect id="_x0000_s1433" style="position:absolute;left:3623;top:2453;width:50;height:559" fillcolor="#007b00" stroked="f"/>
            <v:rect id="_x0000_s1434" style="position:absolute;left:3673;top:2453;width:35;height:559" fillcolor="#007d00" stroked="f"/>
            <v:rect id="_x0000_s1435" style="position:absolute;left:3708;top:2453;width:35;height:559" fillcolor="#007f00" stroked="f"/>
            <v:rect id="_x0000_s1436" style="position:absolute;left:3743;top:2453;width:35;height:559" fillcolor="#008100" stroked="f"/>
            <v:rect id="_x0000_s1437" style="position:absolute;left:3778;top:2453;width:50;height:559" fillcolor="#008300" stroked="f"/>
            <v:rect id="_x0000_s1438" style="position:absolute;left:3828;top:2453;width:35;height:559" fillcolor="#008500" stroked="f"/>
            <v:rect id="_x0000_s1439" style="position:absolute;left:3863;top:2453;width:35;height:559" fillcolor="#008700" stroked="f"/>
            <v:rect id="_x0000_s1440" style="position:absolute;left:3898;top:2453;width:52;height:559" fillcolor="#008900" stroked="f"/>
            <v:rect id="_x0000_s1441" style="position:absolute;left:3950;top:2453;width:35;height:559" fillcolor="#008b00" stroked="f"/>
            <v:rect id="_x0000_s1442" style="position:absolute;left:3985;top:2453;width:33;height:559" fillcolor="#008d00" stroked="f"/>
            <v:rect id="_x0000_s1443" style="position:absolute;left:4018;top:2453;width:52;height:559" fillcolor="#008f00" stroked="f"/>
            <v:rect id="_x0000_s1444" style="position:absolute;left:4070;top:2453;width:35;height:559" fillcolor="#009100" stroked="f"/>
            <v:rect id="_x0000_s1445" style="position:absolute;left:4105;top:2453;width:35;height:559" fillcolor="#009300" stroked="f"/>
            <v:rect id="_x0000_s1446" style="position:absolute;left:4140;top:2453;width:53;height:559" fillcolor="#009500" stroked="f"/>
            <v:rect id="_x0000_s1447" style="position:absolute;left:4193;top:2453;width:32;height:559" fillcolor="#009700" stroked="f"/>
            <v:rect id="_x0000_s1448" style="position:absolute;left:4225;top:2453;width:35;height:559" fillcolor="#090" stroked="f"/>
            <v:rect id="_x0000_s1449" style="position:absolute;left:4260;top:2453;width:22;height:559" fillcolor="#029b02" stroked="f"/>
            <v:rect id="_x0000_s1450" style="position:absolute;left:4282;top:2453;width:31;height:559" fillcolor="#049d04" stroked="f"/>
            <v:rect id="_x0000_s1451" style="position:absolute;left:4313;top:2453;width:34;height:559" fillcolor="#069f06" stroked="f"/>
            <v:rect id="_x0000_s1452" style="position:absolute;left:4347;top:2453;width:31;height:559" fillcolor="#08a108" stroked="f"/>
            <v:rect id="_x0000_s1453" style="position:absolute;left:4378;top:2453;width:20;height:559" fillcolor="#0aa30a" stroked="f"/>
            <v:rect id="_x0000_s1454" style="position:absolute;left:4398;top:2453;width:35;height:559" fillcolor="#0ca50c" stroked="f"/>
            <v:rect id="_x0000_s1455" style="position:absolute;left:4433;top:2453;width:35;height:559" fillcolor="#0ea70e" stroked="f"/>
            <v:rect id="_x0000_s1456" style="position:absolute;left:4468;top:2453;width:21;height:559" fillcolor="#10a910" stroked="f"/>
            <v:rect id="_x0000_s1457" style="position:absolute;left:4489;top:2453;width:31;height:559" fillcolor="#12ab12" stroked="f"/>
            <v:rect id="_x0000_s1458" style="position:absolute;left:4520;top:2453;width:35;height:559" fillcolor="#14ad14" stroked="f"/>
            <v:rect id="_x0000_s1459" style="position:absolute;left:4555;top:2453;width:28;height:559" fillcolor="#16af16" stroked="f"/>
            <v:rect id="_x0000_s1460" style="position:absolute;left:4583;top:2453;width:22;height:559" fillcolor="#18b118" stroked="f"/>
            <v:rect id="_x0000_s1461" style="position:absolute;left:4605;top:2453;width:35;height:559" fillcolor="#1ab31a" stroked="f"/>
            <v:rect id="_x0000_s1462" style="position:absolute;left:4640;top:2453;width:30;height:559" fillcolor="#1cb51c" stroked="f"/>
            <v:rect id="_x0000_s1463" style="position:absolute;left:4670;top:2453;width:22;height:559" fillcolor="#1eb71e" stroked="f"/>
            <v:rect id="_x0000_s1464" style="position:absolute;left:4692;top:2453;width:35;height:559" fillcolor="#20b920" stroked="f"/>
            <v:rect id="_x0000_s1465" style="position:absolute;left:4727;top:2453;width:33;height:559" fillcolor="#2b2" stroked="f"/>
            <v:rect id="_x0000_s1466" style="position:absolute;left:4760;top:2453;width:22;height:559" fillcolor="#24bd24" stroked="f"/>
            <v:rect id="_x0000_s1467" style="position:absolute;left:4782;top:2453;width:30;height:559" fillcolor="#26bf26" stroked="f"/>
            <v:rect id="_x0000_s1468" style="position:absolute;left:4812;top:2453;width:35;height:559" fillcolor="#28c128" stroked="f"/>
            <v:rect id="_x0000_s1469" style="position:absolute;left:4847;top:2453;width:31;height:559" fillcolor="#2ac32a" stroked="f"/>
            <v:rect id="_x0000_s1470" style="position:absolute;left:4878;top:2453;width:22;height:559" fillcolor="#2cc52c" stroked="f"/>
            <v:rect id="_x0000_s1471" style="position:absolute;left:4900;top:2453;width:32;height:559" fillcolor="#2ec72e" stroked="f"/>
            <v:rect id="_x0000_s1472" style="position:absolute;left:4932;top:2453;width:35;height:559" fillcolor="#30c930" stroked="f"/>
            <v:rect id="_x0000_s1473" style="position:absolute;left:4967;top:2453;width:22;height:559" fillcolor="#32cb32" stroked="f"/>
            <v:rect id="_x0000_s1474" style="position:absolute;left:4989;top:2453;width:31;height:559" fillcolor="#34cd34" stroked="f"/>
            <v:rect id="_x0000_s1475" style="position:absolute;left:5020;top:2453;width:35;height:559" fillcolor="#36cf36" stroked="f"/>
            <v:rect id="_x0000_s1476" style="position:absolute;left:5055;top:2453;width:30;height:559" fillcolor="#38d138" stroked="f"/>
            <v:rect id="_x0000_s1477" style="position:absolute;left:5085;top:2453;width:22;height:559" fillcolor="#3ad33a" stroked="f"/>
            <v:rect id="_x0000_s1478" style="position:absolute;left:5107;top:2453;width:33;height:559" fillcolor="#3cd53c" stroked="f"/>
            <v:rect id="_x0000_s1479" style="position:absolute;left:5140;top:2453;width:35;height:559" fillcolor="#3ed73e" stroked="f"/>
            <v:rect id="_x0000_s1480" style="position:absolute;left:5175;top:2453;width:21;height:559" fillcolor="#40d940" stroked="f"/>
            <v:rect id="_x0000_s1481" style="position:absolute;left:5196;top:2453;width:31;height:559" fillcolor="#42db42" stroked="f"/>
            <v:rect id="_x0000_s1482" style="position:absolute;left:5227;top:2453;width:35;height:559" fillcolor="#4d4" stroked="f"/>
            <v:rect id="_x0000_s1483" style="position:absolute;left:5262;top:2453;width:22;height:559" fillcolor="#46df46" stroked="f"/>
            <v:rect id="_x0000_s1484" style="position:absolute;left:5284;top:2453;width:28;height:559" fillcolor="#48e148" stroked="f"/>
            <v:rect id="_x0000_s1485" style="position:absolute;left:5312;top:2453;width:35;height:559" fillcolor="#4ae34a" stroked="f"/>
            <v:rect id="_x0000_s1486" style="position:absolute;left:5347;top:2453;width:31;height:559" fillcolor="#4ce54c" stroked="f"/>
            <v:rect id="_x0000_s1487" style="position:absolute;left:5378;top:2453;width:21;height:559" fillcolor="#4ee74e" stroked="f"/>
            <v:rect id="_x0000_s1488" style="position:absolute;left:5399;top:2453;width:35;height:559" fillcolor="#50e950" stroked="f"/>
            <v:rect id="_x0000_s1489" style="position:absolute;left:5434;top:2453;width:35;height:559" fillcolor="#52eb52" stroked="f"/>
            <v:rect id="_x0000_s1490" style="position:absolute;left:5469;top:2453;width:20;height:559" fillcolor="#54ed54" stroked="f"/>
            <v:rect id="_x0000_s1491" style="position:absolute;left:5489;top:2453;width:30;height:559" fillcolor="#56ef56" stroked="f"/>
            <v:rect id="_x0000_s1492" style="position:absolute;left:5519;top:2453;width:35;height:559" fillcolor="#58f158" stroked="f"/>
            <v:rect id="_x0000_s1493" style="position:absolute;left:5554;top:2453;width:31;height:559" fillcolor="#5af35a" stroked="f"/>
            <v:rect id="_x0000_s1494" style="position:absolute;left:5585;top:2453;width:22;height:559" fillcolor="#5cf55c" stroked="f"/>
            <v:rect id="_x0000_s1495" style="position:absolute;left:5607;top:2453;width:35;height:559" fillcolor="#5ef75e" stroked="f"/>
            <v:rect id="_x0000_s1496" style="position:absolute;left:5642;top:2453;width:32;height:559" fillcolor="#60f960" stroked="f"/>
            <v:rect id="_x0000_s1497" style="position:absolute;left:5674;top:2453;width:22;height:559" fillcolor="#62fb62" stroked="f"/>
            <v:rect id="_x0000_s1498" style="position:absolute;left:5696;top:2453;width:31;height:559" fillcolor="#64fd64" stroked="f"/>
            <v:rect id="_x0000_s1499" style="position:absolute;left:5727;top:2453;width:11;height:559" fillcolor="#6f6" stroked="f"/>
            <v:shape id="_x0000_s1500" style="position:absolute;left:1309;top:2445;width:4436;height:576" coordsize="16259,2159" path="m,34hdc,15,15,,33,hal16226,hdc16244,,16259,15,16259,34hal16259,2126hdc16259,2144,16244,2159,16226,2159hal33,2159hdc15,2159,,2144,,2126hal,34hdxm67,2126hal33,2093r16193,l16192,2126r,-2092l16226,67,33,67,67,34r,2092hdxe" fillcolor="#4f6228" strokecolor="#4f6228" strokeweight="0">
              <v:path arrowok="t"/>
              <o:lock v:ext="edit" verticies="t"/>
            </v:shape>
            <v:rect id="_x0000_s1501" style="position:absolute;left:2472;top:2540;width:2068;height:409;mso-wrap-style:none" filled="f" stroked="f">
              <v:textbox style="mso-next-textbox:#_x0000_s1501;mso-fit-shape-to-text:t" inset="0,0,0,0">
                <w:txbxContent>
                  <w:p w:rsidR="00B4351F" w:rsidRDefault="00B4351F">
                    <w:r>
                      <w:rPr>
                        <w:color w:val="FFFFFF"/>
                        <w:sz w:val="16"/>
                        <w:szCs w:val="16"/>
                      </w:rPr>
                      <w:t xml:space="preserve">Amount or % retained based on </w:t>
                    </w:r>
                  </w:p>
                </w:txbxContent>
              </v:textbox>
            </v:rect>
            <v:rect id="_x0000_s1502" style="position:absolute;left:2407;top:2732;width:2201;height:409;mso-wrap-style:none" filled="f" stroked="f">
              <v:textbox style="mso-next-textbox:#_x0000_s1502;mso-fit-shape-to-text:t" inset="0,0,0,0">
                <w:txbxContent>
                  <w:p w:rsidR="00B4351F" w:rsidRDefault="00B4351F">
                    <w:r>
                      <w:rPr>
                        <w:color w:val="FFFFFF"/>
                        <w:sz w:val="16"/>
                        <w:szCs w:val="16"/>
                      </w:rPr>
                      <w:t>admissible costs + REDD premium</w:t>
                    </w:r>
                  </w:p>
                </w:txbxContent>
              </v:textbox>
            </v:rect>
            <w10:wrap type="none"/>
            <w10:anchorlock/>
          </v:group>
        </w:pict>
      </w:r>
    </w:p>
    <w:p w:rsidR="00A37267" w:rsidRPr="00445F77" w:rsidRDefault="00A37267" w:rsidP="00A37267">
      <w:pPr>
        <w:pStyle w:val="Heading3"/>
        <w:rPr>
          <w:rFonts w:ascii="Arial" w:hAnsi="Arial" w:cs="Arial"/>
        </w:rPr>
      </w:pPr>
      <w:bookmarkStart w:id="396" w:name="_Toc243740843"/>
      <w:bookmarkStart w:id="397" w:name="_Toc243984153"/>
      <w:bookmarkStart w:id="398" w:name="_Toc244327679"/>
      <w:bookmarkStart w:id="399" w:name="_Toc244327929"/>
      <w:bookmarkStart w:id="400" w:name="_Toc244735089"/>
      <w:bookmarkStart w:id="401" w:name="_Toc249079563"/>
      <w:bookmarkStart w:id="402" w:name="_Toc243740856"/>
      <w:bookmarkEnd w:id="386"/>
      <w:bookmarkEnd w:id="387"/>
      <w:bookmarkEnd w:id="388"/>
      <w:bookmarkEnd w:id="389"/>
      <w:bookmarkEnd w:id="390"/>
      <w:r w:rsidRPr="00445F77">
        <w:rPr>
          <w:rFonts w:ascii="Arial" w:hAnsi="Arial" w:cs="Arial"/>
        </w:rPr>
        <w:t>Revenue retention by government</w:t>
      </w:r>
      <w:bookmarkEnd w:id="396"/>
      <w:bookmarkEnd w:id="397"/>
      <w:bookmarkEnd w:id="398"/>
      <w:bookmarkEnd w:id="399"/>
      <w:bookmarkEnd w:id="400"/>
      <w:bookmarkEnd w:id="401"/>
    </w:p>
    <w:p w:rsidR="00A37267" w:rsidRPr="001358CE" w:rsidRDefault="00A37267" w:rsidP="00A37267">
      <w:pPr>
        <w:spacing w:after="0" w:line="300" w:lineRule="atLeast"/>
        <w:jc w:val="both"/>
        <w:rPr>
          <w:rFonts w:ascii="Book Antiqua" w:hAnsi="Book Antiqua" w:cs="Arial"/>
        </w:rPr>
      </w:pPr>
      <w:r w:rsidRPr="001358CE">
        <w:rPr>
          <w:rFonts w:ascii="Book Antiqua" w:hAnsi="Book Antiqua" w:cs="Arial"/>
        </w:rPr>
        <w:t xml:space="preserve">The foregoing analysis has made it clear that transactions and implementation costs form an important part of </w:t>
      </w:r>
      <w:r w:rsidR="00480D3D">
        <w:rPr>
          <w:rFonts w:ascii="Book Antiqua" w:hAnsi="Book Antiqua" w:cs="Arial"/>
        </w:rPr>
        <w:t>REDD+</w:t>
      </w:r>
      <w:r w:rsidRPr="001358CE">
        <w:rPr>
          <w:rFonts w:ascii="Book Antiqua" w:hAnsi="Book Antiqua" w:cs="Arial"/>
        </w:rPr>
        <w:t xml:space="preserve"> expenditures. In the case of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 these costs will primarily be incurred by government. A key question relates to balancing the need for cost-recovery and incentives on the part of government with the obvious requirement that the majority of </w:t>
      </w:r>
      <w:r w:rsidR="00480D3D">
        <w:rPr>
          <w:rFonts w:ascii="Book Antiqua" w:hAnsi="Book Antiqua" w:cs="Arial"/>
        </w:rPr>
        <w:t>REDD+</w:t>
      </w:r>
      <w:r w:rsidRPr="001358CE">
        <w:rPr>
          <w:rFonts w:ascii="Book Antiqua" w:hAnsi="Book Antiqua" w:cs="Arial"/>
        </w:rPr>
        <w:t xml:space="preserve"> funds are seen to be spent on actions to reduce deforestation. The issues of performance and cost-effectiveness are also of relevance in relation to programme management and administration. As no standard procedures exist in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 for determining the proportion or amount of national-level environmental funds that are allowed to be retained by government for management and administration, a decision on this will need to be made in relation to </w:t>
      </w:r>
      <w:r w:rsidR="00480D3D">
        <w:rPr>
          <w:rFonts w:ascii="Book Antiqua" w:hAnsi="Book Antiqua" w:cs="Arial"/>
        </w:rPr>
        <w:t>REDD+</w:t>
      </w:r>
      <w:r w:rsidRPr="001358CE">
        <w:rPr>
          <w:rFonts w:ascii="Book Antiqua" w:hAnsi="Book Antiqua" w:cs="Arial"/>
        </w:rPr>
        <w:t xml:space="preserve"> funds.</w:t>
      </w:r>
    </w:p>
    <w:p w:rsidR="00A37267" w:rsidRPr="001358CE" w:rsidRDefault="00A37267" w:rsidP="00A37267">
      <w:pPr>
        <w:spacing w:after="0" w:line="300" w:lineRule="atLeast"/>
        <w:jc w:val="both"/>
        <w:rPr>
          <w:rFonts w:ascii="Book Antiqua" w:hAnsi="Book Antiqua" w:cs="Arial"/>
        </w:rPr>
      </w:pPr>
    </w:p>
    <w:p w:rsidR="00A37267" w:rsidRPr="001358CE" w:rsidRDefault="00A37267" w:rsidP="00A37267">
      <w:pPr>
        <w:spacing w:after="0" w:line="300" w:lineRule="atLeast"/>
        <w:jc w:val="both"/>
        <w:rPr>
          <w:rFonts w:ascii="Book Antiqua" w:hAnsi="Book Antiqua" w:cs="Arial"/>
          <w:b/>
          <w:bCs/>
        </w:rPr>
      </w:pPr>
      <w:r w:rsidRPr="001358CE">
        <w:rPr>
          <w:rFonts w:ascii="Book Antiqua" w:hAnsi="Book Antiqua" w:cs="Arial"/>
          <w:b/>
          <w:bCs/>
        </w:rPr>
        <w:t xml:space="preserve">It is recommended that the specified amount or percentage of revenues retained by government should be performance-based, and set at a level which approximates closely to actual transactions and implementation costs, plus a small incentive for participation in </w:t>
      </w:r>
      <w:r w:rsidR="00480D3D">
        <w:rPr>
          <w:rFonts w:ascii="Book Antiqua" w:hAnsi="Book Antiqua" w:cs="Arial"/>
          <w:b/>
          <w:bCs/>
        </w:rPr>
        <w:t>REDD+</w:t>
      </w:r>
      <w:r w:rsidRPr="001358CE">
        <w:rPr>
          <w:rFonts w:ascii="Book Antiqua" w:hAnsi="Book Antiqua" w:cs="Arial"/>
          <w:b/>
          <w:bCs/>
        </w:rPr>
        <w:t>.</w:t>
      </w:r>
    </w:p>
    <w:p w:rsidR="00A37267" w:rsidRPr="001358CE" w:rsidRDefault="00A37267" w:rsidP="00A37267">
      <w:pPr>
        <w:spacing w:after="0" w:line="300" w:lineRule="atLeast"/>
        <w:jc w:val="both"/>
        <w:rPr>
          <w:rFonts w:ascii="Book Antiqua" w:hAnsi="Book Antiqua" w:cs="Arial"/>
        </w:rPr>
      </w:pPr>
    </w:p>
    <w:p w:rsidR="00A37267" w:rsidRPr="001358CE" w:rsidRDefault="00A37267" w:rsidP="00A37267">
      <w:pPr>
        <w:spacing w:after="0" w:line="300" w:lineRule="atLeast"/>
        <w:jc w:val="both"/>
        <w:rPr>
          <w:rFonts w:ascii="Book Antiqua" w:hAnsi="Book Antiqua" w:cs="Arial"/>
        </w:rPr>
      </w:pPr>
      <w:r w:rsidRPr="001358CE">
        <w:rPr>
          <w:rFonts w:ascii="Book Antiqua" w:hAnsi="Book Antiqua" w:cs="Arial"/>
        </w:rPr>
        <w:t xml:space="preserve">As part of its commitment to establishing a world-class payment distribution system, the GoV should indicate that the revenues to be retained by government will be limited to actual implementation and transactions costs, against agreed budgets. </w:t>
      </w:r>
    </w:p>
    <w:p w:rsidR="00A37267" w:rsidRPr="001358CE" w:rsidRDefault="00A37267" w:rsidP="00A37267">
      <w:pPr>
        <w:spacing w:after="0" w:line="300" w:lineRule="atLeast"/>
        <w:jc w:val="both"/>
        <w:rPr>
          <w:rFonts w:ascii="Book Antiqua" w:hAnsi="Book Antiqua" w:cs="Arial"/>
        </w:rPr>
      </w:pPr>
    </w:p>
    <w:p w:rsidR="00A37267" w:rsidRPr="001358CE" w:rsidRDefault="00A37267" w:rsidP="00A37267">
      <w:pPr>
        <w:spacing w:after="0" w:line="300" w:lineRule="atLeast"/>
        <w:jc w:val="both"/>
        <w:rPr>
          <w:rFonts w:ascii="Book Antiqua" w:hAnsi="Book Antiqua" w:cs="Arial"/>
        </w:rPr>
      </w:pPr>
      <w:r w:rsidRPr="001358CE">
        <w:rPr>
          <w:rFonts w:ascii="Book Antiqua" w:hAnsi="Book Antiqua" w:cs="Arial"/>
        </w:rPr>
        <w:t xml:space="preserve">In order to effect this arrangement, it will be necessary to review the likely costs of managing and administering the national </w:t>
      </w:r>
      <w:r w:rsidR="00480D3D">
        <w:rPr>
          <w:rFonts w:ascii="Book Antiqua" w:hAnsi="Book Antiqua" w:cs="Arial"/>
        </w:rPr>
        <w:t>REDD+</w:t>
      </w:r>
      <w:r w:rsidRPr="001358CE">
        <w:rPr>
          <w:rFonts w:ascii="Book Antiqua" w:hAnsi="Book Antiqua" w:cs="Arial"/>
        </w:rPr>
        <w:t xml:space="preserve"> programme at different levels of scale. These calculations, and indicative retention levels, will form a component of a</w:t>
      </w:r>
      <w:r w:rsidR="00B54274">
        <w:rPr>
          <w:rFonts w:ascii="Book Antiqua" w:hAnsi="Book Antiqua" w:cs="Arial"/>
        </w:rPr>
        <w:t>n on-going</w:t>
      </w:r>
      <w:r w:rsidRPr="001358CE">
        <w:rPr>
          <w:rFonts w:ascii="Book Antiqua" w:hAnsi="Book Antiqua" w:cs="Arial"/>
        </w:rPr>
        <w:t xml:space="preserve"> workplan.</w:t>
      </w:r>
    </w:p>
    <w:p w:rsidR="00A37267" w:rsidRPr="00A37267" w:rsidRDefault="00A37267" w:rsidP="00A37267">
      <w:pPr>
        <w:sectPr w:rsidR="00A37267" w:rsidRPr="00A37267" w:rsidSect="00A256CB">
          <w:headerReference w:type="default" r:id="rId30"/>
          <w:pgSz w:w="11907" w:h="16840" w:code="9"/>
          <w:pgMar w:top="1440" w:right="1418" w:bottom="1440" w:left="1701" w:header="720" w:footer="720" w:gutter="0"/>
          <w:cols w:space="720"/>
          <w:docGrid w:linePitch="360"/>
        </w:sectPr>
      </w:pPr>
    </w:p>
    <w:p w:rsidR="00351F2C" w:rsidRPr="001358CE" w:rsidRDefault="00351F2C" w:rsidP="001358CE">
      <w:pPr>
        <w:pStyle w:val="Caption"/>
        <w:spacing w:after="0"/>
        <w:jc w:val="center"/>
        <w:rPr>
          <w:rFonts w:ascii="Book Antiqua" w:hAnsi="Book Antiqua" w:cs="Arial"/>
          <w:sz w:val="22"/>
          <w:szCs w:val="22"/>
        </w:rPr>
      </w:pPr>
      <w:r w:rsidRPr="001358CE">
        <w:rPr>
          <w:rFonts w:ascii="Book Antiqua" w:hAnsi="Book Antiqua" w:cs="Arial"/>
          <w:sz w:val="22"/>
          <w:szCs w:val="22"/>
        </w:rPr>
        <w:lastRenderedPageBreak/>
        <w:t xml:space="preserve">Table 5.3: Summary of recommendations for </w:t>
      </w:r>
      <w:r w:rsidR="00480D3D">
        <w:rPr>
          <w:rFonts w:ascii="Book Antiqua" w:hAnsi="Book Antiqua" w:cs="Arial"/>
          <w:sz w:val="22"/>
          <w:szCs w:val="22"/>
        </w:rPr>
        <w:t>REDD+</w:t>
      </w:r>
      <w:r w:rsidRPr="001358CE">
        <w:rPr>
          <w:rFonts w:ascii="Book Antiqua" w:hAnsi="Book Antiqua" w:cs="Arial"/>
          <w:sz w:val="22"/>
          <w:szCs w:val="22"/>
        </w:rPr>
        <w:t xml:space="preserve"> costs and retention</w:t>
      </w:r>
      <w:bookmarkEnd w:id="402"/>
    </w:p>
    <w:tbl>
      <w:tblPr>
        <w:tblW w:w="5000" w:type="pct"/>
        <w:tblBorders>
          <w:insideH w:val="single" w:sz="24" w:space="0" w:color="FFFFFF"/>
          <w:insideV w:val="single" w:sz="24" w:space="0" w:color="FFFFFF"/>
        </w:tblBorders>
        <w:tblLook w:val="00A0"/>
      </w:tblPr>
      <w:tblGrid>
        <w:gridCol w:w="1789"/>
        <w:gridCol w:w="4894"/>
        <w:gridCol w:w="4077"/>
        <w:gridCol w:w="3416"/>
      </w:tblGrid>
      <w:tr w:rsidR="00351F2C" w:rsidRPr="00445F77">
        <w:trPr>
          <w:tblHeader/>
        </w:trPr>
        <w:tc>
          <w:tcPr>
            <w:tcW w:w="631" w:type="pct"/>
            <w:tcBorders>
              <w:top w:val="nil"/>
              <w:bottom w:val="single" w:sz="24" w:space="0" w:color="FFFFFF"/>
              <w:right w:val="single" w:sz="24" w:space="0" w:color="FFFFFF"/>
            </w:tcBorders>
            <w:shd w:val="clear" w:color="auto" w:fill="365F91"/>
            <w:vAlign w:val="center"/>
          </w:tcPr>
          <w:p w:rsidR="00351F2C" w:rsidRPr="001358CE" w:rsidRDefault="00351F2C" w:rsidP="001358CE">
            <w:pPr>
              <w:spacing w:after="0"/>
              <w:jc w:val="center"/>
              <w:rPr>
                <w:rFonts w:ascii="Book Antiqua" w:hAnsi="Book Antiqua" w:cs="Arial"/>
                <w:b/>
                <w:bCs/>
                <w:color w:val="FFFFFF"/>
              </w:rPr>
            </w:pPr>
            <w:r w:rsidRPr="001358CE">
              <w:rPr>
                <w:rFonts w:ascii="Book Antiqua" w:hAnsi="Book Antiqua" w:cs="Arial"/>
                <w:b/>
                <w:bCs/>
                <w:color w:val="FFFFFF"/>
              </w:rPr>
              <w:t>Issue</w:t>
            </w:r>
          </w:p>
        </w:tc>
        <w:tc>
          <w:tcPr>
            <w:tcW w:w="1726" w:type="pct"/>
            <w:tcBorders>
              <w:top w:val="nil"/>
              <w:left w:val="single" w:sz="24" w:space="0" w:color="FFFFFF"/>
              <w:bottom w:val="single" w:sz="24" w:space="0" w:color="FFFFFF"/>
              <w:right w:val="single" w:sz="24" w:space="0" w:color="FFFFFF"/>
            </w:tcBorders>
            <w:shd w:val="clear" w:color="auto" w:fill="365F91"/>
            <w:vAlign w:val="center"/>
          </w:tcPr>
          <w:p w:rsidR="00351F2C" w:rsidRPr="001358CE" w:rsidRDefault="00351F2C" w:rsidP="001358CE">
            <w:pPr>
              <w:spacing w:after="0"/>
              <w:jc w:val="center"/>
              <w:rPr>
                <w:rFonts w:ascii="Book Antiqua" w:hAnsi="Book Antiqua" w:cs="Arial"/>
                <w:b/>
                <w:bCs/>
                <w:color w:val="FFFFFF"/>
              </w:rPr>
            </w:pPr>
            <w:r w:rsidRPr="001358CE">
              <w:rPr>
                <w:rFonts w:ascii="Book Antiqua" w:hAnsi="Book Antiqua" w:cs="Arial"/>
                <w:b/>
                <w:bCs/>
                <w:color w:val="FFFFFF"/>
              </w:rPr>
              <w:t>Recommendation</w:t>
            </w:r>
          </w:p>
        </w:tc>
        <w:tc>
          <w:tcPr>
            <w:tcW w:w="1438" w:type="pct"/>
            <w:tcBorders>
              <w:top w:val="nil"/>
              <w:left w:val="single" w:sz="24" w:space="0" w:color="FFFFFF"/>
              <w:bottom w:val="single" w:sz="24" w:space="0" w:color="FFFFFF"/>
              <w:right w:val="single" w:sz="24" w:space="0" w:color="FFFFFF"/>
            </w:tcBorders>
            <w:shd w:val="clear" w:color="auto" w:fill="365F91"/>
            <w:vAlign w:val="center"/>
          </w:tcPr>
          <w:p w:rsidR="00351F2C" w:rsidRPr="001358CE" w:rsidRDefault="00351F2C" w:rsidP="001358CE">
            <w:pPr>
              <w:spacing w:after="0"/>
              <w:jc w:val="center"/>
              <w:rPr>
                <w:rFonts w:ascii="Book Antiqua" w:hAnsi="Book Antiqua" w:cs="Arial"/>
                <w:b/>
                <w:bCs/>
                <w:color w:val="FFFFFF"/>
              </w:rPr>
            </w:pPr>
            <w:r w:rsidRPr="001358CE">
              <w:rPr>
                <w:rFonts w:ascii="Book Antiqua" w:hAnsi="Book Antiqua" w:cs="Arial"/>
                <w:b/>
                <w:bCs/>
                <w:color w:val="FFFFFF"/>
              </w:rPr>
              <w:t>Policy action</w:t>
            </w:r>
          </w:p>
        </w:tc>
        <w:tc>
          <w:tcPr>
            <w:tcW w:w="1205" w:type="pct"/>
            <w:tcBorders>
              <w:top w:val="nil"/>
              <w:left w:val="single" w:sz="24" w:space="0" w:color="FFFFFF"/>
              <w:bottom w:val="single" w:sz="24" w:space="0" w:color="FFFFFF"/>
            </w:tcBorders>
            <w:shd w:val="clear" w:color="auto" w:fill="365F91"/>
            <w:vAlign w:val="center"/>
          </w:tcPr>
          <w:p w:rsidR="00351F2C" w:rsidRPr="001358CE" w:rsidRDefault="00351F2C" w:rsidP="00B54274">
            <w:pPr>
              <w:spacing w:after="0"/>
              <w:jc w:val="center"/>
              <w:rPr>
                <w:rFonts w:ascii="Book Antiqua" w:hAnsi="Book Antiqua" w:cs="Arial"/>
                <w:b/>
                <w:bCs/>
                <w:color w:val="FFFFFF"/>
              </w:rPr>
            </w:pPr>
            <w:r w:rsidRPr="001358CE">
              <w:rPr>
                <w:rFonts w:ascii="Book Antiqua" w:hAnsi="Book Antiqua" w:cs="Arial"/>
                <w:b/>
                <w:bCs/>
                <w:color w:val="FFFFFF"/>
              </w:rPr>
              <w:t xml:space="preserve">Items to be factored into </w:t>
            </w:r>
            <w:r w:rsidR="00B54274">
              <w:rPr>
                <w:rFonts w:ascii="Book Antiqua" w:hAnsi="Book Antiqua" w:cs="Arial"/>
                <w:b/>
                <w:bCs/>
                <w:color w:val="FFFFFF"/>
              </w:rPr>
              <w:t>an on-going</w:t>
            </w:r>
            <w:r w:rsidRPr="001358CE">
              <w:rPr>
                <w:rFonts w:ascii="Book Antiqua" w:hAnsi="Book Antiqua" w:cs="Arial"/>
                <w:b/>
                <w:bCs/>
                <w:color w:val="FFFFFF"/>
              </w:rPr>
              <w:t xml:space="preserve"> workplan</w:t>
            </w:r>
          </w:p>
        </w:tc>
      </w:tr>
      <w:tr w:rsidR="00351F2C" w:rsidRPr="00445F77">
        <w:tc>
          <w:tcPr>
            <w:tcW w:w="631" w:type="pct"/>
            <w:tcBorders>
              <w:top w:val="single" w:sz="24" w:space="0" w:color="FFFFFF"/>
              <w:bottom w:val="single" w:sz="8" w:space="0" w:color="FFFFFF"/>
              <w:right w:val="single" w:sz="24" w:space="0" w:color="FFFFFF"/>
            </w:tcBorders>
            <w:shd w:val="clear" w:color="auto" w:fill="C6D9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Revenue retention by government</w:t>
            </w:r>
          </w:p>
        </w:tc>
        <w:tc>
          <w:tcPr>
            <w:tcW w:w="1726" w:type="pct"/>
            <w:tcBorders>
              <w:top w:val="single" w:sz="24" w:space="0" w:color="FFFFFF"/>
              <w:left w:val="single" w:sz="24" w:space="0" w:color="FFFFFF"/>
              <w:bottom w:val="single" w:sz="8" w:space="0" w:color="FFFFFF"/>
              <w:right w:val="single" w:sz="24" w:space="0" w:color="FFFFFF"/>
            </w:tcBorders>
            <w:shd w:val="clear" w:color="auto" w:fill="DBE5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 xml:space="preserve">The specified amount or percentage of revenues retained by government should be performance-based, and set at a level which approximates closely to actual transactions and implementation costs, plus a small incentive for participation in </w:t>
            </w:r>
            <w:r w:rsidR="00480D3D">
              <w:rPr>
                <w:rFonts w:ascii="Book Antiqua" w:hAnsi="Book Antiqua" w:cs="Arial"/>
                <w:sz w:val="20"/>
                <w:szCs w:val="20"/>
              </w:rPr>
              <w:t>REDD+</w:t>
            </w:r>
            <w:r w:rsidRPr="001358CE">
              <w:rPr>
                <w:rFonts w:ascii="Book Antiqua" w:hAnsi="Book Antiqua" w:cs="Arial"/>
                <w:sz w:val="20"/>
                <w:szCs w:val="20"/>
              </w:rPr>
              <w:t>.</w:t>
            </w:r>
          </w:p>
        </w:tc>
        <w:tc>
          <w:tcPr>
            <w:tcW w:w="1438" w:type="pct"/>
            <w:tcBorders>
              <w:top w:val="single" w:sz="24" w:space="0" w:color="FFFFFF"/>
              <w:left w:val="single" w:sz="24" w:space="0" w:color="FFFFFF"/>
              <w:bottom w:val="single" w:sz="8" w:space="0" w:color="FFFFFF"/>
              <w:right w:val="single" w:sz="24" w:space="0" w:color="FFFFFF"/>
            </w:tcBorders>
            <w:shd w:val="clear" w:color="auto" w:fill="DBE5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As part of its commitment to establishing a world-class payment distribution system, the GoV should indicate that the revenues to be retained by government will be limited to actual implementation and transactions costs, against agreed budgets</w:t>
            </w:r>
          </w:p>
        </w:tc>
        <w:tc>
          <w:tcPr>
            <w:tcW w:w="1205" w:type="pct"/>
            <w:tcBorders>
              <w:top w:val="single" w:sz="24" w:space="0" w:color="FFFFFF"/>
              <w:left w:val="single" w:sz="24" w:space="0" w:color="FFFFFF"/>
              <w:bottom w:val="single" w:sz="8" w:space="0" w:color="FFFFFF"/>
            </w:tcBorders>
            <w:shd w:val="clear" w:color="auto" w:fill="DBE5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The magnitude of these costs, and indicative retention levels, will be determined by further studies.</w:t>
            </w:r>
            <w:r w:rsidRPr="001358CE">
              <w:rPr>
                <w:rFonts w:ascii="Book Antiqua" w:hAnsi="Book Antiqua" w:cs="Arial"/>
                <w:i/>
                <w:iCs/>
                <w:sz w:val="20"/>
                <w:szCs w:val="20"/>
              </w:rPr>
              <w:t xml:space="preserve"> </w:t>
            </w:r>
          </w:p>
        </w:tc>
      </w:tr>
      <w:tr w:rsidR="00351F2C" w:rsidRPr="00445F77">
        <w:tc>
          <w:tcPr>
            <w:tcW w:w="631" w:type="pct"/>
            <w:tcBorders>
              <w:top w:val="single" w:sz="8" w:space="0" w:color="FFFFFF"/>
              <w:bottom w:val="single" w:sz="8" w:space="0" w:color="FFFFFF"/>
              <w:right w:val="single" w:sz="24" w:space="0" w:color="FFFFFF"/>
            </w:tcBorders>
            <w:shd w:val="clear" w:color="auto" w:fill="C6D9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Local payment levels</w:t>
            </w:r>
          </w:p>
        </w:tc>
        <w:tc>
          <w:tcPr>
            <w:tcW w:w="1726" w:type="pct"/>
            <w:tcBorders>
              <w:top w:val="single" w:sz="8" w:space="0" w:color="FFFFFF"/>
              <w:left w:val="single" w:sz="24" w:space="0" w:color="FFFFFF"/>
              <w:bottom w:val="single" w:sz="8" w:space="0" w:color="FFFFFF"/>
              <w:right w:val="single" w:sz="24" w:space="0" w:color="FFFFFF"/>
            </w:tcBorders>
            <w:shd w:val="clear" w:color="auto" w:fill="DBE5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The level and nature of benefits provided should reflect opportunity costs and losses incurred in avoiding deforestation, both monetary and non-monetary; although it may be most practical to use a standardised formula to compute payments, this should allow for weighting to reflect variation in the costs of generating emissions reductions between different areas and groups and under different production systems and ecological conditions.</w:t>
            </w:r>
          </w:p>
        </w:tc>
        <w:tc>
          <w:tcPr>
            <w:tcW w:w="1438" w:type="pct"/>
            <w:tcBorders>
              <w:top w:val="single" w:sz="8" w:space="0" w:color="FFFFFF"/>
              <w:left w:val="single" w:sz="24" w:space="0" w:color="FFFFFF"/>
              <w:bottom w:val="single" w:sz="8" w:space="0" w:color="FFFFFF"/>
              <w:right w:val="single" w:sz="24" w:space="0" w:color="FFFFFF"/>
            </w:tcBorders>
            <w:shd w:val="clear" w:color="auto" w:fill="DBE5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Consistent with its stated goals of compensating for the provision of environmental services and stimulating sustainable</w:t>
            </w:r>
            <w:r w:rsidRPr="001358CE">
              <w:rPr>
                <w:rFonts w:ascii="Book Antiqua" w:hAnsi="Book Antiqua" w:cs="Arial"/>
                <w:i/>
                <w:iCs/>
                <w:sz w:val="20"/>
                <w:szCs w:val="20"/>
              </w:rPr>
              <w:t xml:space="preserve"> </w:t>
            </w:r>
            <w:r w:rsidRPr="001358CE">
              <w:rPr>
                <w:rFonts w:ascii="Book Antiqua" w:hAnsi="Book Antiqua" w:cs="Arial"/>
                <w:sz w:val="20"/>
                <w:szCs w:val="20"/>
              </w:rPr>
              <w:t xml:space="preserve">rural development, the GoV should reiterate its intention to ensure that </w:t>
            </w:r>
            <w:r w:rsidR="00480D3D">
              <w:rPr>
                <w:rFonts w:ascii="Book Antiqua" w:hAnsi="Book Antiqua" w:cs="Arial"/>
                <w:sz w:val="20"/>
                <w:szCs w:val="20"/>
              </w:rPr>
              <w:t>REDD+</w:t>
            </w:r>
            <w:r w:rsidRPr="001358CE">
              <w:rPr>
                <w:rFonts w:ascii="Book Antiqua" w:hAnsi="Book Antiqua" w:cs="Arial"/>
                <w:sz w:val="20"/>
                <w:szCs w:val="20"/>
              </w:rPr>
              <w:t xml:space="preserve"> benefits shared with forest land and resource users will be set at equitable and effective levels.</w:t>
            </w:r>
          </w:p>
        </w:tc>
        <w:tc>
          <w:tcPr>
            <w:tcW w:w="1205" w:type="pct"/>
            <w:tcBorders>
              <w:top w:val="single" w:sz="8" w:space="0" w:color="FFFFFF"/>
              <w:left w:val="single" w:sz="24" w:space="0" w:color="FFFFFF"/>
              <w:bottom w:val="single" w:sz="8" w:space="0" w:color="FFFFFF"/>
            </w:tcBorders>
            <w:shd w:val="clear" w:color="auto" w:fill="DBE5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Will require broad opportunity cost norms to be investigated for different areas, groups, production systems and ecological conditions; design of checks and balances and</w:t>
            </w:r>
            <w:r w:rsidRPr="001358CE">
              <w:rPr>
                <w:rFonts w:ascii="Book Antiqua" w:hAnsi="Book Antiqua" w:cs="Arial"/>
                <w:i/>
                <w:iCs/>
                <w:sz w:val="20"/>
                <w:szCs w:val="20"/>
              </w:rPr>
              <w:t xml:space="preserve"> </w:t>
            </w:r>
            <w:r w:rsidRPr="001358CE">
              <w:rPr>
                <w:rFonts w:ascii="Book Antiqua" w:hAnsi="Book Antiqua" w:cs="Arial"/>
                <w:sz w:val="20"/>
                <w:szCs w:val="20"/>
              </w:rPr>
              <w:t>guidance on calculation of payment weights (similar to the “K-factors” used in current Payment for Environmental Services schemes).</w:t>
            </w:r>
          </w:p>
        </w:tc>
      </w:tr>
      <w:tr w:rsidR="00351F2C" w:rsidRPr="00445F77">
        <w:tc>
          <w:tcPr>
            <w:tcW w:w="631" w:type="pct"/>
            <w:tcBorders>
              <w:top w:val="single" w:sz="8" w:space="0" w:color="FFFFFF"/>
              <w:bottom w:val="single" w:sz="8" w:space="0" w:color="FFFFFF"/>
              <w:right w:val="single" w:sz="24" w:space="0" w:color="FFFFFF"/>
            </w:tcBorders>
            <w:shd w:val="clear" w:color="auto" w:fill="C6D9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Admissible costs and activities</w:t>
            </w:r>
          </w:p>
        </w:tc>
        <w:tc>
          <w:tcPr>
            <w:tcW w:w="1726" w:type="pct"/>
            <w:tcBorders>
              <w:top w:val="single" w:sz="8" w:space="0" w:color="FFFFFF"/>
              <w:left w:val="single" w:sz="24" w:space="0" w:color="FFFFFF"/>
              <w:bottom w:val="single" w:sz="8" w:space="0" w:color="FFFFFF"/>
              <w:right w:val="single" w:sz="24" w:space="0" w:color="FFFFFF"/>
            </w:tcBorders>
            <w:shd w:val="clear" w:color="auto" w:fill="DBE5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 xml:space="preserve">A broad list of admissible costs and activities to be funded through </w:t>
            </w:r>
            <w:r w:rsidR="00480D3D">
              <w:rPr>
                <w:rFonts w:ascii="Book Antiqua" w:hAnsi="Book Antiqua" w:cs="Arial"/>
                <w:sz w:val="20"/>
                <w:szCs w:val="20"/>
              </w:rPr>
              <w:t>REDD+</w:t>
            </w:r>
            <w:r w:rsidRPr="001358CE">
              <w:rPr>
                <w:rFonts w:ascii="Book Antiqua" w:hAnsi="Book Antiqua" w:cs="Arial"/>
                <w:sz w:val="20"/>
                <w:szCs w:val="20"/>
              </w:rPr>
              <w:t xml:space="preserve"> payments should be formulated, which should form the basis of the </w:t>
            </w:r>
            <w:r w:rsidR="00480D3D">
              <w:rPr>
                <w:rFonts w:ascii="Book Antiqua" w:hAnsi="Book Antiqua" w:cs="Arial"/>
                <w:sz w:val="20"/>
                <w:szCs w:val="20"/>
              </w:rPr>
              <w:t>REDD+</w:t>
            </w:r>
            <w:r w:rsidRPr="001358CE">
              <w:rPr>
                <w:rFonts w:ascii="Book Antiqua" w:hAnsi="Book Antiqua" w:cs="Arial"/>
                <w:sz w:val="20"/>
                <w:szCs w:val="20"/>
              </w:rPr>
              <w:t xml:space="preserve"> budgets that will be prepared and submitted for approval at the sub-national level. There should be close monitoring of expenditures against these agreed budgets, as well as against the delivery of emissions reductions targets. A different set of metrics will however need to be applied at the local level, although these should importantly include the provision of broad development </w:t>
            </w:r>
            <w:r w:rsidRPr="001358CE">
              <w:rPr>
                <w:rFonts w:ascii="Book Antiqua" w:hAnsi="Book Antiqua" w:cs="Arial"/>
                <w:sz w:val="20"/>
                <w:szCs w:val="20"/>
              </w:rPr>
              <w:lastRenderedPageBreak/>
              <w:t>incentives as admissible expenditures.</w:t>
            </w:r>
          </w:p>
        </w:tc>
        <w:tc>
          <w:tcPr>
            <w:tcW w:w="1438" w:type="pct"/>
            <w:tcBorders>
              <w:top w:val="single" w:sz="8" w:space="0" w:color="FFFFFF"/>
              <w:left w:val="single" w:sz="24" w:space="0" w:color="FFFFFF"/>
              <w:bottom w:val="single" w:sz="8" w:space="0" w:color="FFFFFF"/>
              <w:right w:val="single" w:sz="24" w:space="0" w:color="FFFFFF"/>
            </w:tcBorders>
            <w:shd w:val="clear" w:color="auto" w:fill="DBE5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lastRenderedPageBreak/>
              <w:t xml:space="preserve">In the interests of ensuring that </w:t>
            </w:r>
            <w:r w:rsidR="00765C66">
              <w:rPr>
                <w:rFonts w:ascii="Book Antiqua" w:hAnsi="Book Antiqua" w:cs="Arial"/>
                <w:sz w:val="20"/>
                <w:szCs w:val="20"/>
              </w:rPr>
              <w:t>BDS</w:t>
            </w:r>
            <w:r w:rsidRPr="001358CE">
              <w:rPr>
                <w:rFonts w:ascii="Book Antiqua" w:hAnsi="Book Antiqua" w:cs="Arial"/>
                <w:sz w:val="20"/>
                <w:szCs w:val="20"/>
              </w:rPr>
              <w:t xml:space="preserve">s are both transparent and effective in delivering REDD-compliant emissions reductions, the GoV should make it clear to beneficiaries that there will be certain principles established for the use and spending of </w:t>
            </w:r>
            <w:r w:rsidR="00480D3D">
              <w:rPr>
                <w:rFonts w:ascii="Book Antiqua" w:hAnsi="Book Antiqua" w:cs="Arial"/>
                <w:sz w:val="20"/>
                <w:szCs w:val="20"/>
              </w:rPr>
              <w:t>REDD+</w:t>
            </w:r>
            <w:r w:rsidRPr="001358CE">
              <w:rPr>
                <w:rFonts w:ascii="Book Antiqua" w:hAnsi="Book Antiqua" w:cs="Arial"/>
                <w:sz w:val="20"/>
                <w:szCs w:val="20"/>
              </w:rPr>
              <w:t xml:space="preserve"> payments.</w:t>
            </w:r>
          </w:p>
        </w:tc>
        <w:tc>
          <w:tcPr>
            <w:tcW w:w="1205" w:type="pct"/>
            <w:tcBorders>
              <w:top w:val="single" w:sz="8" w:space="0" w:color="FFFFFF"/>
              <w:left w:val="single" w:sz="24" w:space="0" w:color="FFFFFF"/>
              <w:bottom w:val="single" w:sz="8" w:space="0" w:color="FFFFFF"/>
            </w:tcBorders>
            <w:shd w:val="clear" w:color="auto" w:fill="DBE5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 xml:space="preserve">Will require a list of admissible </w:t>
            </w:r>
            <w:r w:rsidR="00480D3D">
              <w:rPr>
                <w:rFonts w:ascii="Book Antiqua" w:hAnsi="Book Antiqua" w:cs="Arial"/>
                <w:sz w:val="20"/>
                <w:szCs w:val="20"/>
              </w:rPr>
              <w:t>REDD+</w:t>
            </w:r>
            <w:r w:rsidRPr="001358CE">
              <w:rPr>
                <w:rFonts w:ascii="Book Antiqua" w:hAnsi="Book Antiqua" w:cs="Arial"/>
                <w:sz w:val="20"/>
                <w:szCs w:val="20"/>
              </w:rPr>
              <w:t xml:space="preserve"> costs and activities to be prepared, and agreed by stakeholders.</w:t>
            </w:r>
          </w:p>
        </w:tc>
      </w:tr>
      <w:tr w:rsidR="00351F2C" w:rsidRPr="00445F77">
        <w:tc>
          <w:tcPr>
            <w:tcW w:w="631" w:type="pct"/>
            <w:tcBorders>
              <w:top w:val="single" w:sz="8" w:space="0" w:color="FFFFFF"/>
              <w:bottom w:val="single" w:sz="8" w:space="0" w:color="FFFFFF"/>
              <w:right w:val="single" w:sz="24" w:space="0" w:color="FFFFFF"/>
            </w:tcBorders>
            <w:shd w:val="clear" w:color="auto" w:fill="C6D9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lastRenderedPageBreak/>
              <w:t>Timing of fund disbursement</w:t>
            </w:r>
          </w:p>
        </w:tc>
        <w:tc>
          <w:tcPr>
            <w:tcW w:w="1726" w:type="pct"/>
            <w:tcBorders>
              <w:top w:val="single" w:sz="8" w:space="0" w:color="FFFFFF"/>
              <w:left w:val="single" w:sz="24" w:space="0" w:color="FFFFFF"/>
              <w:bottom w:val="single" w:sz="8" w:space="0" w:color="FFFFFF"/>
              <w:right w:val="single" w:sz="24" w:space="0" w:color="FFFFFF"/>
            </w:tcBorders>
            <w:shd w:val="clear" w:color="auto" w:fill="DBE5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 xml:space="preserve">The timing and frequency of </w:t>
            </w:r>
            <w:r w:rsidR="00480D3D">
              <w:rPr>
                <w:rFonts w:ascii="Book Antiqua" w:hAnsi="Book Antiqua" w:cs="Arial"/>
                <w:sz w:val="20"/>
                <w:szCs w:val="20"/>
              </w:rPr>
              <w:t>REDD+</w:t>
            </w:r>
            <w:r w:rsidRPr="001358CE">
              <w:rPr>
                <w:rFonts w:ascii="Book Antiqua" w:hAnsi="Book Antiqua" w:cs="Arial"/>
                <w:sz w:val="20"/>
                <w:szCs w:val="20"/>
              </w:rPr>
              <w:t xml:space="preserve"> payments made within </w:t>
            </w:r>
            <w:smartTag w:uri="urn:schemas-microsoft-com:office:smarttags" w:element="country-region">
              <w:smartTag w:uri="urn:schemas-microsoft-com:office:smarttags" w:element="place">
                <w:r w:rsidRPr="001358CE">
                  <w:rPr>
                    <w:rFonts w:ascii="Book Antiqua" w:hAnsi="Book Antiqua" w:cs="Arial"/>
                    <w:sz w:val="20"/>
                    <w:szCs w:val="20"/>
                  </w:rPr>
                  <w:t>Viet Nam</w:t>
                </w:r>
              </w:smartTag>
            </w:smartTag>
            <w:r w:rsidRPr="001358CE">
              <w:rPr>
                <w:rFonts w:ascii="Book Antiqua" w:hAnsi="Book Antiqua" w:cs="Arial"/>
                <w:sz w:val="20"/>
                <w:szCs w:val="20"/>
              </w:rPr>
              <w:t xml:space="preserve"> should be phased to start when actions to reduce deforestation are first initiated, and subsequently disbursed on a regular basis so as to match the timing of costs incurred and to provide a regular flow of benefits to participants. Supplementary funding, from either domestic or international sources, should be sourced to provide this pre-finance.</w:t>
            </w:r>
          </w:p>
        </w:tc>
        <w:tc>
          <w:tcPr>
            <w:tcW w:w="1438" w:type="pct"/>
            <w:tcBorders>
              <w:top w:val="single" w:sz="8" w:space="0" w:color="FFFFFF"/>
              <w:left w:val="single" w:sz="24" w:space="0" w:color="FFFFFF"/>
              <w:bottom w:val="single" w:sz="8" w:space="0" w:color="FFFFFF"/>
              <w:right w:val="single" w:sz="24" w:space="0" w:color="FFFFFF"/>
            </w:tcBorders>
            <w:shd w:val="clear" w:color="auto" w:fill="DBE5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With a view to shifting the burden of responsibility for pre-financing and bearing the risks of investing in avoided deforestation, the GoV should announce its intention to secure adequate funds to ensure that</w:t>
            </w:r>
            <w:r w:rsidRPr="001358CE">
              <w:rPr>
                <w:rFonts w:ascii="Book Antiqua" w:hAnsi="Book Antiqua" w:cs="Arial"/>
                <w:i/>
                <w:iCs/>
                <w:sz w:val="20"/>
                <w:szCs w:val="20"/>
              </w:rPr>
              <w:t xml:space="preserve"> </w:t>
            </w:r>
            <w:r w:rsidRPr="001358CE">
              <w:rPr>
                <w:rFonts w:ascii="Book Antiqua" w:hAnsi="Book Antiqua" w:cs="Arial"/>
                <w:sz w:val="20"/>
                <w:szCs w:val="20"/>
              </w:rPr>
              <w:t xml:space="preserve">the distribution of </w:t>
            </w:r>
            <w:r w:rsidR="00480D3D">
              <w:rPr>
                <w:rFonts w:ascii="Book Antiqua" w:hAnsi="Book Antiqua" w:cs="Arial"/>
                <w:sz w:val="20"/>
                <w:szCs w:val="20"/>
              </w:rPr>
              <w:t>REDD+</w:t>
            </w:r>
            <w:r w:rsidRPr="001358CE">
              <w:rPr>
                <w:rFonts w:ascii="Book Antiqua" w:hAnsi="Book Antiqua" w:cs="Arial"/>
                <w:sz w:val="20"/>
                <w:szCs w:val="20"/>
              </w:rPr>
              <w:t xml:space="preserve"> payments to participants will begin at the time they commence activities, and will be transferred on a regular basis thereafter.</w:t>
            </w:r>
          </w:p>
        </w:tc>
        <w:tc>
          <w:tcPr>
            <w:tcW w:w="1205" w:type="pct"/>
            <w:tcBorders>
              <w:top w:val="single" w:sz="8" w:space="0" w:color="FFFFFF"/>
              <w:left w:val="single" w:sz="24" w:space="0" w:color="FFFFFF"/>
              <w:bottom w:val="single" w:sz="8" w:space="0" w:color="FFFFFF"/>
            </w:tcBorders>
            <w:shd w:val="clear" w:color="auto" w:fill="DBE5F1"/>
            <w:vAlign w:val="center"/>
          </w:tcPr>
          <w:p w:rsidR="00351F2C" w:rsidRPr="001358CE" w:rsidRDefault="00351F2C" w:rsidP="00246293">
            <w:pPr>
              <w:spacing w:before="60" w:after="60"/>
              <w:rPr>
                <w:rFonts w:ascii="Book Antiqua" w:hAnsi="Book Antiqua" w:cs="Arial"/>
                <w:sz w:val="20"/>
                <w:szCs w:val="20"/>
              </w:rPr>
            </w:pPr>
            <w:r w:rsidRPr="001358CE">
              <w:rPr>
                <w:rFonts w:ascii="Book Antiqua" w:hAnsi="Book Antiqua" w:cs="Arial"/>
                <w:sz w:val="20"/>
                <w:szCs w:val="20"/>
              </w:rPr>
              <w:t xml:space="preserve">Will require that indicative projections of required </w:t>
            </w:r>
            <w:r w:rsidR="00480D3D">
              <w:rPr>
                <w:rFonts w:ascii="Book Antiqua" w:hAnsi="Book Antiqua" w:cs="Arial"/>
                <w:sz w:val="20"/>
                <w:szCs w:val="20"/>
              </w:rPr>
              <w:t>REDD+</w:t>
            </w:r>
            <w:r w:rsidRPr="001358CE">
              <w:rPr>
                <w:rFonts w:ascii="Book Antiqua" w:hAnsi="Book Antiqua" w:cs="Arial"/>
                <w:sz w:val="20"/>
                <w:szCs w:val="20"/>
              </w:rPr>
              <w:t xml:space="preserve"> cashflows over time are prepared, and initial discussions are held between the GoV and international donors about possible sources of funds to pre-finance payment distribution.</w:t>
            </w:r>
          </w:p>
        </w:tc>
      </w:tr>
    </w:tbl>
    <w:p w:rsidR="00351F2C" w:rsidRPr="00445F77" w:rsidRDefault="00351F2C" w:rsidP="00A256CB">
      <w:pPr>
        <w:pStyle w:val="Heading3"/>
        <w:rPr>
          <w:rFonts w:ascii="Arial" w:hAnsi="Arial" w:cs="Arial"/>
        </w:rPr>
      </w:pPr>
    </w:p>
    <w:p w:rsidR="001358CE" w:rsidRDefault="001358CE" w:rsidP="00A256CB">
      <w:pPr>
        <w:pStyle w:val="Heading3"/>
        <w:rPr>
          <w:rFonts w:ascii="Arial" w:hAnsi="Arial" w:cs="Arial"/>
        </w:rPr>
        <w:sectPr w:rsidR="001358CE" w:rsidSect="001358CE">
          <w:pgSz w:w="16840" w:h="11907" w:orient="landscape" w:code="9"/>
          <w:pgMar w:top="1701" w:right="1440" w:bottom="1418" w:left="1440" w:header="720" w:footer="720" w:gutter="0"/>
          <w:cols w:space="720"/>
          <w:docGrid w:linePitch="360"/>
        </w:sectPr>
      </w:pPr>
    </w:p>
    <w:p w:rsidR="00351F2C" w:rsidRPr="00445F77" w:rsidRDefault="00351F2C" w:rsidP="00E07AB9">
      <w:pPr>
        <w:spacing w:after="0"/>
        <w:rPr>
          <w:rFonts w:ascii="Arial" w:hAnsi="Arial" w:cs="Arial"/>
          <w:sz w:val="24"/>
          <w:szCs w:val="24"/>
        </w:rPr>
      </w:pPr>
    </w:p>
    <w:tbl>
      <w:tblPr>
        <w:tblW w:w="5000" w:type="pct"/>
        <w:jc w:val="right"/>
        <w:tblBorders>
          <w:insideH w:val="single" w:sz="24" w:space="0" w:color="FFFFFF"/>
          <w:insideV w:val="single" w:sz="24" w:space="0" w:color="FFFFFF"/>
        </w:tblBorders>
        <w:tblLook w:val="00A0"/>
      </w:tblPr>
      <w:tblGrid>
        <w:gridCol w:w="1818"/>
        <w:gridCol w:w="7186"/>
      </w:tblGrid>
      <w:tr w:rsidR="00351F2C" w:rsidRPr="00445F77">
        <w:trPr>
          <w:tblHeader/>
          <w:jc w:val="right"/>
        </w:trPr>
        <w:tc>
          <w:tcPr>
            <w:tcW w:w="9004" w:type="dxa"/>
            <w:gridSpan w:val="2"/>
            <w:tcBorders>
              <w:bottom w:val="single" w:sz="24" w:space="0" w:color="FFFFFF"/>
            </w:tcBorders>
            <w:shd w:val="clear" w:color="auto" w:fill="76923C"/>
            <w:vAlign w:val="center"/>
          </w:tcPr>
          <w:p w:rsidR="00351F2C" w:rsidRPr="001358CE" w:rsidRDefault="00351F2C" w:rsidP="00034B8C">
            <w:pPr>
              <w:spacing w:after="0" w:line="240" w:lineRule="auto"/>
              <w:jc w:val="center"/>
              <w:rPr>
                <w:rFonts w:ascii="Book Antiqua" w:hAnsi="Book Antiqua" w:cs="Arial"/>
                <w:b/>
                <w:bCs/>
                <w:color w:val="FFFFFF"/>
                <w:sz w:val="24"/>
                <w:szCs w:val="24"/>
              </w:rPr>
            </w:pPr>
            <w:r w:rsidRPr="001358CE">
              <w:rPr>
                <w:rFonts w:ascii="Book Antiqua" w:hAnsi="Book Antiqua" w:cs="Arial"/>
                <w:b/>
                <w:bCs/>
                <w:color w:val="FFFFFF"/>
                <w:sz w:val="24"/>
                <w:szCs w:val="24"/>
              </w:rPr>
              <w:t>POLICY DECISION 5.1</w:t>
            </w:r>
          </w:p>
          <w:p w:rsidR="00351F2C" w:rsidRPr="00445F77" w:rsidRDefault="00351F2C" w:rsidP="00034B8C">
            <w:pPr>
              <w:spacing w:after="0" w:line="240" w:lineRule="auto"/>
              <w:jc w:val="center"/>
              <w:rPr>
                <w:rFonts w:ascii="Arial" w:hAnsi="Arial" w:cs="Arial"/>
                <w:b/>
                <w:bCs/>
                <w:color w:val="FFFFFF"/>
                <w:sz w:val="24"/>
                <w:szCs w:val="24"/>
              </w:rPr>
            </w:pPr>
            <w:r w:rsidRPr="001358CE">
              <w:rPr>
                <w:rFonts w:ascii="Book Antiqua" w:hAnsi="Book Antiqua" w:cs="Arial"/>
                <w:b/>
                <w:bCs/>
                <w:color w:val="FFFFFF"/>
                <w:sz w:val="24"/>
                <w:szCs w:val="24"/>
              </w:rPr>
              <w:t>Revenue retention by government</w:t>
            </w:r>
          </w:p>
        </w:tc>
      </w:tr>
      <w:tr w:rsidR="00795634" w:rsidRPr="00445F77">
        <w:trPr>
          <w:jc w:val="right"/>
        </w:trPr>
        <w:tc>
          <w:tcPr>
            <w:tcW w:w="1818" w:type="dxa"/>
            <w:tcBorders>
              <w:top w:val="single" w:sz="24" w:space="0" w:color="FFFFFF"/>
              <w:bottom w:val="single" w:sz="8" w:space="0" w:color="FFFFFF"/>
              <w:right w:val="single" w:sz="24" w:space="0" w:color="FFFFFF"/>
            </w:tcBorders>
            <w:shd w:val="clear" w:color="auto" w:fill="C2D69B"/>
            <w:vAlign w:val="center"/>
          </w:tcPr>
          <w:p w:rsidR="00795634" w:rsidRPr="00EC1298" w:rsidRDefault="00795634" w:rsidP="00795634">
            <w:pPr>
              <w:spacing w:after="0" w:line="240" w:lineRule="auto"/>
              <w:rPr>
                <w:rFonts w:ascii="Book Antiqua" w:hAnsi="Book Antiqua" w:cs="Arial"/>
              </w:rPr>
            </w:pPr>
            <w:r w:rsidRPr="00EC1298">
              <w:rPr>
                <w:rFonts w:ascii="Book Antiqua" w:hAnsi="Book Antiqua" w:cs="Arial"/>
              </w:rPr>
              <w:t>Issue to be addressed</w:t>
            </w:r>
          </w:p>
        </w:tc>
        <w:tc>
          <w:tcPr>
            <w:tcW w:w="7186" w:type="dxa"/>
            <w:tcBorders>
              <w:top w:val="single" w:sz="24" w:space="0" w:color="FFFFFF"/>
              <w:left w:val="single" w:sz="24" w:space="0" w:color="FFFFFF"/>
              <w:bottom w:val="single" w:sz="8" w:space="0" w:color="FFFFFF"/>
            </w:tcBorders>
            <w:shd w:val="clear" w:color="auto" w:fill="D6E3BC"/>
            <w:vAlign w:val="center"/>
          </w:tcPr>
          <w:p w:rsidR="00795634" w:rsidRPr="001358CE" w:rsidRDefault="00795634" w:rsidP="00A605C9">
            <w:pPr>
              <w:spacing w:after="0" w:line="240" w:lineRule="auto"/>
              <w:jc w:val="both"/>
              <w:rPr>
                <w:rFonts w:ascii="Book Antiqua" w:hAnsi="Book Antiqua" w:cs="Arial"/>
              </w:rPr>
            </w:pPr>
            <w:r w:rsidRPr="001358CE">
              <w:rPr>
                <w:rFonts w:ascii="Book Antiqua" w:hAnsi="Book Antiqua" w:cs="Arial"/>
              </w:rPr>
              <w:t xml:space="preserve">Administration of a payment distribution system incurs administration and management costs. This needs to be balanced with the requirement of ensuring that the major portion of </w:t>
            </w:r>
            <w:r w:rsidR="00480D3D">
              <w:rPr>
                <w:rFonts w:ascii="Book Antiqua" w:hAnsi="Book Antiqua" w:cs="Arial"/>
              </w:rPr>
              <w:t>REDD+</w:t>
            </w:r>
            <w:r w:rsidRPr="001358CE">
              <w:rPr>
                <w:rFonts w:ascii="Book Antiqua" w:hAnsi="Book Antiqua" w:cs="Arial"/>
              </w:rPr>
              <w:t xml:space="preserve"> funds are used as efficiently and effectively as possible to reduce deforestation. In relation to national-level government-administered funds in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there are currently no standard procedures for determining permissible management fees.</w:t>
            </w:r>
          </w:p>
        </w:tc>
      </w:tr>
      <w:tr w:rsidR="00795634" w:rsidRPr="00445F77">
        <w:trPr>
          <w:jc w:val="right"/>
        </w:trPr>
        <w:tc>
          <w:tcPr>
            <w:tcW w:w="1818" w:type="dxa"/>
            <w:tcBorders>
              <w:top w:val="single" w:sz="8" w:space="0" w:color="FFFFFF"/>
              <w:bottom w:val="single" w:sz="8" w:space="0" w:color="FFFFFF"/>
              <w:right w:val="single" w:sz="24" w:space="0" w:color="FFFFFF"/>
            </w:tcBorders>
            <w:shd w:val="clear" w:color="auto" w:fill="C2D69B"/>
            <w:vAlign w:val="center"/>
          </w:tcPr>
          <w:p w:rsidR="00795634" w:rsidRPr="00EC1298" w:rsidRDefault="00795634" w:rsidP="00795634">
            <w:pPr>
              <w:spacing w:after="0" w:line="240" w:lineRule="auto"/>
              <w:rPr>
                <w:rFonts w:ascii="Book Antiqua" w:hAnsi="Book Antiqua" w:cs="Arial"/>
              </w:rPr>
            </w:pPr>
            <w:r w:rsidRPr="00EC1298">
              <w:rPr>
                <w:rFonts w:ascii="Book Antiqua" w:hAnsi="Book Antiqua" w:cs="Arial"/>
              </w:rPr>
              <w:t>Options</w:t>
            </w:r>
          </w:p>
        </w:tc>
        <w:tc>
          <w:tcPr>
            <w:tcW w:w="7186" w:type="dxa"/>
            <w:tcBorders>
              <w:top w:val="single" w:sz="8" w:space="0" w:color="FFFFFF"/>
              <w:left w:val="single" w:sz="24" w:space="0" w:color="FFFFFF"/>
              <w:bottom w:val="single" w:sz="8" w:space="0" w:color="FFFFFF"/>
            </w:tcBorders>
            <w:shd w:val="clear" w:color="auto" w:fill="D6E3BC"/>
            <w:vAlign w:val="center"/>
          </w:tcPr>
          <w:p w:rsidR="00795634" w:rsidRPr="00A605C9" w:rsidRDefault="00795634" w:rsidP="008227FD">
            <w:pPr>
              <w:pStyle w:val="ListParagraph"/>
              <w:numPr>
                <w:ilvl w:val="0"/>
                <w:numId w:val="145"/>
              </w:numPr>
              <w:spacing w:after="0" w:line="240" w:lineRule="auto"/>
              <w:ind w:left="327"/>
              <w:jc w:val="both"/>
              <w:rPr>
                <w:rFonts w:ascii="Book Antiqua" w:hAnsi="Book Antiqua" w:cs="Arial"/>
              </w:rPr>
            </w:pPr>
            <w:r w:rsidRPr="00A605C9">
              <w:rPr>
                <w:rFonts w:ascii="Book Antiqua" w:hAnsi="Book Antiqua" w:cs="Arial"/>
              </w:rPr>
              <w:t>Allocate based on costs incurred and emissions reductions delivered; or</w:t>
            </w:r>
          </w:p>
          <w:p w:rsidR="00795634" w:rsidRPr="00A605C9" w:rsidRDefault="00795634" w:rsidP="008227FD">
            <w:pPr>
              <w:pStyle w:val="ListParagraph"/>
              <w:numPr>
                <w:ilvl w:val="0"/>
                <w:numId w:val="145"/>
              </w:numPr>
              <w:spacing w:after="0" w:line="240" w:lineRule="auto"/>
              <w:ind w:left="327"/>
              <w:jc w:val="both"/>
              <w:rPr>
                <w:rFonts w:ascii="Book Antiqua" w:hAnsi="Book Antiqua" w:cs="Arial"/>
              </w:rPr>
            </w:pPr>
            <w:r w:rsidRPr="00A605C9">
              <w:rPr>
                <w:rFonts w:ascii="Book Antiqua" w:hAnsi="Book Antiqua" w:cs="Arial"/>
              </w:rPr>
              <w:t>Allocate according to a flat fee or percentage of total funds.</w:t>
            </w:r>
          </w:p>
        </w:tc>
      </w:tr>
      <w:tr w:rsidR="00795634" w:rsidRPr="00445F77">
        <w:trPr>
          <w:jc w:val="right"/>
        </w:trPr>
        <w:tc>
          <w:tcPr>
            <w:tcW w:w="1818" w:type="dxa"/>
            <w:tcBorders>
              <w:top w:val="single" w:sz="8" w:space="0" w:color="FFFFFF"/>
              <w:bottom w:val="single" w:sz="8" w:space="0" w:color="FFFFFF"/>
              <w:right w:val="single" w:sz="24" w:space="0" w:color="FFFFFF"/>
            </w:tcBorders>
            <w:shd w:val="clear" w:color="auto" w:fill="C2D69B"/>
            <w:vAlign w:val="center"/>
          </w:tcPr>
          <w:p w:rsidR="00795634" w:rsidRPr="00EC1298" w:rsidRDefault="00795634" w:rsidP="00795634">
            <w:pPr>
              <w:spacing w:after="0" w:line="240" w:lineRule="auto"/>
              <w:rPr>
                <w:rFonts w:ascii="Book Antiqua" w:hAnsi="Book Antiqua" w:cs="Arial"/>
              </w:rPr>
            </w:pPr>
            <w:r w:rsidRPr="00EC1298">
              <w:rPr>
                <w:rFonts w:ascii="Book Antiqua" w:hAnsi="Book Antiqua" w:cs="Arial"/>
              </w:rPr>
              <w:t>Recommended principle or policy to be adopted</w:t>
            </w:r>
          </w:p>
        </w:tc>
        <w:tc>
          <w:tcPr>
            <w:tcW w:w="7186" w:type="dxa"/>
            <w:tcBorders>
              <w:top w:val="single" w:sz="8" w:space="0" w:color="FFFFFF"/>
              <w:left w:val="single" w:sz="24" w:space="0" w:color="FFFFFF"/>
              <w:bottom w:val="single" w:sz="8" w:space="0" w:color="FFFFFF"/>
            </w:tcBorders>
            <w:shd w:val="clear" w:color="auto" w:fill="D6E3BC"/>
            <w:vAlign w:val="center"/>
          </w:tcPr>
          <w:p w:rsidR="00795634" w:rsidRPr="001358CE" w:rsidRDefault="00795634" w:rsidP="00903E2A">
            <w:pPr>
              <w:spacing w:after="0" w:line="240" w:lineRule="auto"/>
              <w:jc w:val="both"/>
              <w:rPr>
                <w:rFonts w:ascii="Book Antiqua" w:hAnsi="Book Antiqua" w:cs="Arial"/>
              </w:rPr>
            </w:pPr>
            <w:r w:rsidRPr="001358CE">
              <w:rPr>
                <w:rFonts w:ascii="Book Antiqua" w:hAnsi="Book Antiqua" w:cs="Arial"/>
              </w:rPr>
              <w:t xml:space="preserve">The specified amount or percentage of revenues retained by government should be set at a level which approximates closely to actual transactions and implementation costs, plus a small incentive for participation in </w:t>
            </w:r>
            <w:r w:rsidR="00480D3D">
              <w:rPr>
                <w:rFonts w:ascii="Book Antiqua" w:hAnsi="Book Antiqua" w:cs="Arial"/>
              </w:rPr>
              <w:t>REDD+</w:t>
            </w:r>
            <w:r w:rsidRPr="001358CE">
              <w:rPr>
                <w:rFonts w:ascii="Book Antiqua" w:hAnsi="Book Antiqua" w:cs="Arial"/>
              </w:rPr>
              <w:t>.</w:t>
            </w:r>
          </w:p>
        </w:tc>
      </w:tr>
      <w:tr w:rsidR="00795634" w:rsidRPr="00445F77">
        <w:trPr>
          <w:jc w:val="right"/>
        </w:trPr>
        <w:tc>
          <w:tcPr>
            <w:tcW w:w="1818" w:type="dxa"/>
            <w:tcBorders>
              <w:top w:val="single" w:sz="8" w:space="0" w:color="FFFFFF"/>
              <w:bottom w:val="nil"/>
              <w:right w:val="single" w:sz="24" w:space="0" w:color="FFFFFF"/>
            </w:tcBorders>
            <w:shd w:val="clear" w:color="auto" w:fill="C2D69B"/>
            <w:vAlign w:val="center"/>
          </w:tcPr>
          <w:p w:rsidR="00795634" w:rsidRPr="00EC1298" w:rsidRDefault="00B54274" w:rsidP="00795634">
            <w:pPr>
              <w:spacing w:after="0" w:line="240" w:lineRule="auto"/>
              <w:rPr>
                <w:rFonts w:ascii="Book Antiqua" w:hAnsi="Book Antiqua" w:cs="Arial"/>
              </w:rPr>
            </w:pPr>
            <w:r>
              <w:rPr>
                <w:rFonts w:ascii="Book Antiqua" w:hAnsi="Book Antiqua" w:cs="Arial"/>
              </w:rPr>
              <w:t>Actions required to confirm policy option</w:t>
            </w:r>
          </w:p>
        </w:tc>
        <w:tc>
          <w:tcPr>
            <w:tcW w:w="7186" w:type="dxa"/>
            <w:tcBorders>
              <w:top w:val="single" w:sz="8" w:space="0" w:color="FFFFFF"/>
              <w:left w:val="single" w:sz="24" w:space="0" w:color="FFFFFF"/>
              <w:bottom w:val="nil"/>
            </w:tcBorders>
            <w:shd w:val="clear" w:color="auto" w:fill="D6E3BC"/>
            <w:vAlign w:val="center"/>
          </w:tcPr>
          <w:p w:rsidR="00795634" w:rsidRPr="001358CE" w:rsidRDefault="00795634" w:rsidP="00A605C9">
            <w:pPr>
              <w:pStyle w:val="ListParagraph"/>
              <w:numPr>
                <w:ilvl w:val="0"/>
                <w:numId w:val="4"/>
              </w:numPr>
              <w:spacing w:after="0" w:line="240" w:lineRule="auto"/>
              <w:ind w:left="147" w:hanging="180"/>
              <w:contextualSpacing w:val="0"/>
              <w:jc w:val="both"/>
              <w:rPr>
                <w:rFonts w:ascii="Book Antiqua" w:hAnsi="Book Antiqua" w:cs="Arial"/>
                <w:lang w:val="en-GB"/>
              </w:rPr>
            </w:pPr>
            <w:r w:rsidRPr="001358CE">
              <w:rPr>
                <w:rFonts w:ascii="Book Antiqua" w:hAnsi="Book Antiqua" w:cs="Arial"/>
                <w:lang w:val="en-GB"/>
              </w:rPr>
              <w:t>As part of its commitment to establishing a world-class payment distribution system, the GoV should indicate that the revenues to be retained by government will be limited to actual implementation and transactions costs, against agreed budgets;</w:t>
            </w:r>
          </w:p>
          <w:p w:rsidR="00795634" w:rsidRPr="001358CE" w:rsidRDefault="00795634" w:rsidP="00A605C9">
            <w:pPr>
              <w:pStyle w:val="ListParagraph"/>
              <w:numPr>
                <w:ilvl w:val="0"/>
                <w:numId w:val="4"/>
              </w:numPr>
              <w:spacing w:after="0" w:line="240" w:lineRule="auto"/>
              <w:ind w:left="147" w:hanging="180"/>
              <w:contextualSpacing w:val="0"/>
              <w:jc w:val="both"/>
              <w:rPr>
                <w:rFonts w:ascii="Book Antiqua" w:hAnsi="Book Antiqua" w:cs="Arial"/>
                <w:lang w:val="en-GB"/>
              </w:rPr>
            </w:pPr>
            <w:r w:rsidRPr="001358CE">
              <w:rPr>
                <w:rFonts w:ascii="Book Antiqua" w:hAnsi="Book Antiqua" w:cs="Arial"/>
                <w:lang w:val="en-GB"/>
              </w:rPr>
              <w:t>The magnitude of these costs, and indicative retention levels, will be determined by further studies to be conducted.</w:t>
            </w:r>
            <w:r w:rsidRPr="001358CE">
              <w:rPr>
                <w:rFonts w:ascii="Book Antiqua" w:hAnsi="Book Antiqua" w:cs="Arial"/>
                <w:i/>
                <w:iCs/>
                <w:lang w:val="en-GB"/>
              </w:rPr>
              <w:t xml:space="preserve"> </w:t>
            </w:r>
          </w:p>
        </w:tc>
      </w:tr>
    </w:tbl>
    <w:p w:rsidR="00351F2C" w:rsidRPr="00445F77" w:rsidRDefault="00351F2C" w:rsidP="00246293">
      <w:pPr>
        <w:spacing w:after="0" w:line="300" w:lineRule="atLeast"/>
        <w:jc w:val="both"/>
        <w:rPr>
          <w:rFonts w:ascii="Arial" w:hAnsi="Arial" w:cs="Arial"/>
          <w:sz w:val="24"/>
          <w:szCs w:val="24"/>
        </w:rPr>
      </w:pPr>
    </w:p>
    <w:p w:rsidR="00351F2C" w:rsidRPr="00445F77" w:rsidRDefault="00351F2C" w:rsidP="008F6D17">
      <w:pPr>
        <w:pStyle w:val="Heading3"/>
        <w:spacing w:before="0" w:after="0"/>
        <w:rPr>
          <w:rFonts w:ascii="Arial" w:hAnsi="Arial" w:cs="Arial"/>
        </w:rPr>
      </w:pPr>
      <w:bookmarkStart w:id="403" w:name="_Toc243740844"/>
      <w:bookmarkStart w:id="404" w:name="_Toc243984154"/>
      <w:bookmarkStart w:id="405" w:name="_Toc244327680"/>
      <w:bookmarkStart w:id="406" w:name="_Toc244327930"/>
      <w:bookmarkStart w:id="407" w:name="_Toc244735090"/>
      <w:bookmarkStart w:id="408" w:name="_Toc249079564"/>
      <w:r w:rsidRPr="00445F77">
        <w:rPr>
          <w:rFonts w:ascii="Arial" w:hAnsi="Arial" w:cs="Arial"/>
        </w:rPr>
        <w:t>Local payment levels</w:t>
      </w:r>
      <w:bookmarkEnd w:id="403"/>
      <w:bookmarkEnd w:id="404"/>
      <w:bookmarkEnd w:id="405"/>
      <w:bookmarkEnd w:id="406"/>
      <w:bookmarkEnd w:id="407"/>
      <w:bookmarkEnd w:id="408"/>
    </w:p>
    <w:p w:rsidR="00351F2C" w:rsidRPr="001358CE" w:rsidRDefault="00351F2C" w:rsidP="008F6D17">
      <w:pPr>
        <w:spacing w:after="0" w:line="300" w:lineRule="atLeast"/>
        <w:jc w:val="both"/>
        <w:rPr>
          <w:rFonts w:ascii="Book Antiqua" w:hAnsi="Book Antiqua" w:cs="Arial"/>
        </w:rPr>
      </w:pPr>
      <w:r w:rsidRPr="001358CE">
        <w:rPr>
          <w:rFonts w:ascii="Book Antiqua" w:hAnsi="Book Antiqua" w:cs="Arial"/>
        </w:rPr>
        <w:t xml:space="preserve">The review and case studies presented have demonstrated that, if local-level </w:t>
      </w:r>
      <w:r w:rsidR="00480D3D">
        <w:rPr>
          <w:rFonts w:ascii="Book Antiqua" w:hAnsi="Book Antiqua" w:cs="Arial"/>
        </w:rPr>
        <w:t>REDD+</w:t>
      </w:r>
      <w:r w:rsidRPr="001358CE">
        <w:rPr>
          <w:rFonts w:ascii="Book Antiqua" w:hAnsi="Book Antiqua" w:cs="Arial"/>
        </w:rPr>
        <w:t xml:space="preserve"> payments are to be effective in reducing deforestation, they will need to be perceived as being high enough to offset any opportunity costs and other costs that forest users incur and at the same time provide clear incentives to participate in </w:t>
      </w:r>
      <w:r w:rsidR="00480D3D">
        <w:rPr>
          <w:rFonts w:ascii="Book Antiqua" w:hAnsi="Book Antiqua" w:cs="Arial"/>
        </w:rPr>
        <w:t>REDD+</w:t>
      </w:r>
      <w:r w:rsidRPr="001358CE">
        <w:rPr>
          <w:rFonts w:ascii="Book Antiqua" w:hAnsi="Book Antiqua" w:cs="Arial"/>
        </w:rPr>
        <w:t xml:space="preserve">. These costs and incentives will be both monetary and non-monetary, and will vary substantially between different groups, production systems and sites. As current procedures for calculating payments for forest conservation and the provision of environmental services in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 neither incorporate opportunity cost considerations nor allow for a mix of financial and non-financial incentives, an appropriate and effective formula for local benefit distribution will need to be agreed for </w:t>
      </w:r>
      <w:r w:rsidR="00480D3D">
        <w:rPr>
          <w:rFonts w:ascii="Book Antiqua" w:hAnsi="Book Antiqua" w:cs="Arial"/>
        </w:rPr>
        <w:t>REDD+</w:t>
      </w:r>
      <w:r w:rsidRPr="001358CE">
        <w:rPr>
          <w:rFonts w:ascii="Book Antiqua" w:hAnsi="Book Antiqua" w:cs="Arial"/>
        </w:rPr>
        <w:t xml:space="preserve"> funds.</w:t>
      </w:r>
    </w:p>
    <w:p w:rsidR="00351F2C" w:rsidRPr="001358CE" w:rsidRDefault="00351F2C" w:rsidP="00E07AB9">
      <w:pPr>
        <w:spacing w:after="0" w:line="300" w:lineRule="atLeast"/>
        <w:jc w:val="both"/>
        <w:rPr>
          <w:rFonts w:ascii="Book Antiqua" w:hAnsi="Book Antiqua" w:cs="Arial"/>
        </w:rPr>
      </w:pPr>
    </w:p>
    <w:p w:rsidR="00351F2C" w:rsidRPr="001358CE" w:rsidRDefault="00351F2C" w:rsidP="00E07AB9">
      <w:pPr>
        <w:spacing w:after="0" w:line="300" w:lineRule="atLeast"/>
        <w:jc w:val="both"/>
        <w:rPr>
          <w:rFonts w:ascii="Book Antiqua" w:hAnsi="Book Antiqua" w:cs="Arial"/>
          <w:b/>
          <w:bCs/>
        </w:rPr>
      </w:pPr>
      <w:r w:rsidRPr="001358CE">
        <w:rPr>
          <w:rFonts w:ascii="Book Antiqua" w:hAnsi="Book Antiqua" w:cs="Arial"/>
          <w:b/>
          <w:bCs/>
        </w:rPr>
        <w:t>It is recommended that the level and nature of benefits provided should reflect opportunity costs and losses incurred in avoiding deforestation, both monetary and non-monetary; although it may be most practical to use a standardised formula to compute payments, this should allow for weighting to reflect variation in the costs of generating emissions reductions between different areas and groups and under different production systems and ecological conditions.</w:t>
      </w:r>
    </w:p>
    <w:p w:rsidR="00351F2C" w:rsidRPr="001358CE" w:rsidRDefault="00351F2C" w:rsidP="00E07AB9">
      <w:pPr>
        <w:spacing w:after="0" w:line="300" w:lineRule="atLeast"/>
        <w:jc w:val="both"/>
        <w:rPr>
          <w:rFonts w:ascii="Book Antiqua" w:hAnsi="Book Antiqua" w:cs="Arial"/>
        </w:rPr>
      </w:pPr>
    </w:p>
    <w:p w:rsidR="00351F2C" w:rsidRPr="001358CE" w:rsidRDefault="00351F2C" w:rsidP="00E07AB9">
      <w:pPr>
        <w:spacing w:after="0" w:line="300" w:lineRule="atLeast"/>
        <w:jc w:val="both"/>
        <w:rPr>
          <w:rFonts w:ascii="Book Antiqua" w:hAnsi="Book Antiqua" w:cs="Arial"/>
        </w:rPr>
      </w:pPr>
      <w:r w:rsidRPr="001358CE">
        <w:rPr>
          <w:rFonts w:ascii="Book Antiqua" w:hAnsi="Book Antiqua" w:cs="Arial"/>
        </w:rPr>
        <w:t xml:space="preserve">Consistent with its stated goals of compensating for the provision of environmental services and stimulating sustainable rural development, the GoV should reiterate its intention to ensure that </w:t>
      </w:r>
      <w:r w:rsidR="00480D3D">
        <w:rPr>
          <w:rFonts w:ascii="Book Antiqua" w:hAnsi="Book Antiqua" w:cs="Arial"/>
        </w:rPr>
        <w:t>REDD+</w:t>
      </w:r>
      <w:r w:rsidRPr="001358CE">
        <w:rPr>
          <w:rFonts w:ascii="Book Antiqua" w:hAnsi="Book Antiqua" w:cs="Arial"/>
        </w:rPr>
        <w:t xml:space="preserve"> benefits shared with forest land and resource users will be set at equitable and effective levels.</w:t>
      </w:r>
    </w:p>
    <w:p w:rsidR="00351F2C" w:rsidRPr="001358CE" w:rsidRDefault="00351F2C" w:rsidP="00E07AB9">
      <w:pPr>
        <w:spacing w:after="0" w:line="300" w:lineRule="atLeast"/>
        <w:jc w:val="both"/>
        <w:rPr>
          <w:rFonts w:ascii="Book Antiqua" w:hAnsi="Book Antiqua" w:cs="Arial"/>
        </w:rPr>
      </w:pPr>
    </w:p>
    <w:p w:rsidR="00351F2C" w:rsidRPr="001358CE" w:rsidRDefault="00B54274" w:rsidP="00E07AB9">
      <w:pPr>
        <w:spacing w:after="0" w:line="300" w:lineRule="atLeast"/>
        <w:jc w:val="both"/>
        <w:rPr>
          <w:rFonts w:ascii="Book Antiqua" w:hAnsi="Book Antiqua" w:cs="Arial"/>
        </w:rPr>
      </w:pPr>
      <w:r>
        <w:rPr>
          <w:rFonts w:ascii="Book Antiqua" w:hAnsi="Book Antiqua" w:cs="Arial"/>
        </w:rPr>
        <w:t>An on-going</w:t>
      </w:r>
      <w:r w:rsidR="00351F2C" w:rsidRPr="001358CE">
        <w:rPr>
          <w:rFonts w:ascii="Book Antiqua" w:hAnsi="Book Antiqua" w:cs="Arial"/>
        </w:rPr>
        <w:t xml:space="preserve"> workplan should therefore include studies to investigate further the opportunity costs of generating emissions reductions through avoided deforestation in different parts of </w:t>
      </w:r>
      <w:smartTag w:uri="urn:schemas-microsoft-com:office:smarttags" w:element="country-region">
        <w:smartTag w:uri="urn:schemas-microsoft-com:office:smarttags" w:element="place">
          <w:r w:rsidR="00351F2C" w:rsidRPr="001358CE">
            <w:rPr>
              <w:rFonts w:ascii="Book Antiqua" w:hAnsi="Book Antiqua" w:cs="Arial"/>
            </w:rPr>
            <w:t>Viet Nam</w:t>
          </w:r>
        </w:smartTag>
      </w:smartTag>
      <w:r w:rsidR="00351F2C" w:rsidRPr="001358CE">
        <w:rPr>
          <w:rFonts w:ascii="Book Antiqua" w:hAnsi="Book Antiqua" w:cs="Arial"/>
        </w:rPr>
        <w:t>, and under different production and ecological conditions. This will provide a basis for determining broad norms for local payment levels.  These might be termed “R-coefficients”, and are similar to the “K-factors” that are currently applied to Payments for Environmental Services.</w:t>
      </w:r>
    </w:p>
    <w:p w:rsidR="00351F2C" w:rsidRPr="00445F77" w:rsidRDefault="00351F2C" w:rsidP="00E07AB9">
      <w:pPr>
        <w:spacing w:after="0"/>
        <w:rPr>
          <w:rFonts w:ascii="Arial" w:hAnsi="Arial" w:cs="Arial"/>
          <w:sz w:val="24"/>
          <w:szCs w:val="24"/>
        </w:rPr>
      </w:pPr>
    </w:p>
    <w:tbl>
      <w:tblPr>
        <w:tblW w:w="5000" w:type="pct"/>
        <w:tblBorders>
          <w:insideH w:val="single" w:sz="24" w:space="0" w:color="FFFFFF"/>
          <w:insideV w:val="single" w:sz="24" w:space="0" w:color="FFFFFF"/>
        </w:tblBorders>
        <w:tblLook w:val="00A0"/>
      </w:tblPr>
      <w:tblGrid>
        <w:gridCol w:w="1729"/>
        <w:gridCol w:w="7275"/>
      </w:tblGrid>
      <w:tr w:rsidR="00351F2C" w:rsidRPr="00445F77">
        <w:trPr>
          <w:tblHeader/>
        </w:trPr>
        <w:tc>
          <w:tcPr>
            <w:tcW w:w="5000" w:type="pct"/>
            <w:gridSpan w:val="2"/>
            <w:tcBorders>
              <w:bottom w:val="single" w:sz="24" w:space="0" w:color="FFFFFF"/>
            </w:tcBorders>
            <w:shd w:val="clear" w:color="auto" w:fill="76923C"/>
            <w:vAlign w:val="center"/>
          </w:tcPr>
          <w:p w:rsidR="00351F2C" w:rsidRPr="001358CE" w:rsidRDefault="00351F2C" w:rsidP="00034B8C">
            <w:pPr>
              <w:spacing w:after="0" w:line="240" w:lineRule="auto"/>
              <w:jc w:val="center"/>
              <w:rPr>
                <w:rFonts w:ascii="Book Antiqua" w:hAnsi="Book Antiqua" w:cs="Arial"/>
                <w:b/>
                <w:bCs/>
                <w:color w:val="FFFFFF"/>
                <w:sz w:val="24"/>
                <w:szCs w:val="24"/>
              </w:rPr>
            </w:pPr>
            <w:r w:rsidRPr="001358CE">
              <w:rPr>
                <w:rFonts w:ascii="Book Antiqua" w:hAnsi="Book Antiqua" w:cs="Arial"/>
                <w:b/>
                <w:bCs/>
                <w:color w:val="FFFFFF"/>
                <w:sz w:val="24"/>
                <w:szCs w:val="24"/>
              </w:rPr>
              <w:t>POLICY DECISION 5.2</w:t>
            </w:r>
          </w:p>
          <w:p w:rsidR="00351F2C" w:rsidRPr="00445F77" w:rsidRDefault="00351F2C" w:rsidP="00034B8C">
            <w:pPr>
              <w:spacing w:after="0" w:line="240" w:lineRule="auto"/>
              <w:jc w:val="center"/>
              <w:rPr>
                <w:rFonts w:ascii="Arial" w:hAnsi="Arial" w:cs="Arial"/>
                <w:b/>
                <w:bCs/>
                <w:color w:val="FFFFFF"/>
                <w:sz w:val="24"/>
                <w:szCs w:val="24"/>
              </w:rPr>
            </w:pPr>
            <w:r w:rsidRPr="001358CE">
              <w:rPr>
                <w:rFonts w:ascii="Book Antiqua" w:hAnsi="Book Antiqua" w:cs="Arial"/>
                <w:b/>
                <w:bCs/>
                <w:color w:val="FFFFFF"/>
                <w:sz w:val="24"/>
                <w:szCs w:val="24"/>
              </w:rPr>
              <w:t>Local payment levels</w:t>
            </w:r>
          </w:p>
        </w:tc>
      </w:tr>
      <w:tr w:rsidR="00A605C9" w:rsidRPr="00445F77">
        <w:tc>
          <w:tcPr>
            <w:tcW w:w="960" w:type="pct"/>
            <w:tcBorders>
              <w:top w:val="single" w:sz="24" w:space="0" w:color="FFFFFF"/>
              <w:bottom w:val="single" w:sz="8" w:space="0" w:color="FFFFFF"/>
              <w:right w:val="single" w:sz="24" w:space="0" w:color="FFFFFF"/>
            </w:tcBorders>
            <w:shd w:val="clear" w:color="auto" w:fill="C2D69B"/>
            <w:vAlign w:val="center"/>
          </w:tcPr>
          <w:p w:rsidR="00A605C9" w:rsidRPr="00EC1298" w:rsidRDefault="00A605C9" w:rsidP="00795634">
            <w:pPr>
              <w:spacing w:after="0" w:line="240" w:lineRule="auto"/>
              <w:rPr>
                <w:rFonts w:ascii="Book Antiqua" w:hAnsi="Book Antiqua" w:cs="Arial"/>
              </w:rPr>
            </w:pPr>
            <w:r w:rsidRPr="00EC1298">
              <w:rPr>
                <w:rFonts w:ascii="Book Antiqua" w:hAnsi="Book Antiqua" w:cs="Arial"/>
              </w:rPr>
              <w:t>Issue to be addressed</w:t>
            </w:r>
          </w:p>
        </w:tc>
        <w:tc>
          <w:tcPr>
            <w:tcW w:w="4040" w:type="pct"/>
            <w:tcBorders>
              <w:top w:val="single" w:sz="24" w:space="0" w:color="FFFFFF"/>
              <w:left w:val="single" w:sz="24" w:space="0" w:color="FFFFFF"/>
              <w:bottom w:val="single" w:sz="8" w:space="0" w:color="FFFFFF"/>
            </w:tcBorders>
            <w:shd w:val="clear" w:color="auto" w:fill="D6E3BC"/>
            <w:vAlign w:val="center"/>
          </w:tcPr>
          <w:p w:rsidR="00A605C9" w:rsidRDefault="000711A6" w:rsidP="00A605C9">
            <w:pPr>
              <w:spacing w:after="0" w:line="240" w:lineRule="auto"/>
              <w:jc w:val="both"/>
              <w:rPr>
                <w:rFonts w:ascii="Book Antiqua" w:hAnsi="Book Antiqua" w:cs="Arial"/>
              </w:rPr>
            </w:pPr>
            <w:r w:rsidRPr="005B3882">
              <w:rPr>
                <w:rFonts w:ascii="Book Antiqua" w:hAnsi="Book Antiqua" w:cs="Arial"/>
              </w:rPr>
              <w:t>Local-level payments for avoided deforestation</w:t>
            </w:r>
            <w:r>
              <w:rPr>
                <w:rFonts w:ascii="Book Antiqua" w:hAnsi="Book Antiqua" w:cs="Arial"/>
              </w:rPr>
              <w:t xml:space="preserve"> and forest degradation, and for conservation, sustainable forest management and enhancement of carbon stocks,</w:t>
            </w:r>
            <w:r w:rsidRPr="005B3882">
              <w:rPr>
                <w:rFonts w:ascii="Book Antiqua" w:hAnsi="Book Antiqua" w:cs="Arial"/>
              </w:rPr>
              <w:t xml:space="preserve"> </w:t>
            </w:r>
            <w:r w:rsidR="00A605C9" w:rsidRPr="003C0FC0">
              <w:rPr>
                <w:rFonts w:ascii="Book Antiqua" w:hAnsi="Book Antiqua" w:cs="Arial"/>
              </w:rPr>
              <w:t xml:space="preserve">should both compensate the expenditures and opportunity costs incurred, as well as providing clear incentives to land and resource users. Current procedures for calculating payments for forest conservation and the provision of environmental services in </w:t>
            </w:r>
            <w:smartTag w:uri="urn:schemas-microsoft-com:office:smarttags" w:element="country-region">
              <w:smartTag w:uri="urn:schemas-microsoft-com:office:smarttags" w:element="place">
                <w:r w:rsidR="00A605C9" w:rsidRPr="003C0FC0">
                  <w:rPr>
                    <w:rFonts w:ascii="Book Antiqua" w:hAnsi="Book Antiqua" w:cs="Arial"/>
                  </w:rPr>
                  <w:t>Viet Nam</w:t>
                </w:r>
              </w:smartTag>
            </w:smartTag>
            <w:r w:rsidR="00A605C9" w:rsidRPr="003C0FC0">
              <w:rPr>
                <w:rFonts w:ascii="Book Antiqua" w:hAnsi="Book Antiqua" w:cs="Arial"/>
              </w:rPr>
              <w:t xml:space="preserve"> do not reflect the variation in supply costs, or balance the need for monetary and non-monetary incentives.</w:t>
            </w:r>
          </w:p>
          <w:p w:rsidR="00A605C9" w:rsidRDefault="00A605C9" w:rsidP="00A605C9">
            <w:pPr>
              <w:spacing w:after="0" w:line="240" w:lineRule="auto"/>
              <w:jc w:val="both"/>
              <w:rPr>
                <w:rFonts w:ascii="Book Antiqua" w:hAnsi="Book Antiqua" w:cs="Arial"/>
              </w:rPr>
            </w:pPr>
          </w:p>
          <w:p w:rsidR="00A605C9" w:rsidRPr="003C0FC0" w:rsidRDefault="00A605C9" w:rsidP="00A605C9">
            <w:pPr>
              <w:spacing w:after="0" w:line="240" w:lineRule="auto"/>
              <w:jc w:val="both"/>
              <w:rPr>
                <w:rFonts w:ascii="Book Antiqua" w:hAnsi="Book Antiqua" w:cs="Arial"/>
              </w:rPr>
            </w:pPr>
            <w:r w:rsidRPr="005B3882">
              <w:rPr>
                <w:rFonts w:ascii="Book Antiqua" w:hAnsi="Book Antiqua" w:cs="Arial"/>
              </w:rPr>
              <w:t xml:space="preserve">Payment structuring can also be designed to meet social goals in parallel with rewarding performance.  This is the intent of the K-factors developed by PFES pilot projects.  As </w:t>
            </w:r>
            <w:r>
              <w:rPr>
                <w:rFonts w:ascii="Book Antiqua" w:hAnsi="Book Antiqua" w:cs="Arial"/>
              </w:rPr>
              <w:t>REDD+</w:t>
            </w:r>
            <w:r w:rsidRPr="005B3882">
              <w:rPr>
                <w:rFonts w:ascii="Book Antiqua" w:hAnsi="Book Antiqua" w:cs="Arial"/>
              </w:rPr>
              <w:t xml:space="preserve"> is expected to address local social and economic needs while rewarding performance in reducing emissions, similar considerations should be incorporated into </w:t>
            </w:r>
            <w:r>
              <w:rPr>
                <w:rFonts w:ascii="Book Antiqua" w:hAnsi="Book Antiqua" w:cs="Arial"/>
              </w:rPr>
              <w:t>REDD+</w:t>
            </w:r>
            <w:r w:rsidRPr="005B3882">
              <w:rPr>
                <w:rFonts w:ascii="Book Antiqua" w:hAnsi="Book Antiqua" w:cs="Arial"/>
              </w:rPr>
              <w:t xml:space="preserve"> payment structuring.  However, </w:t>
            </w:r>
            <w:r>
              <w:rPr>
                <w:rFonts w:ascii="Book Antiqua" w:hAnsi="Book Antiqua" w:cs="Arial"/>
              </w:rPr>
              <w:t>REDD+</w:t>
            </w:r>
            <w:r w:rsidRPr="005B3882">
              <w:rPr>
                <w:rFonts w:ascii="Book Antiqua" w:hAnsi="Book Antiqua" w:cs="Arial"/>
              </w:rPr>
              <w:t xml:space="preserve"> considerations will not be the same as those applicable to PFES as there are additional actors influencing the criteria used for payment structuring, notably international investors.</w:t>
            </w:r>
          </w:p>
        </w:tc>
      </w:tr>
      <w:tr w:rsidR="000711A6" w:rsidRPr="00445F77">
        <w:tc>
          <w:tcPr>
            <w:tcW w:w="960" w:type="pct"/>
            <w:tcBorders>
              <w:top w:val="single" w:sz="8" w:space="0" w:color="FFFFFF"/>
              <w:bottom w:val="single" w:sz="8" w:space="0" w:color="FFFFFF"/>
              <w:right w:val="single" w:sz="24" w:space="0" w:color="FFFFFF"/>
            </w:tcBorders>
            <w:shd w:val="clear" w:color="auto" w:fill="C2D69B"/>
            <w:vAlign w:val="center"/>
          </w:tcPr>
          <w:p w:rsidR="000711A6" w:rsidRPr="00EC1298" w:rsidRDefault="000711A6" w:rsidP="00795634">
            <w:pPr>
              <w:spacing w:after="0" w:line="240" w:lineRule="auto"/>
              <w:rPr>
                <w:rFonts w:ascii="Book Antiqua" w:hAnsi="Book Antiqua" w:cs="Arial"/>
              </w:rPr>
            </w:pPr>
            <w:r w:rsidRPr="00EC1298">
              <w:rPr>
                <w:rFonts w:ascii="Book Antiqua" w:hAnsi="Book Antiqua" w:cs="Arial"/>
              </w:rPr>
              <w:t>Options</w:t>
            </w:r>
          </w:p>
        </w:tc>
        <w:tc>
          <w:tcPr>
            <w:tcW w:w="4040" w:type="pct"/>
            <w:tcBorders>
              <w:top w:val="single" w:sz="8" w:space="0" w:color="FFFFFF"/>
              <w:left w:val="single" w:sz="24" w:space="0" w:color="FFFFFF"/>
              <w:bottom w:val="single" w:sz="8" w:space="0" w:color="FFFFFF"/>
            </w:tcBorders>
            <w:shd w:val="clear" w:color="auto" w:fill="D6E3BC"/>
            <w:vAlign w:val="center"/>
          </w:tcPr>
          <w:p w:rsidR="000711A6" w:rsidRPr="003C0FC0" w:rsidRDefault="000711A6" w:rsidP="0096579B">
            <w:pPr>
              <w:pStyle w:val="ListParagraph"/>
              <w:numPr>
                <w:ilvl w:val="0"/>
                <w:numId w:val="5"/>
              </w:numPr>
              <w:spacing w:after="0" w:line="240" w:lineRule="auto"/>
              <w:ind w:left="251" w:hanging="284"/>
              <w:contextualSpacing w:val="0"/>
              <w:jc w:val="both"/>
              <w:rPr>
                <w:rFonts w:ascii="Book Antiqua" w:hAnsi="Book Antiqua" w:cs="Arial"/>
                <w:lang w:val="en-GB"/>
              </w:rPr>
            </w:pPr>
            <w:r w:rsidRPr="003C0FC0">
              <w:rPr>
                <w:rFonts w:ascii="Book Antiqua" w:hAnsi="Book Antiqua" w:cs="Arial"/>
                <w:lang w:val="en-GB"/>
              </w:rPr>
              <w:t>Apply standardized cost norms; or</w:t>
            </w:r>
          </w:p>
          <w:p w:rsidR="000711A6" w:rsidRPr="003C0FC0" w:rsidRDefault="000711A6" w:rsidP="0096579B">
            <w:pPr>
              <w:pStyle w:val="ListParagraph"/>
              <w:numPr>
                <w:ilvl w:val="0"/>
                <w:numId w:val="5"/>
              </w:numPr>
              <w:spacing w:after="0" w:line="240" w:lineRule="auto"/>
              <w:ind w:left="251" w:hanging="284"/>
              <w:contextualSpacing w:val="0"/>
              <w:jc w:val="both"/>
              <w:rPr>
                <w:rFonts w:ascii="Book Antiqua" w:hAnsi="Book Antiqua" w:cs="Arial"/>
                <w:lang w:val="en-GB"/>
              </w:rPr>
            </w:pPr>
            <w:r w:rsidRPr="003C0FC0">
              <w:rPr>
                <w:rFonts w:ascii="Book Antiqua" w:hAnsi="Book Antiqua" w:cs="Arial"/>
                <w:lang w:val="en-GB"/>
              </w:rPr>
              <w:t xml:space="preserve">Base payments on costs incurred </w:t>
            </w:r>
            <w:r>
              <w:rPr>
                <w:rFonts w:ascii="Book Antiqua" w:hAnsi="Book Antiqua" w:cs="Arial"/>
                <w:lang w:val="en-GB"/>
              </w:rPr>
              <w:t xml:space="preserve">and amount of emissions reduced. </w:t>
            </w:r>
            <w:r w:rsidRPr="003C0FC0">
              <w:rPr>
                <w:rFonts w:ascii="Book Antiqua" w:hAnsi="Book Antiqua" w:cs="Arial"/>
                <w:i/>
                <w:iCs/>
                <w:lang w:val="en-GB"/>
              </w:rPr>
              <w:t>and</w:t>
            </w:r>
          </w:p>
          <w:p w:rsidR="000711A6" w:rsidRPr="003C0FC0" w:rsidRDefault="000711A6" w:rsidP="0096579B">
            <w:pPr>
              <w:pStyle w:val="ListParagraph"/>
              <w:numPr>
                <w:ilvl w:val="0"/>
                <w:numId w:val="8"/>
              </w:numPr>
              <w:spacing w:after="0" w:line="240" w:lineRule="auto"/>
              <w:ind w:left="251" w:hanging="284"/>
              <w:contextualSpacing w:val="0"/>
              <w:jc w:val="both"/>
              <w:rPr>
                <w:rFonts w:ascii="Book Antiqua" w:hAnsi="Book Antiqua" w:cs="Arial"/>
                <w:lang w:val="en-GB"/>
              </w:rPr>
            </w:pPr>
            <w:r w:rsidRPr="003C0FC0">
              <w:rPr>
                <w:rFonts w:ascii="Book Antiqua" w:hAnsi="Book Antiqua" w:cs="Arial"/>
                <w:lang w:val="en-GB"/>
              </w:rPr>
              <w:t>Make cash payments only; or</w:t>
            </w:r>
          </w:p>
          <w:p w:rsidR="000711A6" w:rsidRPr="001358CE" w:rsidRDefault="000711A6" w:rsidP="008227FD">
            <w:pPr>
              <w:pStyle w:val="ListParagraph"/>
              <w:numPr>
                <w:ilvl w:val="0"/>
                <w:numId w:val="146"/>
              </w:numPr>
              <w:spacing w:after="0" w:line="240" w:lineRule="auto"/>
              <w:ind w:left="219" w:hanging="270"/>
              <w:contextualSpacing w:val="0"/>
              <w:jc w:val="both"/>
              <w:rPr>
                <w:rFonts w:ascii="Book Antiqua" w:hAnsi="Book Antiqua" w:cs="Arial"/>
                <w:lang w:val="en-GB"/>
              </w:rPr>
            </w:pPr>
            <w:r w:rsidRPr="003C0FC0">
              <w:rPr>
                <w:rFonts w:ascii="Book Antiqua" w:hAnsi="Book Antiqua" w:cs="Arial"/>
                <w:lang w:val="en-GB"/>
              </w:rPr>
              <w:t>Combine cash payments and non-monetary benefits.</w:t>
            </w:r>
          </w:p>
        </w:tc>
      </w:tr>
      <w:tr w:rsidR="000711A6" w:rsidRPr="00445F77">
        <w:tc>
          <w:tcPr>
            <w:tcW w:w="960" w:type="pct"/>
            <w:tcBorders>
              <w:top w:val="single" w:sz="8" w:space="0" w:color="FFFFFF"/>
              <w:bottom w:val="single" w:sz="8" w:space="0" w:color="FFFFFF"/>
              <w:right w:val="single" w:sz="24" w:space="0" w:color="FFFFFF"/>
            </w:tcBorders>
            <w:shd w:val="clear" w:color="auto" w:fill="C2D69B"/>
            <w:vAlign w:val="center"/>
          </w:tcPr>
          <w:p w:rsidR="000711A6" w:rsidRPr="00EC1298" w:rsidRDefault="000711A6" w:rsidP="00795634">
            <w:pPr>
              <w:spacing w:after="0" w:line="240" w:lineRule="auto"/>
              <w:rPr>
                <w:rFonts w:ascii="Book Antiqua" w:hAnsi="Book Antiqua" w:cs="Arial"/>
              </w:rPr>
            </w:pPr>
            <w:r w:rsidRPr="00EC1298">
              <w:rPr>
                <w:rFonts w:ascii="Book Antiqua" w:hAnsi="Book Antiqua" w:cs="Arial"/>
              </w:rPr>
              <w:t>Recommended principle or policy to be adopted</w:t>
            </w:r>
          </w:p>
        </w:tc>
        <w:tc>
          <w:tcPr>
            <w:tcW w:w="4040" w:type="pct"/>
            <w:tcBorders>
              <w:top w:val="single" w:sz="8" w:space="0" w:color="FFFFFF"/>
              <w:left w:val="single" w:sz="24" w:space="0" w:color="FFFFFF"/>
              <w:bottom w:val="single" w:sz="8" w:space="0" w:color="FFFFFF"/>
            </w:tcBorders>
            <w:shd w:val="clear" w:color="auto" w:fill="D6E3BC"/>
            <w:vAlign w:val="center"/>
          </w:tcPr>
          <w:p w:rsidR="000711A6" w:rsidRPr="001358CE" w:rsidRDefault="000711A6" w:rsidP="00A605C9">
            <w:pPr>
              <w:spacing w:after="0" w:line="240" w:lineRule="auto"/>
              <w:jc w:val="both"/>
              <w:rPr>
                <w:rFonts w:ascii="Book Antiqua" w:hAnsi="Book Antiqua" w:cs="Arial"/>
              </w:rPr>
            </w:pPr>
            <w:r w:rsidRPr="003C0FC0">
              <w:rPr>
                <w:rFonts w:ascii="Book Antiqua" w:hAnsi="Book Antiqua" w:cs="Arial"/>
              </w:rPr>
              <w:t>The level and nature of benefits provided should reflect opportunity costs and losses incurred in avoiding deforestation</w:t>
            </w:r>
            <w:r>
              <w:rPr>
                <w:rFonts w:ascii="Book Antiqua" w:hAnsi="Book Antiqua" w:cs="Arial"/>
              </w:rPr>
              <w:t xml:space="preserve"> and forest degradation, and for conservation, sustainable forest management and enhancement of carbon stocks</w:t>
            </w:r>
            <w:r w:rsidRPr="003C0FC0">
              <w:rPr>
                <w:rFonts w:ascii="Book Antiqua" w:hAnsi="Book Antiqua" w:cs="Arial"/>
              </w:rPr>
              <w:t>, both monetary and non-monetary; although it may be most practical to use a standardised formula to compute payments, this should allow for weighting to reflect variation in the costs of generating emissions reductions between different areas and groups and under different production systems and ecological conditions.</w:t>
            </w:r>
          </w:p>
        </w:tc>
      </w:tr>
      <w:tr w:rsidR="00795634" w:rsidRPr="00445F77">
        <w:tc>
          <w:tcPr>
            <w:tcW w:w="960" w:type="pct"/>
            <w:tcBorders>
              <w:top w:val="single" w:sz="8" w:space="0" w:color="FFFFFF"/>
              <w:bottom w:val="nil"/>
              <w:right w:val="single" w:sz="24" w:space="0" w:color="FFFFFF"/>
            </w:tcBorders>
            <w:shd w:val="clear" w:color="auto" w:fill="C2D69B"/>
            <w:vAlign w:val="center"/>
          </w:tcPr>
          <w:p w:rsidR="00795634" w:rsidRPr="00EC1298" w:rsidRDefault="00B54274" w:rsidP="00795634">
            <w:pPr>
              <w:spacing w:after="0" w:line="240" w:lineRule="auto"/>
              <w:rPr>
                <w:rFonts w:ascii="Book Antiqua" w:hAnsi="Book Antiqua" w:cs="Arial"/>
              </w:rPr>
            </w:pPr>
            <w:r>
              <w:rPr>
                <w:rFonts w:ascii="Book Antiqua" w:hAnsi="Book Antiqua" w:cs="Arial"/>
              </w:rPr>
              <w:t>Actions required to confirm policy option</w:t>
            </w:r>
          </w:p>
        </w:tc>
        <w:tc>
          <w:tcPr>
            <w:tcW w:w="4040" w:type="pct"/>
            <w:tcBorders>
              <w:top w:val="single" w:sz="8" w:space="0" w:color="FFFFFF"/>
              <w:left w:val="single" w:sz="24" w:space="0" w:color="FFFFFF"/>
              <w:bottom w:val="nil"/>
            </w:tcBorders>
            <w:shd w:val="clear" w:color="auto" w:fill="D6E3BC"/>
            <w:vAlign w:val="center"/>
          </w:tcPr>
          <w:p w:rsidR="00A605C9" w:rsidRPr="003C0FC0" w:rsidRDefault="00A605C9" w:rsidP="00A605C9">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Consistent with its stated goals of compensating for the provision of environmental services and stimulating sustainable</w:t>
            </w:r>
            <w:r w:rsidRPr="003C0FC0">
              <w:rPr>
                <w:rFonts w:ascii="Book Antiqua" w:hAnsi="Book Antiqua" w:cs="Arial"/>
                <w:i/>
                <w:iCs/>
                <w:lang w:val="en-GB"/>
              </w:rPr>
              <w:t xml:space="preserve"> </w:t>
            </w:r>
            <w:r w:rsidRPr="003C0FC0">
              <w:rPr>
                <w:rFonts w:ascii="Book Antiqua" w:hAnsi="Book Antiqua" w:cs="Arial"/>
                <w:lang w:val="en-GB"/>
              </w:rPr>
              <w:t>rural development, the GoV should reiterate its intention to ensure that REDD+ benefits shared with forest land and resource users will be set at equitable and effective levels.</w:t>
            </w:r>
          </w:p>
          <w:p w:rsidR="00A605C9" w:rsidRPr="003C0FC0" w:rsidRDefault="00A605C9" w:rsidP="00A605C9">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 xml:space="preserve">Further work will require broad opportunity cost norms to be investigated for different areas, groups, production systems and </w:t>
            </w:r>
            <w:r w:rsidRPr="003C0FC0">
              <w:rPr>
                <w:rFonts w:ascii="Book Antiqua" w:hAnsi="Book Antiqua" w:cs="Arial"/>
                <w:lang w:val="en-GB"/>
              </w:rPr>
              <w:lastRenderedPageBreak/>
              <w:t>ecological conditions;</w:t>
            </w:r>
          </w:p>
          <w:p w:rsidR="00795634" w:rsidRPr="001358CE" w:rsidRDefault="00A605C9" w:rsidP="00A605C9">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Further work will include design of checks and balances and</w:t>
            </w:r>
            <w:r w:rsidRPr="003C0FC0">
              <w:rPr>
                <w:rFonts w:ascii="Book Antiqua" w:hAnsi="Book Antiqua" w:cs="Arial"/>
                <w:i/>
                <w:iCs/>
                <w:lang w:val="en-GB"/>
              </w:rPr>
              <w:t xml:space="preserve"> </w:t>
            </w:r>
            <w:r w:rsidRPr="003C0FC0">
              <w:rPr>
                <w:rFonts w:ascii="Book Antiqua" w:hAnsi="Book Antiqua" w:cs="Arial"/>
                <w:lang w:val="en-GB"/>
              </w:rPr>
              <w:t>guidance on calculation of payment weights (</w:t>
            </w:r>
            <w:r>
              <w:rPr>
                <w:rFonts w:ascii="Book Antiqua" w:hAnsi="Book Antiqua" w:cs="Arial"/>
                <w:lang w:val="en-GB"/>
              </w:rPr>
              <w:t xml:space="preserve">“R-Coefficients”, </w:t>
            </w:r>
            <w:r w:rsidRPr="003C0FC0">
              <w:rPr>
                <w:rFonts w:ascii="Book Antiqua" w:hAnsi="Book Antiqua" w:cs="Arial"/>
                <w:lang w:val="en-GB"/>
              </w:rPr>
              <w:t xml:space="preserve">similar to the “K-factors” used in current </w:t>
            </w:r>
            <w:r>
              <w:rPr>
                <w:rFonts w:ascii="Book Antiqua" w:hAnsi="Book Antiqua" w:cs="Arial"/>
                <w:lang w:val="en-GB"/>
              </w:rPr>
              <w:t>PFES</w:t>
            </w:r>
            <w:r w:rsidRPr="003C0FC0">
              <w:rPr>
                <w:rFonts w:ascii="Book Antiqua" w:hAnsi="Book Antiqua" w:cs="Arial"/>
                <w:lang w:val="en-GB"/>
              </w:rPr>
              <w:t xml:space="preserve"> schemes).</w:t>
            </w:r>
          </w:p>
        </w:tc>
      </w:tr>
    </w:tbl>
    <w:p w:rsidR="00351F2C" w:rsidRPr="00445F77" w:rsidRDefault="00351F2C" w:rsidP="008F6D17">
      <w:pPr>
        <w:spacing w:after="0" w:line="300" w:lineRule="atLeast"/>
        <w:jc w:val="both"/>
        <w:rPr>
          <w:rFonts w:ascii="Arial" w:hAnsi="Arial" w:cs="Arial"/>
          <w:sz w:val="24"/>
          <w:szCs w:val="24"/>
        </w:rPr>
      </w:pPr>
    </w:p>
    <w:p w:rsidR="00351F2C" w:rsidRPr="00445F77" w:rsidRDefault="00351F2C" w:rsidP="008F6D17">
      <w:pPr>
        <w:pStyle w:val="Heading3"/>
        <w:spacing w:before="0" w:after="0"/>
        <w:rPr>
          <w:rFonts w:ascii="Arial" w:hAnsi="Arial" w:cs="Arial"/>
        </w:rPr>
      </w:pPr>
      <w:r w:rsidRPr="00445F77">
        <w:rPr>
          <w:rFonts w:ascii="Arial" w:hAnsi="Arial" w:cs="Arial"/>
        </w:rPr>
        <w:t xml:space="preserve"> </w:t>
      </w:r>
      <w:bookmarkStart w:id="409" w:name="_Toc243740845"/>
      <w:bookmarkStart w:id="410" w:name="_Toc243984155"/>
      <w:bookmarkStart w:id="411" w:name="_Toc244327681"/>
      <w:bookmarkStart w:id="412" w:name="_Toc244327931"/>
      <w:bookmarkStart w:id="413" w:name="_Toc244735091"/>
      <w:bookmarkStart w:id="414" w:name="_Toc249079565"/>
      <w:r w:rsidRPr="00445F77">
        <w:rPr>
          <w:rFonts w:ascii="Arial" w:hAnsi="Arial" w:cs="Arial"/>
        </w:rPr>
        <w:t>Admissible costs and activities</w:t>
      </w:r>
      <w:bookmarkEnd w:id="409"/>
      <w:bookmarkEnd w:id="410"/>
      <w:bookmarkEnd w:id="411"/>
      <w:bookmarkEnd w:id="412"/>
      <w:bookmarkEnd w:id="413"/>
      <w:bookmarkEnd w:id="414"/>
    </w:p>
    <w:p w:rsidR="00351F2C" w:rsidRPr="001358CE" w:rsidRDefault="00351F2C" w:rsidP="008F6D17">
      <w:pPr>
        <w:spacing w:after="0" w:line="300" w:lineRule="atLeast"/>
        <w:jc w:val="both"/>
        <w:rPr>
          <w:rFonts w:ascii="Book Antiqua" w:hAnsi="Book Antiqua" w:cs="Arial"/>
        </w:rPr>
      </w:pPr>
      <w:r w:rsidRPr="001358CE">
        <w:rPr>
          <w:rFonts w:ascii="Book Antiqua" w:hAnsi="Book Antiqua" w:cs="Arial"/>
        </w:rPr>
        <w:t xml:space="preserve">This chapter has underlined the importance of linking </w:t>
      </w:r>
      <w:r w:rsidR="00480D3D">
        <w:rPr>
          <w:rFonts w:ascii="Book Antiqua" w:hAnsi="Book Antiqua" w:cs="Arial"/>
        </w:rPr>
        <w:t>REDD+</w:t>
      </w:r>
      <w:r w:rsidRPr="001358CE">
        <w:rPr>
          <w:rFonts w:ascii="Book Antiqua" w:hAnsi="Book Antiqua" w:cs="Arial"/>
        </w:rPr>
        <w:t xml:space="preserve"> payments to performance in delivering reduced emissions through avoided deforestation, and as far as possible avoiding the possibility that </w:t>
      </w:r>
      <w:r w:rsidR="00480D3D">
        <w:rPr>
          <w:rFonts w:ascii="Book Antiqua" w:hAnsi="Book Antiqua" w:cs="Arial"/>
        </w:rPr>
        <w:t>REDD+</w:t>
      </w:r>
      <w:r w:rsidRPr="001358CE">
        <w:rPr>
          <w:rFonts w:ascii="Book Antiqua" w:hAnsi="Book Antiqua" w:cs="Arial"/>
        </w:rPr>
        <w:t xml:space="preserve"> funds are “sidelined” or used for other purposes than those intended. In this respect, </w:t>
      </w:r>
      <w:r w:rsidR="00480D3D">
        <w:rPr>
          <w:rFonts w:ascii="Book Antiqua" w:hAnsi="Book Antiqua" w:cs="Arial"/>
        </w:rPr>
        <w:t>REDD+</w:t>
      </w:r>
      <w:r w:rsidRPr="001358CE">
        <w:rPr>
          <w:rFonts w:ascii="Book Antiqua" w:hAnsi="Book Antiqua" w:cs="Arial"/>
        </w:rPr>
        <w:t xml:space="preserve"> payments will differ from the financial resources being provided under other national-level environmental funds in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 which can be used more flexibly by the recipients, towards much broader and less measurable conservation goals. Due to the specific nature of targets to be achieved under the </w:t>
      </w:r>
      <w:r w:rsidR="00480D3D">
        <w:rPr>
          <w:rFonts w:ascii="Book Antiqua" w:hAnsi="Book Antiqua" w:cs="Arial"/>
        </w:rPr>
        <w:t>REDD+</w:t>
      </w:r>
      <w:r w:rsidRPr="001358CE">
        <w:rPr>
          <w:rFonts w:ascii="Book Antiqua" w:hAnsi="Book Antiqua" w:cs="Arial"/>
        </w:rPr>
        <w:t xml:space="preserve"> programme, it will be necessary to prescribe the costs and activities that are considered eligible under </w:t>
      </w:r>
      <w:r w:rsidR="00480D3D">
        <w:rPr>
          <w:rFonts w:ascii="Book Antiqua" w:hAnsi="Book Antiqua" w:cs="Arial"/>
        </w:rPr>
        <w:t>REDD+</w:t>
      </w:r>
      <w:r w:rsidRPr="001358CE">
        <w:rPr>
          <w:rFonts w:ascii="Book Antiqua" w:hAnsi="Book Antiqua" w:cs="Arial"/>
        </w:rPr>
        <w:t xml:space="preserve"> funding.</w:t>
      </w:r>
    </w:p>
    <w:p w:rsidR="00351F2C" w:rsidRPr="001358CE" w:rsidRDefault="00351F2C" w:rsidP="00E07AB9">
      <w:pPr>
        <w:spacing w:after="0" w:line="300" w:lineRule="atLeast"/>
        <w:jc w:val="both"/>
        <w:rPr>
          <w:rFonts w:ascii="Book Antiqua" w:hAnsi="Book Antiqua" w:cs="Arial"/>
        </w:rPr>
      </w:pPr>
    </w:p>
    <w:p w:rsidR="00351F2C" w:rsidRPr="001358CE" w:rsidRDefault="00351F2C" w:rsidP="00E07AB9">
      <w:pPr>
        <w:spacing w:after="0" w:line="300" w:lineRule="atLeast"/>
        <w:jc w:val="both"/>
        <w:rPr>
          <w:rFonts w:ascii="Book Antiqua" w:hAnsi="Book Antiqua" w:cs="Arial"/>
          <w:b/>
          <w:bCs/>
        </w:rPr>
      </w:pPr>
      <w:r w:rsidRPr="001358CE">
        <w:rPr>
          <w:rFonts w:ascii="Book Antiqua" w:hAnsi="Book Antiqua" w:cs="Arial"/>
          <w:b/>
          <w:bCs/>
        </w:rPr>
        <w:t xml:space="preserve">It is recommended that a broad list of admissible costs and activities to be funded through </w:t>
      </w:r>
      <w:r w:rsidR="00480D3D">
        <w:rPr>
          <w:rFonts w:ascii="Book Antiqua" w:hAnsi="Book Antiqua" w:cs="Arial"/>
          <w:b/>
          <w:bCs/>
        </w:rPr>
        <w:t>REDD+</w:t>
      </w:r>
      <w:r w:rsidRPr="001358CE">
        <w:rPr>
          <w:rFonts w:ascii="Book Antiqua" w:hAnsi="Book Antiqua" w:cs="Arial"/>
          <w:b/>
          <w:bCs/>
        </w:rPr>
        <w:t xml:space="preserve"> payments should be formulated, which will form the basis of the </w:t>
      </w:r>
      <w:r w:rsidR="00480D3D">
        <w:rPr>
          <w:rFonts w:ascii="Book Antiqua" w:hAnsi="Book Antiqua" w:cs="Arial"/>
          <w:b/>
          <w:bCs/>
        </w:rPr>
        <w:t>REDD+</w:t>
      </w:r>
      <w:r w:rsidRPr="001358CE">
        <w:rPr>
          <w:rFonts w:ascii="Book Antiqua" w:hAnsi="Book Antiqua" w:cs="Arial"/>
          <w:b/>
          <w:bCs/>
        </w:rPr>
        <w:t xml:space="preserve"> budgets that will be prepared and submitted for approval at the sub-national level. There should be close monitoring of expenditures against these agreed budgets, as well as against the delivery of emissions reductions targets. A different set of metrics will however be applied at the local level, although these will include the provision of broad development incentives as admissible expenditures.</w:t>
      </w:r>
    </w:p>
    <w:p w:rsidR="00351F2C" w:rsidRPr="001358CE" w:rsidRDefault="00351F2C" w:rsidP="00E07AB9">
      <w:pPr>
        <w:spacing w:after="0" w:line="300" w:lineRule="atLeast"/>
        <w:jc w:val="both"/>
        <w:rPr>
          <w:rFonts w:ascii="Book Antiqua" w:hAnsi="Book Antiqua" w:cs="Arial"/>
          <w:u w:val="single"/>
        </w:rPr>
      </w:pPr>
    </w:p>
    <w:p w:rsidR="00351F2C" w:rsidRPr="001358CE" w:rsidRDefault="00351F2C" w:rsidP="00E07AB9">
      <w:pPr>
        <w:spacing w:after="0" w:line="300" w:lineRule="atLeast"/>
        <w:jc w:val="both"/>
        <w:rPr>
          <w:rFonts w:ascii="Book Antiqua" w:hAnsi="Book Antiqua" w:cs="Arial"/>
        </w:rPr>
      </w:pPr>
      <w:r w:rsidRPr="001358CE">
        <w:rPr>
          <w:rFonts w:ascii="Book Antiqua" w:hAnsi="Book Antiqua" w:cs="Arial"/>
        </w:rPr>
        <w:t xml:space="preserve">In the interests of ensuring that </w:t>
      </w:r>
      <w:r w:rsidR="00765C66">
        <w:rPr>
          <w:rFonts w:ascii="Book Antiqua" w:hAnsi="Book Antiqua" w:cs="Arial"/>
        </w:rPr>
        <w:t>BDS</w:t>
      </w:r>
      <w:r w:rsidRPr="001358CE">
        <w:rPr>
          <w:rFonts w:ascii="Book Antiqua" w:hAnsi="Book Antiqua" w:cs="Arial"/>
        </w:rPr>
        <w:t xml:space="preserve">s are both transparent and effective in delivering REDD-compliant emissions reductions, the GoV should make it clear to beneficiaries that there will be certain principles established for the use and spending of </w:t>
      </w:r>
      <w:r w:rsidR="00480D3D">
        <w:rPr>
          <w:rFonts w:ascii="Book Antiqua" w:hAnsi="Book Antiqua" w:cs="Arial"/>
        </w:rPr>
        <w:t>REDD+</w:t>
      </w:r>
      <w:r w:rsidRPr="001358CE">
        <w:rPr>
          <w:rFonts w:ascii="Book Antiqua" w:hAnsi="Book Antiqua" w:cs="Arial"/>
        </w:rPr>
        <w:t xml:space="preserve"> payments. </w:t>
      </w:r>
    </w:p>
    <w:p w:rsidR="00351F2C" w:rsidRPr="001358CE" w:rsidRDefault="00351F2C" w:rsidP="00E07AB9">
      <w:pPr>
        <w:spacing w:after="0" w:line="300" w:lineRule="atLeast"/>
        <w:jc w:val="both"/>
        <w:rPr>
          <w:rFonts w:ascii="Book Antiqua" w:hAnsi="Book Antiqua" w:cs="Arial"/>
        </w:rPr>
      </w:pPr>
    </w:p>
    <w:p w:rsidR="00351F2C" w:rsidRPr="001358CE" w:rsidRDefault="00351F2C" w:rsidP="00E07AB9">
      <w:pPr>
        <w:spacing w:after="0" w:line="300" w:lineRule="atLeast"/>
        <w:jc w:val="both"/>
        <w:rPr>
          <w:rFonts w:ascii="Book Antiqua" w:hAnsi="Book Antiqua" w:cs="Arial"/>
        </w:rPr>
      </w:pPr>
      <w:r w:rsidRPr="001358CE">
        <w:rPr>
          <w:rFonts w:ascii="Book Antiqua" w:hAnsi="Book Antiqua" w:cs="Arial"/>
        </w:rPr>
        <w:t xml:space="preserve">To do this, information must be collated about the types of actions that are appropriate to achieving emissions reductions and reduced deforestation in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 their distribution between different stakeholders, and their costs. The </w:t>
      </w:r>
      <w:r w:rsidR="00B54274">
        <w:rPr>
          <w:rFonts w:ascii="Book Antiqua" w:hAnsi="Book Antiqua" w:cs="Arial"/>
        </w:rPr>
        <w:t>on-going</w:t>
      </w:r>
      <w:r w:rsidRPr="001358CE">
        <w:rPr>
          <w:rFonts w:ascii="Book Antiqua" w:hAnsi="Book Antiqua" w:cs="Arial"/>
        </w:rPr>
        <w:t xml:space="preserve"> workplan will require a list of admissible </w:t>
      </w:r>
      <w:r w:rsidR="00480D3D">
        <w:rPr>
          <w:rFonts w:ascii="Book Antiqua" w:hAnsi="Book Antiqua" w:cs="Arial"/>
        </w:rPr>
        <w:t>REDD+</w:t>
      </w:r>
      <w:r w:rsidRPr="001358CE">
        <w:rPr>
          <w:rFonts w:ascii="Book Antiqua" w:hAnsi="Book Antiqua" w:cs="Arial"/>
        </w:rPr>
        <w:t xml:space="preserve"> costs and activities to be prepared, and agreed by stakeholders.</w:t>
      </w:r>
    </w:p>
    <w:p w:rsidR="00351F2C" w:rsidRPr="00445F77" w:rsidRDefault="00351F2C" w:rsidP="00E07AB9">
      <w:pPr>
        <w:spacing w:after="0"/>
        <w:rPr>
          <w:rFonts w:ascii="Arial" w:hAnsi="Arial" w:cs="Arial"/>
          <w:sz w:val="24"/>
          <w:szCs w:val="24"/>
        </w:rPr>
      </w:pPr>
    </w:p>
    <w:tbl>
      <w:tblPr>
        <w:tblW w:w="5000" w:type="pct"/>
        <w:jc w:val="right"/>
        <w:tblBorders>
          <w:insideH w:val="single" w:sz="24" w:space="0" w:color="FFFFFF"/>
          <w:insideV w:val="single" w:sz="24" w:space="0" w:color="FFFFFF"/>
        </w:tblBorders>
        <w:tblLook w:val="00A0"/>
      </w:tblPr>
      <w:tblGrid>
        <w:gridCol w:w="1819"/>
        <w:gridCol w:w="7185"/>
      </w:tblGrid>
      <w:tr w:rsidR="00351F2C" w:rsidRPr="00445F77">
        <w:trPr>
          <w:tblHeader/>
          <w:jc w:val="right"/>
        </w:trPr>
        <w:tc>
          <w:tcPr>
            <w:tcW w:w="5000" w:type="pct"/>
            <w:gridSpan w:val="2"/>
            <w:tcBorders>
              <w:bottom w:val="single" w:sz="24" w:space="0" w:color="FFFFFF"/>
            </w:tcBorders>
            <w:shd w:val="clear" w:color="auto" w:fill="76923C"/>
            <w:vAlign w:val="center"/>
          </w:tcPr>
          <w:p w:rsidR="00351F2C" w:rsidRPr="001358CE" w:rsidRDefault="00351F2C" w:rsidP="00034B8C">
            <w:pPr>
              <w:spacing w:after="0" w:line="240" w:lineRule="auto"/>
              <w:jc w:val="center"/>
              <w:rPr>
                <w:rFonts w:ascii="Book Antiqua" w:hAnsi="Book Antiqua" w:cs="Arial"/>
                <w:b/>
                <w:bCs/>
                <w:color w:val="FFFFFF"/>
                <w:sz w:val="24"/>
                <w:szCs w:val="24"/>
              </w:rPr>
            </w:pPr>
            <w:r w:rsidRPr="001358CE">
              <w:rPr>
                <w:rFonts w:ascii="Book Antiqua" w:hAnsi="Book Antiqua" w:cs="Arial"/>
                <w:b/>
                <w:bCs/>
                <w:color w:val="FFFFFF"/>
                <w:sz w:val="24"/>
                <w:szCs w:val="24"/>
              </w:rPr>
              <w:t>POLICY DECISION 5.3</w:t>
            </w:r>
          </w:p>
          <w:p w:rsidR="00351F2C" w:rsidRPr="00445F77" w:rsidRDefault="00351F2C" w:rsidP="00034B8C">
            <w:pPr>
              <w:spacing w:after="0" w:line="240" w:lineRule="auto"/>
              <w:jc w:val="center"/>
              <w:rPr>
                <w:rFonts w:ascii="Arial" w:hAnsi="Arial" w:cs="Arial"/>
                <w:b/>
                <w:bCs/>
                <w:color w:val="FFFFFF"/>
                <w:sz w:val="24"/>
                <w:szCs w:val="24"/>
              </w:rPr>
            </w:pPr>
            <w:r w:rsidRPr="001358CE">
              <w:rPr>
                <w:rFonts w:ascii="Book Antiqua" w:hAnsi="Book Antiqua" w:cs="Arial"/>
                <w:b/>
                <w:bCs/>
                <w:color w:val="FFFFFF"/>
                <w:sz w:val="24"/>
                <w:szCs w:val="24"/>
              </w:rPr>
              <w:t>Admissible costs and activities</w:t>
            </w:r>
          </w:p>
        </w:tc>
      </w:tr>
      <w:tr w:rsidR="00795634" w:rsidRPr="00445F77">
        <w:trPr>
          <w:jc w:val="right"/>
        </w:trPr>
        <w:tc>
          <w:tcPr>
            <w:tcW w:w="1010" w:type="pct"/>
            <w:tcBorders>
              <w:top w:val="single" w:sz="24" w:space="0" w:color="FFFFFF"/>
              <w:bottom w:val="single" w:sz="8" w:space="0" w:color="FFFFFF"/>
              <w:right w:val="single" w:sz="24" w:space="0" w:color="FFFFFF"/>
            </w:tcBorders>
            <w:shd w:val="clear" w:color="auto" w:fill="C2D69B"/>
            <w:vAlign w:val="center"/>
          </w:tcPr>
          <w:p w:rsidR="00795634" w:rsidRPr="00EC1298" w:rsidRDefault="00795634" w:rsidP="00795634">
            <w:pPr>
              <w:spacing w:after="0" w:line="240" w:lineRule="auto"/>
              <w:rPr>
                <w:rFonts w:ascii="Book Antiqua" w:hAnsi="Book Antiqua" w:cs="Arial"/>
              </w:rPr>
            </w:pPr>
            <w:r w:rsidRPr="00EC1298">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795634" w:rsidRPr="001358CE" w:rsidRDefault="00795634" w:rsidP="00A605C9">
            <w:pPr>
              <w:spacing w:after="0" w:line="240" w:lineRule="auto"/>
              <w:jc w:val="both"/>
              <w:rPr>
                <w:rFonts w:ascii="Book Antiqua" w:hAnsi="Book Antiqua" w:cs="Arial"/>
              </w:rPr>
            </w:pPr>
            <w:r w:rsidRPr="001358CE">
              <w:rPr>
                <w:rFonts w:ascii="Book Antiqua" w:hAnsi="Book Antiqua" w:cs="Arial"/>
              </w:rPr>
              <w:t xml:space="preserve">The distribution of </w:t>
            </w:r>
            <w:r w:rsidR="00480D3D">
              <w:rPr>
                <w:rFonts w:ascii="Book Antiqua" w:hAnsi="Book Antiqua" w:cs="Arial"/>
              </w:rPr>
              <w:t>REDD+</w:t>
            </w:r>
            <w:r w:rsidRPr="001358CE">
              <w:rPr>
                <w:rFonts w:ascii="Book Antiqua" w:hAnsi="Book Antiqua" w:cs="Arial"/>
              </w:rPr>
              <w:t xml:space="preserve"> benefits will be closely linked to actual performance – at national and sub-national levels. Reducing deforestation in a </w:t>
            </w:r>
            <w:r w:rsidR="00480D3D">
              <w:rPr>
                <w:rFonts w:ascii="Book Antiqua" w:hAnsi="Book Antiqua" w:cs="Arial"/>
              </w:rPr>
              <w:t>REDD</w:t>
            </w:r>
            <w:r w:rsidRPr="001358CE">
              <w:rPr>
                <w:rFonts w:ascii="Book Antiqua" w:hAnsi="Book Antiqua" w:cs="Arial"/>
              </w:rPr>
              <w:t xml:space="preserve">-compliant manner requires that funding is spent on the specific actions and processes which are required to achieve these outcomes, unlike the broader conservation goals and less-defined targets that are associated with existing national-level environmental funds in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 There is a need to balance a practical approach to budgeting and financial monitoring with the necessity of ensuring that </w:t>
            </w:r>
            <w:r w:rsidR="00480D3D">
              <w:rPr>
                <w:rFonts w:ascii="Book Antiqua" w:hAnsi="Book Antiqua" w:cs="Arial"/>
              </w:rPr>
              <w:t>REDD+</w:t>
            </w:r>
            <w:r w:rsidRPr="001358CE">
              <w:rPr>
                <w:rFonts w:ascii="Book Antiqua" w:hAnsi="Book Antiqua" w:cs="Arial"/>
              </w:rPr>
              <w:t xml:space="preserve"> funds are spent on their intended purpose.</w:t>
            </w:r>
          </w:p>
        </w:tc>
      </w:tr>
      <w:tr w:rsidR="00795634" w:rsidRPr="00445F77">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795634" w:rsidRPr="00EC1298" w:rsidRDefault="00795634" w:rsidP="00795634">
            <w:pPr>
              <w:spacing w:after="0" w:line="240" w:lineRule="auto"/>
              <w:rPr>
                <w:rFonts w:ascii="Book Antiqua" w:hAnsi="Book Antiqua" w:cs="Arial"/>
              </w:rPr>
            </w:pPr>
            <w:r w:rsidRPr="00EC1298">
              <w:rPr>
                <w:rFonts w:ascii="Book Antiqua" w:hAnsi="Book Antiqua" w:cs="Arial"/>
              </w:rPr>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795634" w:rsidRPr="001358CE" w:rsidRDefault="00795634" w:rsidP="00A605C9">
            <w:pPr>
              <w:pStyle w:val="ListParagraph"/>
              <w:numPr>
                <w:ilvl w:val="0"/>
                <w:numId w:val="6"/>
              </w:numPr>
              <w:spacing w:after="0" w:line="240" w:lineRule="auto"/>
              <w:ind w:left="284" w:hanging="284"/>
              <w:contextualSpacing w:val="0"/>
              <w:jc w:val="both"/>
              <w:rPr>
                <w:rFonts w:ascii="Book Antiqua" w:hAnsi="Book Antiqua" w:cs="Arial"/>
                <w:lang w:val="en-GB"/>
              </w:rPr>
            </w:pPr>
            <w:r w:rsidRPr="001358CE">
              <w:rPr>
                <w:rFonts w:ascii="Book Antiqua" w:hAnsi="Book Antiqua" w:cs="Arial"/>
                <w:lang w:val="en-GB"/>
              </w:rPr>
              <w:t>Release funds solely against performance targets; or</w:t>
            </w:r>
          </w:p>
          <w:p w:rsidR="00795634" w:rsidRPr="001358CE" w:rsidRDefault="00795634" w:rsidP="00A605C9">
            <w:pPr>
              <w:pStyle w:val="ListParagraph"/>
              <w:numPr>
                <w:ilvl w:val="0"/>
                <w:numId w:val="6"/>
              </w:numPr>
              <w:spacing w:after="0" w:line="240" w:lineRule="auto"/>
              <w:ind w:left="284" w:hanging="284"/>
              <w:contextualSpacing w:val="0"/>
              <w:jc w:val="both"/>
              <w:rPr>
                <w:rFonts w:ascii="Book Antiqua" w:hAnsi="Book Antiqua" w:cs="Arial"/>
                <w:lang w:val="en-GB"/>
              </w:rPr>
            </w:pPr>
            <w:r w:rsidRPr="001358CE">
              <w:rPr>
                <w:rFonts w:ascii="Book Antiqua" w:hAnsi="Book Antiqua" w:cs="Arial"/>
                <w:lang w:val="en-GB"/>
              </w:rPr>
              <w:lastRenderedPageBreak/>
              <w:t>Specify admissible costs and activities.</w:t>
            </w:r>
          </w:p>
        </w:tc>
      </w:tr>
      <w:tr w:rsidR="00795634" w:rsidRPr="00445F77">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795634" w:rsidRPr="00EC1298" w:rsidRDefault="00795634" w:rsidP="00795634">
            <w:pPr>
              <w:spacing w:after="0" w:line="240" w:lineRule="auto"/>
              <w:rPr>
                <w:rFonts w:ascii="Book Antiqua" w:hAnsi="Book Antiqua" w:cs="Arial"/>
              </w:rPr>
            </w:pPr>
            <w:r w:rsidRPr="00EC1298">
              <w:rPr>
                <w:rFonts w:ascii="Book Antiqua" w:hAnsi="Book Antiqua" w:cs="Arial"/>
              </w:rPr>
              <w:lastRenderedPageBreak/>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795634" w:rsidRPr="001358CE" w:rsidRDefault="00795634" w:rsidP="00A605C9">
            <w:pPr>
              <w:spacing w:after="0" w:line="240" w:lineRule="auto"/>
              <w:jc w:val="both"/>
              <w:rPr>
                <w:rFonts w:ascii="Book Antiqua" w:hAnsi="Book Antiqua" w:cs="Arial"/>
              </w:rPr>
            </w:pPr>
            <w:r w:rsidRPr="001358CE">
              <w:rPr>
                <w:rFonts w:ascii="Book Antiqua" w:hAnsi="Book Antiqua" w:cs="Arial"/>
              </w:rPr>
              <w:t xml:space="preserve">A broad list of admissible costs and activities to be funded through </w:t>
            </w:r>
            <w:r w:rsidR="00480D3D">
              <w:rPr>
                <w:rFonts w:ascii="Book Antiqua" w:hAnsi="Book Antiqua" w:cs="Arial"/>
              </w:rPr>
              <w:t>REDD+</w:t>
            </w:r>
            <w:r w:rsidRPr="001358CE">
              <w:rPr>
                <w:rFonts w:ascii="Book Antiqua" w:hAnsi="Book Antiqua" w:cs="Arial"/>
              </w:rPr>
              <w:t xml:space="preserve"> payments should be formulated, which will form the basis of the </w:t>
            </w:r>
            <w:r w:rsidR="00480D3D">
              <w:rPr>
                <w:rFonts w:ascii="Book Antiqua" w:hAnsi="Book Antiqua" w:cs="Arial"/>
              </w:rPr>
              <w:t>REDD+</w:t>
            </w:r>
            <w:r w:rsidRPr="001358CE">
              <w:rPr>
                <w:rFonts w:ascii="Book Antiqua" w:hAnsi="Book Antiqua" w:cs="Arial"/>
              </w:rPr>
              <w:t xml:space="preserve"> budgets that will be prepared and submitted for approval at the sub-national level. There should be close monitoring of expenditures against these agreed budgets, as well as against the delivery of emissions reductions targets. A different set of metrics will however be applied at the local level, although these will include the provision of broad development incentives as admissible expenditures.</w:t>
            </w:r>
          </w:p>
        </w:tc>
      </w:tr>
      <w:tr w:rsidR="00795634" w:rsidRPr="00445F77">
        <w:trPr>
          <w:jc w:val="right"/>
        </w:trPr>
        <w:tc>
          <w:tcPr>
            <w:tcW w:w="1010" w:type="pct"/>
            <w:tcBorders>
              <w:top w:val="single" w:sz="8" w:space="0" w:color="FFFFFF"/>
              <w:bottom w:val="nil"/>
              <w:right w:val="single" w:sz="24" w:space="0" w:color="FFFFFF"/>
            </w:tcBorders>
            <w:shd w:val="clear" w:color="auto" w:fill="C2D69B"/>
            <w:vAlign w:val="center"/>
          </w:tcPr>
          <w:p w:rsidR="00795634" w:rsidRPr="00EC1298" w:rsidRDefault="00B54274" w:rsidP="00795634">
            <w:pPr>
              <w:spacing w:after="0" w:line="240" w:lineRule="auto"/>
              <w:rPr>
                <w:rFonts w:ascii="Book Antiqua" w:hAnsi="Book Antiqua" w:cs="Arial"/>
              </w:rPr>
            </w:pPr>
            <w:r>
              <w:rPr>
                <w:rFonts w:ascii="Book Antiqua" w:hAnsi="Book Antiqua" w:cs="Arial"/>
              </w:rPr>
              <w:t>Actions required to confirm policy option</w:t>
            </w:r>
          </w:p>
        </w:tc>
        <w:tc>
          <w:tcPr>
            <w:tcW w:w="3990" w:type="pct"/>
            <w:tcBorders>
              <w:top w:val="single" w:sz="8" w:space="0" w:color="FFFFFF"/>
              <w:left w:val="single" w:sz="24" w:space="0" w:color="FFFFFF"/>
              <w:bottom w:val="nil"/>
            </w:tcBorders>
            <w:shd w:val="clear" w:color="auto" w:fill="D6E3BC"/>
            <w:vAlign w:val="center"/>
          </w:tcPr>
          <w:p w:rsidR="00795634" w:rsidRPr="001358CE" w:rsidRDefault="00795634" w:rsidP="00A605C9">
            <w:pPr>
              <w:pStyle w:val="ListParagraph"/>
              <w:numPr>
                <w:ilvl w:val="0"/>
                <w:numId w:val="4"/>
              </w:numPr>
              <w:spacing w:after="0" w:line="240" w:lineRule="auto"/>
              <w:ind w:left="284" w:hanging="284"/>
              <w:contextualSpacing w:val="0"/>
              <w:jc w:val="both"/>
              <w:rPr>
                <w:rFonts w:ascii="Book Antiqua" w:hAnsi="Book Antiqua" w:cs="Arial"/>
                <w:lang w:val="en-GB"/>
              </w:rPr>
            </w:pPr>
            <w:r w:rsidRPr="001358CE">
              <w:rPr>
                <w:rFonts w:ascii="Book Antiqua" w:hAnsi="Book Antiqua" w:cs="Arial"/>
                <w:lang w:val="en-GB"/>
              </w:rPr>
              <w:t xml:space="preserve">In the interests of ensuring that </w:t>
            </w:r>
            <w:r w:rsidR="00765C66">
              <w:rPr>
                <w:rFonts w:ascii="Book Antiqua" w:hAnsi="Book Antiqua" w:cs="Arial"/>
                <w:lang w:val="en-GB"/>
              </w:rPr>
              <w:t>BDS</w:t>
            </w:r>
            <w:r w:rsidRPr="001358CE">
              <w:rPr>
                <w:rFonts w:ascii="Book Antiqua" w:hAnsi="Book Antiqua" w:cs="Arial"/>
                <w:lang w:val="en-GB"/>
              </w:rPr>
              <w:t xml:space="preserve">s are both transparent and effective in delivering REDD-compliant emissions reductions, the GoV should make it clear to beneficiaries that there will be certain principles established for the use and spending of </w:t>
            </w:r>
            <w:r w:rsidR="00480D3D">
              <w:rPr>
                <w:rFonts w:ascii="Book Antiqua" w:hAnsi="Book Antiqua" w:cs="Arial"/>
                <w:lang w:val="en-GB"/>
              </w:rPr>
              <w:t>REDD+</w:t>
            </w:r>
            <w:r w:rsidRPr="001358CE">
              <w:rPr>
                <w:rFonts w:ascii="Book Antiqua" w:hAnsi="Book Antiqua" w:cs="Arial"/>
                <w:lang w:val="en-GB"/>
              </w:rPr>
              <w:t xml:space="preserve"> payments.</w:t>
            </w:r>
          </w:p>
          <w:p w:rsidR="00795634" w:rsidRPr="001358CE" w:rsidRDefault="00B54274" w:rsidP="00A605C9">
            <w:pPr>
              <w:pStyle w:val="ListParagraph"/>
              <w:numPr>
                <w:ilvl w:val="0"/>
                <w:numId w:val="4"/>
              </w:numPr>
              <w:spacing w:after="0" w:line="240" w:lineRule="auto"/>
              <w:ind w:left="284" w:hanging="284"/>
              <w:contextualSpacing w:val="0"/>
              <w:jc w:val="both"/>
              <w:rPr>
                <w:rFonts w:ascii="Book Antiqua" w:hAnsi="Book Antiqua" w:cs="Arial"/>
                <w:lang w:val="en-GB"/>
              </w:rPr>
            </w:pPr>
            <w:r>
              <w:rPr>
                <w:rFonts w:ascii="Book Antiqua" w:hAnsi="Book Antiqua" w:cs="Arial"/>
                <w:lang w:val="en-GB"/>
              </w:rPr>
              <w:t>Further</w:t>
            </w:r>
            <w:r w:rsidR="00795634" w:rsidRPr="001358CE">
              <w:rPr>
                <w:rFonts w:ascii="Book Antiqua" w:hAnsi="Book Antiqua" w:cs="Arial"/>
                <w:lang w:val="en-GB"/>
              </w:rPr>
              <w:t xml:space="preserve"> work will require a list of admissible </w:t>
            </w:r>
            <w:r w:rsidR="00480D3D">
              <w:rPr>
                <w:rFonts w:ascii="Book Antiqua" w:hAnsi="Book Antiqua" w:cs="Arial"/>
                <w:lang w:val="en-GB"/>
              </w:rPr>
              <w:t>REDD+</w:t>
            </w:r>
            <w:r w:rsidR="00795634" w:rsidRPr="001358CE">
              <w:rPr>
                <w:rFonts w:ascii="Book Antiqua" w:hAnsi="Book Antiqua" w:cs="Arial"/>
                <w:lang w:val="en-GB"/>
              </w:rPr>
              <w:t xml:space="preserve"> costs and activities to be prepared, and agreed by stakeholders.</w:t>
            </w:r>
          </w:p>
        </w:tc>
      </w:tr>
    </w:tbl>
    <w:p w:rsidR="00351F2C" w:rsidRPr="00445F77" w:rsidRDefault="00351F2C" w:rsidP="00E07AB9">
      <w:pPr>
        <w:spacing w:after="0"/>
        <w:rPr>
          <w:rFonts w:ascii="Arial" w:hAnsi="Arial" w:cs="Arial"/>
          <w:sz w:val="24"/>
          <w:szCs w:val="24"/>
        </w:rPr>
      </w:pPr>
    </w:p>
    <w:p w:rsidR="00351F2C" w:rsidRPr="00445F77" w:rsidRDefault="00351F2C" w:rsidP="00A256CB">
      <w:pPr>
        <w:pStyle w:val="Heading3"/>
        <w:rPr>
          <w:rFonts w:ascii="Arial" w:hAnsi="Arial" w:cs="Arial"/>
        </w:rPr>
      </w:pPr>
      <w:bookmarkStart w:id="415" w:name="_Toc243740846"/>
      <w:bookmarkStart w:id="416" w:name="_Toc243984156"/>
      <w:bookmarkStart w:id="417" w:name="_Toc244327682"/>
      <w:bookmarkStart w:id="418" w:name="_Toc244327932"/>
      <w:bookmarkStart w:id="419" w:name="_Toc244735092"/>
      <w:bookmarkStart w:id="420" w:name="_Toc249079566"/>
      <w:r w:rsidRPr="00445F77">
        <w:rPr>
          <w:rFonts w:ascii="Arial" w:hAnsi="Arial" w:cs="Arial"/>
        </w:rPr>
        <w:t>Timing of fund disbursement</w:t>
      </w:r>
      <w:bookmarkEnd w:id="415"/>
      <w:bookmarkEnd w:id="416"/>
      <w:bookmarkEnd w:id="417"/>
      <w:bookmarkEnd w:id="418"/>
      <w:bookmarkEnd w:id="419"/>
      <w:bookmarkEnd w:id="420"/>
    </w:p>
    <w:p w:rsidR="00351F2C" w:rsidRPr="001358CE" w:rsidRDefault="00351F2C" w:rsidP="00E07AB9">
      <w:pPr>
        <w:spacing w:after="0"/>
        <w:jc w:val="both"/>
        <w:rPr>
          <w:rFonts w:ascii="Book Antiqua" w:hAnsi="Book Antiqua" w:cs="Arial"/>
          <w:i/>
          <w:iCs/>
          <w:u w:val="single"/>
        </w:rPr>
      </w:pPr>
      <w:r w:rsidRPr="001358CE">
        <w:rPr>
          <w:rFonts w:ascii="Book Antiqua" w:hAnsi="Book Antiqua" w:cs="Arial"/>
        </w:rPr>
        <w:t xml:space="preserve"> The information presented above illustrates the multiplicity of costs that will incurred by different groups in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 in reducing deforestation and forest degradation so as to achieve </w:t>
      </w:r>
      <w:r w:rsidR="00480D3D">
        <w:rPr>
          <w:rFonts w:ascii="Book Antiqua" w:hAnsi="Book Antiqua" w:cs="Arial"/>
        </w:rPr>
        <w:t>REDD+</w:t>
      </w:r>
      <w:r w:rsidRPr="001358CE">
        <w:rPr>
          <w:rFonts w:ascii="Book Antiqua" w:hAnsi="Book Antiqua" w:cs="Arial"/>
        </w:rPr>
        <w:t xml:space="preserve"> targets. These are associated with all stages of the </w:t>
      </w:r>
      <w:r w:rsidR="00480D3D">
        <w:rPr>
          <w:rFonts w:ascii="Book Antiqua" w:hAnsi="Book Antiqua" w:cs="Arial"/>
        </w:rPr>
        <w:t>REDD+</w:t>
      </w:r>
      <w:r w:rsidRPr="001358CE">
        <w:rPr>
          <w:rFonts w:ascii="Book Antiqua" w:hAnsi="Book Antiqua" w:cs="Arial"/>
        </w:rPr>
        <w:t xml:space="preserve"> process, and will start to accrue as soon as actions are initiated. Global </w:t>
      </w:r>
      <w:r w:rsidR="00480D3D">
        <w:rPr>
          <w:rFonts w:ascii="Book Antiqua" w:hAnsi="Book Antiqua" w:cs="Arial"/>
        </w:rPr>
        <w:t>REDD+</w:t>
      </w:r>
      <w:r w:rsidRPr="001358CE">
        <w:rPr>
          <w:rFonts w:ascii="Book Antiqua" w:hAnsi="Book Antiqua" w:cs="Arial"/>
        </w:rPr>
        <w:t xml:space="preserve"> payments to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 will, however, most likely be made </w:t>
      </w:r>
      <w:r w:rsidRPr="001358CE">
        <w:rPr>
          <w:rFonts w:ascii="Book Antiqua" w:hAnsi="Book Antiqua" w:cs="Arial"/>
          <w:i/>
          <w:iCs/>
        </w:rPr>
        <w:t>ex post</w:t>
      </w:r>
      <w:r w:rsidRPr="001358CE">
        <w:rPr>
          <w:rFonts w:ascii="Book Antiqua" w:hAnsi="Book Antiqua" w:cs="Arial"/>
        </w:rPr>
        <w:t xml:space="preserve"> or “on delivery” of specified emissions reductions. There is a clear need to both ensure that </w:t>
      </w:r>
      <w:r w:rsidRPr="001358CE">
        <w:rPr>
          <w:rFonts w:ascii="Book Antiqua" w:hAnsi="Book Antiqua" w:cs="Arial"/>
          <w:i/>
          <w:iCs/>
        </w:rPr>
        <w:t xml:space="preserve">a priori </w:t>
      </w:r>
      <w:r w:rsidRPr="001358CE">
        <w:rPr>
          <w:rFonts w:ascii="Book Antiqua" w:hAnsi="Book Antiqua" w:cs="Arial"/>
        </w:rPr>
        <w:t xml:space="preserve">funding is available to cover these costs (as most participants will not be in a position to pre-finance the upfront costs of </w:t>
      </w:r>
      <w:r w:rsidR="00480D3D">
        <w:rPr>
          <w:rFonts w:ascii="Book Antiqua" w:hAnsi="Book Antiqua" w:cs="Arial"/>
        </w:rPr>
        <w:t>REDD+</w:t>
      </w:r>
      <w:r w:rsidRPr="001358CE">
        <w:rPr>
          <w:rFonts w:ascii="Book Antiqua" w:hAnsi="Book Antiqua" w:cs="Arial"/>
        </w:rPr>
        <w:t xml:space="preserve"> actions or to bear the risks of delayed payment delivery) and to ensure that there will be a sufficient flow of funds to make payments to participants on a regular basis (so as to ensure continuous incentives, and make funds available as and when costs are incurred by them). This, in turn, requires that appropriate and adequate pre-finance is secured.</w:t>
      </w:r>
    </w:p>
    <w:p w:rsidR="00351F2C" w:rsidRPr="001358CE" w:rsidRDefault="00351F2C" w:rsidP="00E07AB9">
      <w:pPr>
        <w:spacing w:after="0"/>
        <w:jc w:val="both"/>
        <w:rPr>
          <w:rFonts w:ascii="Book Antiqua" w:hAnsi="Book Antiqua" w:cs="Arial"/>
        </w:rPr>
      </w:pPr>
    </w:p>
    <w:p w:rsidR="00351F2C" w:rsidRPr="001358CE" w:rsidRDefault="00351F2C" w:rsidP="00E07AB9">
      <w:pPr>
        <w:spacing w:after="0"/>
        <w:jc w:val="both"/>
        <w:rPr>
          <w:rFonts w:ascii="Book Antiqua" w:hAnsi="Book Antiqua" w:cs="Arial"/>
          <w:b/>
          <w:bCs/>
        </w:rPr>
      </w:pPr>
      <w:r w:rsidRPr="001358CE">
        <w:rPr>
          <w:rFonts w:ascii="Book Antiqua" w:hAnsi="Book Antiqua" w:cs="Arial"/>
          <w:b/>
          <w:bCs/>
        </w:rPr>
        <w:t xml:space="preserve">It is recommended that the timing and frequency of </w:t>
      </w:r>
      <w:r w:rsidR="00480D3D">
        <w:rPr>
          <w:rFonts w:ascii="Book Antiqua" w:hAnsi="Book Antiqua" w:cs="Arial"/>
          <w:b/>
          <w:bCs/>
        </w:rPr>
        <w:t>REDD+</w:t>
      </w:r>
      <w:r w:rsidRPr="001358CE">
        <w:rPr>
          <w:rFonts w:ascii="Book Antiqua" w:hAnsi="Book Antiqua" w:cs="Arial"/>
          <w:b/>
          <w:bCs/>
        </w:rPr>
        <w:t xml:space="preserve"> payments made within Viet Nam should be phased to start when actions to reduce deforestation are first initiated, and subsequently disbursed on a regular basis so as to match the timing of costs incurred and to provide a regular flow of benefits to participants. Supplementary funding, from either domestic or international sources, should be sourced to provide this pre-finance.</w:t>
      </w:r>
    </w:p>
    <w:p w:rsidR="00351F2C" w:rsidRPr="001358CE" w:rsidRDefault="00351F2C" w:rsidP="00E07AB9">
      <w:pPr>
        <w:spacing w:after="0"/>
        <w:jc w:val="both"/>
        <w:rPr>
          <w:rFonts w:ascii="Book Antiqua" w:hAnsi="Book Antiqua" w:cs="Arial"/>
          <w:u w:val="single"/>
        </w:rPr>
      </w:pPr>
    </w:p>
    <w:p w:rsidR="00351F2C" w:rsidRPr="001358CE" w:rsidRDefault="00351F2C" w:rsidP="00E07AB9">
      <w:pPr>
        <w:spacing w:after="0"/>
        <w:jc w:val="both"/>
        <w:rPr>
          <w:rFonts w:ascii="Book Antiqua" w:hAnsi="Book Antiqua" w:cs="Arial"/>
        </w:rPr>
      </w:pPr>
      <w:r w:rsidRPr="001358CE">
        <w:rPr>
          <w:rFonts w:ascii="Book Antiqua" w:hAnsi="Book Antiqua" w:cs="Arial"/>
          <w:u w:val="single"/>
        </w:rPr>
        <w:t xml:space="preserve">With a view to shifting the burden of responsibility for pre-financing and bearing the risks of investing in avoided deforestation, the GoV should announce its intention to secure adequate funds to ensure that the distribution of </w:t>
      </w:r>
      <w:r w:rsidR="00480D3D">
        <w:rPr>
          <w:rFonts w:ascii="Book Antiqua" w:hAnsi="Book Antiqua" w:cs="Arial"/>
          <w:u w:val="single"/>
        </w:rPr>
        <w:t>REDD+</w:t>
      </w:r>
      <w:r w:rsidRPr="001358CE">
        <w:rPr>
          <w:rFonts w:ascii="Book Antiqua" w:hAnsi="Book Antiqua" w:cs="Arial"/>
          <w:u w:val="single"/>
        </w:rPr>
        <w:t xml:space="preserve"> payments to participants will begin at the time they commence activities, and will be transferred on a regular basis thereafter</w:t>
      </w:r>
      <w:r w:rsidRPr="001358CE">
        <w:rPr>
          <w:rFonts w:ascii="Book Antiqua" w:hAnsi="Book Antiqua" w:cs="Arial"/>
        </w:rPr>
        <w:t xml:space="preserve">. </w:t>
      </w:r>
    </w:p>
    <w:p w:rsidR="00351F2C" w:rsidRPr="001358CE" w:rsidRDefault="00351F2C" w:rsidP="00E07AB9">
      <w:pPr>
        <w:spacing w:after="0"/>
        <w:jc w:val="both"/>
        <w:rPr>
          <w:rFonts w:ascii="Book Antiqua" w:hAnsi="Book Antiqua" w:cs="Arial"/>
        </w:rPr>
      </w:pPr>
    </w:p>
    <w:p w:rsidR="00351F2C" w:rsidRPr="001358CE" w:rsidRDefault="00351F2C" w:rsidP="00E07AB9">
      <w:pPr>
        <w:spacing w:after="0"/>
        <w:jc w:val="both"/>
        <w:rPr>
          <w:rFonts w:ascii="Book Antiqua" w:hAnsi="Book Antiqua" w:cs="Arial"/>
        </w:rPr>
      </w:pPr>
      <w:r w:rsidRPr="001358CE">
        <w:rPr>
          <w:rFonts w:ascii="Book Antiqua" w:hAnsi="Book Antiqua" w:cs="Arial"/>
        </w:rPr>
        <w:t xml:space="preserve">In order to commence the process of sourcing this pre-finance, initial discussions between the GoV and potential donors will therefore form an important part of </w:t>
      </w:r>
      <w:r w:rsidR="00B54274">
        <w:rPr>
          <w:rFonts w:ascii="Book Antiqua" w:hAnsi="Book Antiqua" w:cs="Arial"/>
        </w:rPr>
        <w:t>an on-going</w:t>
      </w:r>
      <w:r w:rsidRPr="001358CE">
        <w:rPr>
          <w:rFonts w:ascii="Book Antiqua" w:hAnsi="Book Antiqua" w:cs="Arial"/>
        </w:rPr>
        <w:t xml:space="preserve"> workplan, which will also require that work is carried out on projecting the level of </w:t>
      </w:r>
      <w:r w:rsidR="00480D3D">
        <w:rPr>
          <w:rFonts w:ascii="Book Antiqua" w:hAnsi="Book Antiqua" w:cs="Arial"/>
        </w:rPr>
        <w:t>REDD+</w:t>
      </w:r>
      <w:r w:rsidRPr="001358CE">
        <w:rPr>
          <w:rFonts w:ascii="Book Antiqua" w:hAnsi="Book Antiqua" w:cs="Arial"/>
        </w:rPr>
        <w:t xml:space="preserve"> cashflows over time that will be required.</w:t>
      </w:r>
    </w:p>
    <w:p w:rsidR="00351F2C" w:rsidRPr="00445F77" w:rsidRDefault="00351F2C" w:rsidP="00E07AB9">
      <w:pPr>
        <w:spacing w:after="0"/>
        <w:jc w:val="both"/>
        <w:rPr>
          <w:rFonts w:ascii="Arial" w:hAnsi="Arial" w:cs="Arial"/>
          <w:sz w:val="24"/>
          <w:szCs w:val="24"/>
        </w:rPr>
      </w:pPr>
    </w:p>
    <w:tbl>
      <w:tblPr>
        <w:tblW w:w="5000" w:type="pct"/>
        <w:jc w:val="right"/>
        <w:tblBorders>
          <w:insideH w:val="single" w:sz="24" w:space="0" w:color="FFFFFF"/>
          <w:insideV w:val="single" w:sz="24" w:space="0" w:color="FFFFFF"/>
        </w:tblBorders>
        <w:tblLook w:val="00A0"/>
      </w:tblPr>
      <w:tblGrid>
        <w:gridCol w:w="1729"/>
        <w:gridCol w:w="7275"/>
      </w:tblGrid>
      <w:tr w:rsidR="00351F2C" w:rsidRPr="00445F77">
        <w:trPr>
          <w:tblHeader/>
          <w:jc w:val="right"/>
        </w:trPr>
        <w:tc>
          <w:tcPr>
            <w:tcW w:w="5000" w:type="pct"/>
            <w:gridSpan w:val="2"/>
            <w:tcBorders>
              <w:bottom w:val="single" w:sz="24" w:space="0" w:color="FFFFFF"/>
            </w:tcBorders>
            <w:shd w:val="clear" w:color="auto" w:fill="76923C"/>
            <w:vAlign w:val="center"/>
          </w:tcPr>
          <w:p w:rsidR="00351F2C" w:rsidRPr="001358CE" w:rsidRDefault="00351F2C" w:rsidP="00034B8C">
            <w:pPr>
              <w:spacing w:after="0" w:line="240" w:lineRule="auto"/>
              <w:jc w:val="center"/>
              <w:rPr>
                <w:rFonts w:ascii="Book Antiqua" w:hAnsi="Book Antiqua" w:cs="Arial"/>
                <w:b/>
                <w:bCs/>
                <w:color w:val="FFFFFF"/>
                <w:sz w:val="24"/>
                <w:szCs w:val="24"/>
              </w:rPr>
            </w:pPr>
            <w:r w:rsidRPr="001358CE">
              <w:rPr>
                <w:rFonts w:ascii="Book Antiqua" w:hAnsi="Book Antiqua" w:cs="Arial"/>
                <w:b/>
                <w:bCs/>
                <w:color w:val="FFFFFF"/>
                <w:sz w:val="24"/>
                <w:szCs w:val="24"/>
              </w:rPr>
              <w:t>POLICY DECISION 5.4</w:t>
            </w:r>
          </w:p>
          <w:p w:rsidR="00351F2C" w:rsidRPr="00445F77" w:rsidRDefault="00351F2C" w:rsidP="00034B8C">
            <w:pPr>
              <w:spacing w:after="0" w:line="240" w:lineRule="auto"/>
              <w:jc w:val="center"/>
              <w:rPr>
                <w:rFonts w:ascii="Arial" w:hAnsi="Arial" w:cs="Arial"/>
                <w:b/>
                <w:bCs/>
                <w:color w:val="FFFFFF"/>
                <w:sz w:val="24"/>
                <w:szCs w:val="24"/>
              </w:rPr>
            </w:pPr>
            <w:r w:rsidRPr="001358CE">
              <w:rPr>
                <w:rFonts w:ascii="Book Antiqua" w:hAnsi="Book Antiqua" w:cs="Arial"/>
                <w:b/>
                <w:bCs/>
                <w:color w:val="FFFFFF"/>
                <w:sz w:val="24"/>
                <w:szCs w:val="24"/>
              </w:rPr>
              <w:t>Timing of fund disbursement</w:t>
            </w:r>
          </w:p>
        </w:tc>
      </w:tr>
      <w:tr w:rsidR="00795634" w:rsidRPr="00445F77">
        <w:trPr>
          <w:jc w:val="right"/>
        </w:trPr>
        <w:tc>
          <w:tcPr>
            <w:tcW w:w="960" w:type="pct"/>
            <w:tcBorders>
              <w:top w:val="single" w:sz="24" w:space="0" w:color="FFFFFF"/>
              <w:bottom w:val="single" w:sz="8" w:space="0" w:color="FFFFFF"/>
              <w:right w:val="single" w:sz="24" w:space="0" w:color="FFFFFF"/>
            </w:tcBorders>
            <w:shd w:val="clear" w:color="auto" w:fill="C2D69B"/>
            <w:vAlign w:val="center"/>
          </w:tcPr>
          <w:p w:rsidR="00795634" w:rsidRPr="00EC1298" w:rsidRDefault="00795634" w:rsidP="00795634">
            <w:pPr>
              <w:spacing w:after="0" w:line="240" w:lineRule="auto"/>
              <w:rPr>
                <w:rFonts w:ascii="Book Antiqua" w:hAnsi="Book Antiqua" w:cs="Arial"/>
              </w:rPr>
            </w:pPr>
            <w:r w:rsidRPr="00EC1298">
              <w:rPr>
                <w:rFonts w:ascii="Book Antiqua" w:hAnsi="Book Antiqua" w:cs="Arial"/>
              </w:rPr>
              <w:t>Issue to be addressed</w:t>
            </w:r>
          </w:p>
        </w:tc>
        <w:tc>
          <w:tcPr>
            <w:tcW w:w="4040" w:type="pct"/>
            <w:tcBorders>
              <w:top w:val="single" w:sz="24" w:space="0" w:color="FFFFFF"/>
              <w:left w:val="single" w:sz="24" w:space="0" w:color="FFFFFF"/>
              <w:bottom w:val="single" w:sz="8" w:space="0" w:color="FFFFFF"/>
            </w:tcBorders>
            <w:shd w:val="clear" w:color="auto" w:fill="D6E3BC"/>
            <w:vAlign w:val="center"/>
          </w:tcPr>
          <w:p w:rsidR="00795634" w:rsidRPr="001358CE" w:rsidRDefault="00795634" w:rsidP="00A605C9">
            <w:pPr>
              <w:spacing w:after="0" w:line="240" w:lineRule="auto"/>
              <w:jc w:val="both"/>
              <w:rPr>
                <w:rFonts w:ascii="Book Antiqua" w:hAnsi="Book Antiqua" w:cs="Arial"/>
              </w:rPr>
            </w:pPr>
            <w:r w:rsidRPr="001358CE">
              <w:rPr>
                <w:rFonts w:ascii="Book Antiqua" w:hAnsi="Book Antiqua" w:cs="Arial"/>
              </w:rPr>
              <w:t xml:space="preserve">Although it seems probable that global </w:t>
            </w:r>
            <w:r w:rsidR="00480D3D">
              <w:rPr>
                <w:rFonts w:ascii="Book Antiqua" w:hAnsi="Book Antiqua" w:cs="Arial"/>
              </w:rPr>
              <w:t>REDD+</w:t>
            </w:r>
            <w:r w:rsidRPr="001358CE">
              <w:rPr>
                <w:rFonts w:ascii="Book Antiqua" w:hAnsi="Book Antiqua" w:cs="Arial"/>
              </w:rPr>
              <w:t xml:space="preserve"> payments to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 will be made </w:t>
            </w:r>
            <w:r w:rsidRPr="001358CE">
              <w:rPr>
                <w:rFonts w:ascii="Book Antiqua" w:hAnsi="Book Antiqua" w:cs="Arial"/>
                <w:i/>
                <w:iCs/>
              </w:rPr>
              <w:t>ex post</w:t>
            </w:r>
            <w:r w:rsidRPr="001358CE">
              <w:rPr>
                <w:rFonts w:ascii="Book Antiqua" w:hAnsi="Book Antiqua" w:cs="Arial"/>
              </w:rPr>
              <w:t xml:space="preserve"> or “on delivery”, the costs of undertaking actions to reduce deforestation will start to be incurred well before this. There is a need for </w:t>
            </w:r>
            <w:r w:rsidRPr="001358CE">
              <w:rPr>
                <w:rFonts w:ascii="Book Antiqua" w:hAnsi="Book Antiqua" w:cs="Arial"/>
                <w:i/>
                <w:iCs/>
              </w:rPr>
              <w:t>a priori</w:t>
            </w:r>
            <w:r w:rsidRPr="001358CE">
              <w:rPr>
                <w:rFonts w:ascii="Book Antiqua" w:hAnsi="Book Antiqua" w:cs="Arial"/>
              </w:rPr>
              <w:t xml:space="preserve"> funding, especially to cover start-up costs and to foster stakeholder buy-in. Many participants will not be in a position to pre-finance the upfront costs of </w:t>
            </w:r>
            <w:r w:rsidR="00480D3D">
              <w:rPr>
                <w:rFonts w:ascii="Book Antiqua" w:hAnsi="Book Antiqua" w:cs="Arial"/>
              </w:rPr>
              <w:t>REDD+</w:t>
            </w:r>
            <w:r w:rsidRPr="001358CE">
              <w:rPr>
                <w:rFonts w:ascii="Book Antiqua" w:hAnsi="Book Antiqua" w:cs="Arial"/>
              </w:rPr>
              <w:t xml:space="preserve"> actions or to bear the risks of delayed payment delivery.</w:t>
            </w:r>
          </w:p>
        </w:tc>
      </w:tr>
      <w:tr w:rsidR="00795634" w:rsidRPr="00445F77">
        <w:trPr>
          <w:jc w:val="right"/>
        </w:trPr>
        <w:tc>
          <w:tcPr>
            <w:tcW w:w="960" w:type="pct"/>
            <w:tcBorders>
              <w:top w:val="single" w:sz="8" w:space="0" w:color="FFFFFF"/>
              <w:bottom w:val="single" w:sz="8" w:space="0" w:color="FFFFFF"/>
              <w:right w:val="single" w:sz="24" w:space="0" w:color="FFFFFF"/>
            </w:tcBorders>
            <w:shd w:val="clear" w:color="auto" w:fill="C2D69B"/>
            <w:vAlign w:val="center"/>
          </w:tcPr>
          <w:p w:rsidR="00795634" w:rsidRPr="00EC1298" w:rsidRDefault="00795634" w:rsidP="00795634">
            <w:pPr>
              <w:spacing w:after="0" w:line="240" w:lineRule="auto"/>
              <w:rPr>
                <w:rFonts w:ascii="Book Antiqua" w:hAnsi="Book Antiqua" w:cs="Arial"/>
              </w:rPr>
            </w:pPr>
            <w:r w:rsidRPr="00EC1298">
              <w:rPr>
                <w:rFonts w:ascii="Book Antiqua" w:hAnsi="Book Antiqua" w:cs="Arial"/>
              </w:rPr>
              <w:t>Options</w:t>
            </w:r>
          </w:p>
        </w:tc>
        <w:tc>
          <w:tcPr>
            <w:tcW w:w="4040" w:type="pct"/>
            <w:tcBorders>
              <w:top w:val="single" w:sz="8" w:space="0" w:color="FFFFFF"/>
              <w:left w:val="single" w:sz="24" w:space="0" w:color="FFFFFF"/>
              <w:bottom w:val="single" w:sz="8" w:space="0" w:color="FFFFFF"/>
            </w:tcBorders>
            <w:shd w:val="clear" w:color="auto" w:fill="D6E3BC"/>
            <w:vAlign w:val="center"/>
          </w:tcPr>
          <w:p w:rsidR="00795634" w:rsidRPr="001358CE" w:rsidRDefault="00795634" w:rsidP="00A605C9">
            <w:pPr>
              <w:pStyle w:val="ListParagraph"/>
              <w:numPr>
                <w:ilvl w:val="0"/>
                <w:numId w:val="7"/>
              </w:numPr>
              <w:spacing w:after="0" w:line="240" w:lineRule="auto"/>
              <w:ind w:left="284" w:hanging="284"/>
              <w:contextualSpacing w:val="0"/>
              <w:jc w:val="both"/>
              <w:rPr>
                <w:rFonts w:ascii="Book Antiqua" w:hAnsi="Book Antiqua" w:cs="Arial"/>
                <w:lang w:val="en-GB"/>
              </w:rPr>
            </w:pPr>
            <w:r w:rsidRPr="001358CE">
              <w:rPr>
                <w:rFonts w:ascii="Book Antiqua" w:hAnsi="Book Antiqua" w:cs="Arial"/>
                <w:lang w:val="en-GB"/>
              </w:rPr>
              <w:t>Release funds ex-post: after delivery of agreed activities; or</w:t>
            </w:r>
          </w:p>
          <w:p w:rsidR="00795634" w:rsidRPr="001358CE" w:rsidRDefault="00795634" w:rsidP="00A605C9">
            <w:pPr>
              <w:pStyle w:val="ListParagraph"/>
              <w:numPr>
                <w:ilvl w:val="0"/>
                <w:numId w:val="7"/>
              </w:numPr>
              <w:spacing w:after="0" w:line="240" w:lineRule="auto"/>
              <w:ind w:left="284" w:hanging="284"/>
              <w:contextualSpacing w:val="0"/>
              <w:jc w:val="both"/>
              <w:rPr>
                <w:rFonts w:ascii="Book Antiqua" w:hAnsi="Book Antiqua" w:cs="Arial"/>
                <w:lang w:val="en-GB"/>
              </w:rPr>
            </w:pPr>
            <w:r w:rsidRPr="001358CE">
              <w:rPr>
                <w:rFonts w:ascii="Book Antiqua" w:hAnsi="Book Antiqua" w:cs="Arial"/>
                <w:lang w:val="en-GB"/>
              </w:rPr>
              <w:t>Make a phased release of funds from initiation onwards.</w:t>
            </w:r>
          </w:p>
        </w:tc>
      </w:tr>
      <w:tr w:rsidR="00795634" w:rsidRPr="00445F77">
        <w:trPr>
          <w:jc w:val="right"/>
        </w:trPr>
        <w:tc>
          <w:tcPr>
            <w:tcW w:w="960" w:type="pct"/>
            <w:tcBorders>
              <w:top w:val="single" w:sz="8" w:space="0" w:color="FFFFFF"/>
              <w:bottom w:val="single" w:sz="8" w:space="0" w:color="FFFFFF"/>
              <w:right w:val="single" w:sz="24" w:space="0" w:color="FFFFFF"/>
            </w:tcBorders>
            <w:shd w:val="clear" w:color="auto" w:fill="C2D69B"/>
            <w:vAlign w:val="center"/>
          </w:tcPr>
          <w:p w:rsidR="00795634" w:rsidRPr="00EC1298" w:rsidRDefault="00795634" w:rsidP="00795634">
            <w:pPr>
              <w:spacing w:after="0" w:line="240" w:lineRule="auto"/>
              <w:rPr>
                <w:rFonts w:ascii="Book Antiqua" w:hAnsi="Book Antiqua" w:cs="Arial"/>
              </w:rPr>
            </w:pPr>
            <w:r w:rsidRPr="00EC1298">
              <w:rPr>
                <w:rFonts w:ascii="Book Antiqua" w:hAnsi="Book Antiqua" w:cs="Arial"/>
              </w:rPr>
              <w:t>Recommended principle or policy to be adopted</w:t>
            </w:r>
          </w:p>
        </w:tc>
        <w:tc>
          <w:tcPr>
            <w:tcW w:w="4040" w:type="pct"/>
            <w:tcBorders>
              <w:top w:val="single" w:sz="8" w:space="0" w:color="FFFFFF"/>
              <w:left w:val="single" w:sz="24" w:space="0" w:color="FFFFFF"/>
              <w:bottom w:val="single" w:sz="8" w:space="0" w:color="FFFFFF"/>
            </w:tcBorders>
            <w:shd w:val="clear" w:color="auto" w:fill="D6E3BC"/>
            <w:vAlign w:val="center"/>
          </w:tcPr>
          <w:p w:rsidR="00795634" w:rsidRPr="001358CE" w:rsidRDefault="00795634" w:rsidP="00A605C9">
            <w:pPr>
              <w:spacing w:after="0" w:line="240" w:lineRule="auto"/>
              <w:jc w:val="both"/>
              <w:rPr>
                <w:rFonts w:ascii="Book Antiqua" w:hAnsi="Book Antiqua" w:cs="Arial"/>
              </w:rPr>
            </w:pPr>
            <w:r w:rsidRPr="001358CE">
              <w:rPr>
                <w:rFonts w:ascii="Book Antiqua" w:hAnsi="Book Antiqua" w:cs="Arial"/>
              </w:rPr>
              <w:t xml:space="preserve">The timing and frequency of </w:t>
            </w:r>
            <w:r w:rsidR="00480D3D">
              <w:rPr>
                <w:rFonts w:ascii="Book Antiqua" w:hAnsi="Book Antiqua" w:cs="Arial"/>
              </w:rPr>
              <w:t>REDD+</w:t>
            </w:r>
            <w:r w:rsidRPr="001358CE">
              <w:rPr>
                <w:rFonts w:ascii="Book Antiqua" w:hAnsi="Book Antiqua" w:cs="Arial"/>
              </w:rPr>
              <w:t xml:space="preserve"> payments made within </w:t>
            </w:r>
            <w:smartTag w:uri="urn:schemas-microsoft-com:office:smarttags" w:element="country-region">
              <w:smartTag w:uri="urn:schemas-microsoft-com:office:smarttags" w:element="place">
                <w:r w:rsidRPr="001358CE">
                  <w:rPr>
                    <w:rFonts w:ascii="Book Antiqua" w:hAnsi="Book Antiqua" w:cs="Arial"/>
                  </w:rPr>
                  <w:t>Viet Nam</w:t>
                </w:r>
              </w:smartTag>
            </w:smartTag>
            <w:r w:rsidRPr="001358CE">
              <w:rPr>
                <w:rFonts w:ascii="Book Antiqua" w:hAnsi="Book Antiqua" w:cs="Arial"/>
              </w:rPr>
              <w:t xml:space="preserve"> should be phased to start when actions to reduce deforestation are first initiated, and subsequently disbursed on a regular basis so as to match the timing of costs incurred and to provide a regular flow of benefits to participants. Supplementary funding, from either domestic or international sources, should be sourced to provide this pre-finance.</w:t>
            </w:r>
          </w:p>
        </w:tc>
      </w:tr>
      <w:tr w:rsidR="00795634" w:rsidRPr="00445F77">
        <w:trPr>
          <w:jc w:val="right"/>
        </w:trPr>
        <w:tc>
          <w:tcPr>
            <w:tcW w:w="960" w:type="pct"/>
            <w:tcBorders>
              <w:top w:val="single" w:sz="8" w:space="0" w:color="FFFFFF"/>
              <w:bottom w:val="nil"/>
              <w:right w:val="single" w:sz="24" w:space="0" w:color="FFFFFF"/>
            </w:tcBorders>
            <w:shd w:val="clear" w:color="auto" w:fill="C2D69B"/>
            <w:vAlign w:val="center"/>
          </w:tcPr>
          <w:p w:rsidR="00795634" w:rsidRPr="00EC1298" w:rsidRDefault="00B54274" w:rsidP="00795634">
            <w:pPr>
              <w:spacing w:after="0" w:line="240" w:lineRule="auto"/>
              <w:rPr>
                <w:rFonts w:ascii="Book Antiqua" w:hAnsi="Book Antiqua" w:cs="Arial"/>
              </w:rPr>
            </w:pPr>
            <w:r>
              <w:rPr>
                <w:rFonts w:ascii="Book Antiqua" w:hAnsi="Book Antiqua" w:cs="Arial"/>
              </w:rPr>
              <w:t>Actions required to confirm policy option</w:t>
            </w:r>
          </w:p>
        </w:tc>
        <w:tc>
          <w:tcPr>
            <w:tcW w:w="4040" w:type="pct"/>
            <w:tcBorders>
              <w:top w:val="single" w:sz="8" w:space="0" w:color="FFFFFF"/>
              <w:left w:val="single" w:sz="24" w:space="0" w:color="FFFFFF"/>
              <w:bottom w:val="nil"/>
            </w:tcBorders>
            <w:shd w:val="clear" w:color="auto" w:fill="D6E3BC"/>
            <w:vAlign w:val="center"/>
          </w:tcPr>
          <w:p w:rsidR="00795634" w:rsidRPr="001358CE" w:rsidRDefault="00795634" w:rsidP="00A605C9">
            <w:pPr>
              <w:pStyle w:val="ListParagraph"/>
              <w:numPr>
                <w:ilvl w:val="0"/>
                <w:numId w:val="4"/>
              </w:numPr>
              <w:spacing w:after="0" w:line="240" w:lineRule="auto"/>
              <w:ind w:left="161" w:hanging="180"/>
              <w:contextualSpacing w:val="0"/>
              <w:jc w:val="both"/>
              <w:rPr>
                <w:rFonts w:ascii="Book Antiqua" w:hAnsi="Book Antiqua" w:cs="Arial"/>
                <w:lang w:val="en-GB"/>
              </w:rPr>
            </w:pPr>
            <w:r w:rsidRPr="001358CE">
              <w:rPr>
                <w:rFonts w:ascii="Book Antiqua" w:hAnsi="Book Antiqua" w:cs="Arial"/>
                <w:lang w:val="en-GB"/>
              </w:rPr>
              <w:t>With a view to shifting the burden of responsibility for pre-financing and bearing the risks of investing in avoided deforestation, the GoV should announce its intention to secure adequate funds to ensure that</w:t>
            </w:r>
            <w:r w:rsidRPr="001358CE">
              <w:rPr>
                <w:rFonts w:ascii="Book Antiqua" w:hAnsi="Book Antiqua" w:cs="Arial"/>
                <w:i/>
                <w:iCs/>
                <w:lang w:val="en-GB"/>
              </w:rPr>
              <w:t xml:space="preserve"> </w:t>
            </w:r>
            <w:r w:rsidRPr="001358CE">
              <w:rPr>
                <w:rFonts w:ascii="Book Antiqua" w:hAnsi="Book Antiqua" w:cs="Arial"/>
                <w:lang w:val="en-GB"/>
              </w:rPr>
              <w:t xml:space="preserve">the distribution of </w:t>
            </w:r>
            <w:r w:rsidR="00480D3D">
              <w:rPr>
                <w:rFonts w:ascii="Book Antiqua" w:hAnsi="Book Antiqua" w:cs="Arial"/>
                <w:lang w:val="en-GB"/>
              </w:rPr>
              <w:t>REDD+</w:t>
            </w:r>
            <w:r w:rsidRPr="001358CE">
              <w:rPr>
                <w:rFonts w:ascii="Book Antiqua" w:hAnsi="Book Antiqua" w:cs="Arial"/>
                <w:lang w:val="en-GB"/>
              </w:rPr>
              <w:t xml:space="preserve"> payments to participants will begin at the time they commence activities, and will be transferred on a regular basis thereafter.</w:t>
            </w:r>
          </w:p>
          <w:p w:rsidR="00795634" w:rsidRPr="001358CE" w:rsidRDefault="00B54274" w:rsidP="00A605C9">
            <w:pPr>
              <w:pStyle w:val="ListParagraph"/>
              <w:numPr>
                <w:ilvl w:val="0"/>
                <w:numId w:val="4"/>
              </w:numPr>
              <w:spacing w:after="0" w:line="240" w:lineRule="auto"/>
              <w:ind w:left="161" w:hanging="180"/>
              <w:contextualSpacing w:val="0"/>
              <w:jc w:val="both"/>
              <w:rPr>
                <w:rFonts w:ascii="Book Antiqua" w:hAnsi="Book Antiqua" w:cs="Arial"/>
                <w:lang w:val="en-GB"/>
              </w:rPr>
            </w:pPr>
            <w:r>
              <w:rPr>
                <w:rFonts w:ascii="Book Antiqua" w:hAnsi="Book Antiqua" w:cs="Arial"/>
                <w:lang w:val="en-GB"/>
              </w:rPr>
              <w:t>Further</w:t>
            </w:r>
            <w:r w:rsidR="00795634" w:rsidRPr="001358CE">
              <w:rPr>
                <w:rFonts w:ascii="Book Antiqua" w:hAnsi="Book Antiqua" w:cs="Arial"/>
                <w:lang w:val="en-GB"/>
              </w:rPr>
              <w:t xml:space="preserve"> work will require that indicative projections of required </w:t>
            </w:r>
            <w:r w:rsidR="00480D3D">
              <w:rPr>
                <w:rFonts w:ascii="Book Antiqua" w:hAnsi="Book Antiqua" w:cs="Arial"/>
                <w:lang w:val="en-GB"/>
              </w:rPr>
              <w:t>REDD+</w:t>
            </w:r>
            <w:r w:rsidR="00795634" w:rsidRPr="001358CE">
              <w:rPr>
                <w:rFonts w:ascii="Book Antiqua" w:hAnsi="Book Antiqua" w:cs="Arial"/>
                <w:lang w:val="en-GB"/>
              </w:rPr>
              <w:t xml:space="preserve"> cashflows over time are prepared, and initial discussions are held between the GoV and international donors about possible sources of funds to pre-finance payment distribution.</w:t>
            </w:r>
          </w:p>
        </w:tc>
      </w:tr>
    </w:tbl>
    <w:p w:rsidR="001358CE" w:rsidRDefault="001358CE">
      <w:pPr>
        <w:spacing w:after="0" w:line="240" w:lineRule="auto"/>
        <w:rPr>
          <w:rFonts w:ascii="Arial" w:eastAsia="Times New Roman" w:hAnsi="Arial" w:cs="Arial"/>
          <w:bCs/>
          <w:color w:val="1F497D"/>
          <w:sz w:val="24"/>
          <w:szCs w:val="24"/>
        </w:rPr>
      </w:pPr>
      <w:bookmarkStart w:id="421" w:name="_Toc244586199"/>
      <w:r>
        <w:rPr>
          <w:rFonts w:ascii="Arial" w:hAnsi="Arial" w:cs="Arial"/>
          <w:sz w:val="24"/>
          <w:szCs w:val="24"/>
        </w:rPr>
        <w:br w:type="page"/>
      </w:r>
    </w:p>
    <w:p w:rsidR="00351F2C" w:rsidRPr="00445F77" w:rsidRDefault="00351F2C" w:rsidP="002D0F33">
      <w:pPr>
        <w:pStyle w:val="Heading1"/>
      </w:pPr>
      <w:bookmarkStart w:id="422" w:name="_Toc252354742"/>
      <w:r w:rsidRPr="00445F77">
        <w:lastRenderedPageBreak/>
        <w:t>Chapter 6: Eligibility, Principles and Performance in the Distribution System</w:t>
      </w:r>
      <w:bookmarkEnd w:id="421"/>
      <w:bookmarkEnd w:id="422"/>
      <w:r w:rsidRPr="00445F77">
        <w:t xml:space="preserve"> </w:t>
      </w:r>
    </w:p>
    <w:p w:rsidR="00351F2C" w:rsidRPr="001358CE" w:rsidRDefault="00351F2C" w:rsidP="001358CE">
      <w:pPr>
        <w:spacing w:after="0"/>
        <w:rPr>
          <w:rFonts w:ascii="Book Antiqua" w:hAnsi="Book Antiqua" w:cs="Arial"/>
        </w:rPr>
      </w:pPr>
    </w:p>
    <w:p w:rsidR="00351F2C" w:rsidRPr="001358CE" w:rsidRDefault="00351F2C" w:rsidP="001358CE">
      <w:pPr>
        <w:spacing w:after="0" w:line="300" w:lineRule="exact"/>
        <w:jc w:val="both"/>
        <w:rPr>
          <w:rFonts w:ascii="Book Antiqua" w:hAnsi="Book Antiqua" w:cs="Arial"/>
        </w:rPr>
      </w:pPr>
      <w:r w:rsidRPr="001358CE">
        <w:rPr>
          <w:rFonts w:ascii="Book Antiqua" w:hAnsi="Book Antiqua" w:cs="Arial"/>
          <w:lang w:val="en-US"/>
        </w:rPr>
        <w:t xml:space="preserve">Sub-national finance mechanisms receive </w:t>
      </w:r>
      <w:r w:rsidR="00480D3D">
        <w:rPr>
          <w:rFonts w:ascii="Book Antiqua" w:hAnsi="Book Antiqua" w:cs="Arial"/>
          <w:lang w:val="en-US"/>
        </w:rPr>
        <w:t>REDD+</w:t>
      </w:r>
      <w:r w:rsidRPr="001358CE">
        <w:rPr>
          <w:rFonts w:ascii="Book Antiqua" w:hAnsi="Book Antiqua" w:cs="Arial"/>
          <w:lang w:val="en-US"/>
        </w:rPr>
        <w:t xml:space="preserve"> funds from the national-level finance mechanism</w:t>
      </w:r>
      <w:r w:rsidR="005C65BC">
        <w:rPr>
          <w:rFonts w:ascii="Book Antiqua" w:hAnsi="Book Antiqua" w:cs="Arial"/>
          <w:lang w:val="en-US"/>
        </w:rPr>
        <w:t>,</w:t>
      </w:r>
      <w:r w:rsidRPr="001358CE">
        <w:rPr>
          <w:rFonts w:ascii="Book Antiqua" w:hAnsi="Book Antiqua" w:cs="Arial"/>
          <w:lang w:val="en-US"/>
        </w:rPr>
        <w:t xml:space="preserve"> </w:t>
      </w:r>
      <w:r w:rsidR="005C65BC">
        <w:rPr>
          <w:rFonts w:ascii="Book Antiqua" w:hAnsi="Book Antiqua" w:cs="Arial"/>
          <w:lang w:val="en-US"/>
        </w:rPr>
        <w:t>as proposed in</w:t>
      </w:r>
      <w:r w:rsidRPr="001358CE">
        <w:rPr>
          <w:rFonts w:ascii="Book Antiqua" w:hAnsi="Book Antiqua" w:cs="Arial"/>
          <w:lang w:val="en-US"/>
        </w:rPr>
        <w:t xml:space="preserve"> Chapter </w:t>
      </w:r>
      <w:r w:rsidR="001358CE">
        <w:rPr>
          <w:rFonts w:ascii="Book Antiqua" w:hAnsi="Book Antiqua" w:cs="Arial"/>
          <w:lang w:val="en-US"/>
        </w:rPr>
        <w:t>4</w:t>
      </w:r>
      <w:r w:rsidR="005C65BC">
        <w:rPr>
          <w:rFonts w:ascii="Book Antiqua" w:hAnsi="Book Antiqua" w:cs="Arial"/>
          <w:lang w:val="en-US"/>
        </w:rPr>
        <w:t>,</w:t>
      </w:r>
      <w:r w:rsidRPr="001358CE">
        <w:rPr>
          <w:rFonts w:ascii="Book Antiqua" w:hAnsi="Book Antiqua" w:cs="Arial"/>
          <w:lang w:val="en-US"/>
        </w:rPr>
        <w:t xml:space="preserve"> and distribute th</w:t>
      </w:r>
      <w:r w:rsidR="005C65BC">
        <w:rPr>
          <w:rFonts w:ascii="Book Antiqua" w:hAnsi="Book Antiqua" w:cs="Arial"/>
          <w:lang w:val="en-US"/>
        </w:rPr>
        <w:t>em</w:t>
      </w:r>
      <w:r w:rsidRPr="001358CE">
        <w:rPr>
          <w:rFonts w:ascii="Book Antiqua" w:hAnsi="Book Antiqua" w:cs="Arial"/>
          <w:lang w:val="en-US"/>
        </w:rPr>
        <w:t xml:space="preserve"> to forest managers.  Th</w:t>
      </w:r>
      <w:r w:rsidR="005C65BC">
        <w:rPr>
          <w:rFonts w:ascii="Book Antiqua" w:hAnsi="Book Antiqua" w:cs="Arial"/>
          <w:lang w:val="en-US"/>
        </w:rPr>
        <w:t>is</w:t>
      </w:r>
      <w:r w:rsidRPr="001358CE">
        <w:rPr>
          <w:rFonts w:ascii="Book Antiqua" w:hAnsi="Book Antiqua" w:cs="Arial"/>
          <w:lang w:val="en-US"/>
        </w:rPr>
        <w:t xml:space="preserve"> chapter often makes reference to ‘sub-national </w:t>
      </w:r>
      <w:r w:rsidR="00480D3D">
        <w:rPr>
          <w:rFonts w:ascii="Book Antiqua" w:hAnsi="Book Antiqua" w:cs="Arial"/>
          <w:lang w:val="en-US"/>
        </w:rPr>
        <w:t>REDD+</w:t>
      </w:r>
      <w:r w:rsidRPr="001358CE">
        <w:rPr>
          <w:rFonts w:ascii="Book Antiqua" w:hAnsi="Book Antiqua" w:cs="Arial"/>
          <w:lang w:val="en-US"/>
        </w:rPr>
        <w:t xml:space="preserve"> Funds’ as the sub-national entity that will receive </w:t>
      </w:r>
      <w:r w:rsidR="00480D3D">
        <w:rPr>
          <w:rFonts w:ascii="Book Antiqua" w:hAnsi="Book Antiqua" w:cs="Arial"/>
          <w:lang w:val="en-US"/>
        </w:rPr>
        <w:t>REDD+</w:t>
      </w:r>
      <w:r w:rsidRPr="001358CE">
        <w:rPr>
          <w:rFonts w:ascii="Book Antiqua" w:hAnsi="Book Antiqua" w:cs="Arial"/>
          <w:lang w:val="en-US"/>
        </w:rPr>
        <w:t xml:space="preserve"> funds from the national level and distribute benefits to recipients on the ground.  The term serves as a placeholder for whatever institution the GoV will eventually designate to be in charge of the sub-national distribution of </w:t>
      </w:r>
      <w:r w:rsidR="00480D3D">
        <w:rPr>
          <w:rFonts w:ascii="Book Antiqua" w:hAnsi="Book Antiqua" w:cs="Arial"/>
          <w:lang w:val="en-US"/>
        </w:rPr>
        <w:t>REDD+</w:t>
      </w:r>
      <w:r w:rsidRPr="001358CE">
        <w:rPr>
          <w:rFonts w:ascii="Book Antiqua" w:hAnsi="Book Antiqua" w:cs="Arial"/>
          <w:lang w:val="en-US"/>
        </w:rPr>
        <w:t xml:space="preserve"> benefits.  That may be </w:t>
      </w:r>
      <w:r w:rsidR="005C65BC">
        <w:rPr>
          <w:rFonts w:ascii="Book Antiqua" w:hAnsi="Book Antiqua" w:cs="Arial"/>
          <w:lang w:val="en-US"/>
        </w:rPr>
        <w:t>a</w:t>
      </w:r>
      <w:r w:rsidRPr="001358CE">
        <w:rPr>
          <w:rFonts w:ascii="Book Antiqua" w:hAnsi="Book Antiqua" w:cs="Arial"/>
          <w:lang w:val="en-US"/>
        </w:rPr>
        <w:t xml:space="preserve"> specialized </w:t>
      </w:r>
      <w:r w:rsidR="00480D3D">
        <w:rPr>
          <w:rFonts w:ascii="Book Antiqua" w:hAnsi="Book Antiqua" w:cs="Arial"/>
          <w:lang w:val="en-US"/>
        </w:rPr>
        <w:t>REDD+</w:t>
      </w:r>
      <w:r w:rsidRPr="001358CE">
        <w:rPr>
          <w:rFonts w:ascii="Book Antiqua" w:hAnsi="Book Antiqua" w:cs="Arial"/>
          <w:lang w:val="en-US"/>
        </w:rPr>
        <w:t xml:space="preserve"> Funds at the provincial or district level</w:t>
      </w:r>
      <w:r w:rsidR="005C65BC">
        <w:rPr>
          <w:rFonts w:ascii="Book Antiqua" w:hAnsi="Book Antiqua" w:cs="Arial"/>
          <w:lang w:val="en-US"/>
        </w:rPr>
        <w:t>, or other mechanisms</w:t>
      </w:r>
      <w:r w:rsidRPr="001358CE">
        <w:rPr>
          <w:rFonts w:ascii="Book Antiqua" w:hAnsi="Book Antiqua" w:cs="Arial"/>
          <w:lang w:val="en-US"/>
        </w:rPr>
        <w:t>.</w:t>
      </w:r>
    </w:p>
    <w:p w:rsidR="00351F2C" w:rsidRPr="001358CE" w:rsidRDefault="00351F2C" w:rsidP="001358CE">
      <w:pPr>
        <w:spacing w:after="0" w:line="300" w:lineRule="exact"/>
        <w:contextualSpacing/>
        <w:jc w:val="both"/>
        <w:rPr>
          <w:rFonts w:ascii="Book Antiqua" w:hAnsi="Book Antiqua" w:cs="Arial"/>
          <w:color w:val="1F497D"/>
        </w:rPr>
      </w:pPr>
    </w:p>
    <w:p w:rsidR="00351F2C" w:rsidRPr="001358CE" w:rsidRDefault="00351F2C" w:rsidP="001358CE">
      <w:pPr>
        <w:spacing w:after="0" w:line="300" w:lineRule="exact"/>
        <w:jc w:val="both"/>
        <w:rPr>
          <w:rFonts w:ascii="Book Antiqua" w:hAnsi="Book Antiqua" w:cs="Arial"/>
          <w:lang w:val="en-US"/>
        </w:rPr>
      </w:pPr>
      <w:r w:rsidRPr="001358CE">
        <w:rPr>
          <w:rFonts w:ascii="Book Antiqua" w:hAnsi="Book Antiqua" w:cs="Arial"/>
          <w:lang w:val="en-US"/>
        </w:rPr>
        <w:t xml:space="preserve">This chapter analyzes the options available for </w:t>
      </w:r>
      <w:r w:rsidR="00480D3D">
        <w:rPr>
          <w:rFonts w:ascii="Book Antiqua" w:hAnsi="Book Antiqua" w:cs="Arial"/>
          <w:lang w:val="en-US"/>
        </w:rPr>
        <w:t>REDD+</w:t>
      </w:r>
      <w:r w:rsidRPr="001358CE">
        <w:rPr>
          <w:rFonts w:ascii="Book Antiqua" w:hAnsi="Book Antiqua" w:cs="Arial"/>
          <w:lang w:val="en-US"/>
        </w:rPr>
        <w:t xml:space="preserve"> finance mechanisms at the sub-national level. </w:t>
      </w:r>
      <w:r w:rsidR="005C65BC">
        <w:rPr>
          <w:rFonts w:ascii="Book Antiqua" w:hAnsi="Book Antiqua" w:cs="Arial"/>
          <w:lang w:val="en-US"/>
        </w:rPr>
        <w:t xml:space="preserve"> Included in this</w:t>
      </w:r>
      <w:r w:rsidRPr="001358CE">
        <w:rPr>
          <w:rFonts w:ascii="Book Antiqua" w:hAnsi="Book Antiqua" w:cs="Arial"/>
        </w:rPr>
        <w:t xml:space="preserve"> analysis </w:t>
      </w:r>
      <w:r w:rsidR="005C65BC">
        <w:rPr>
          <w:rFonts w:ascii="Book Antiqua" w:hAnsi="Book Antiqua" w:cs="Arial"/>
        </w:rPr>
        <w:t>is</w:t>
      </w:r>
      <w:r w:rsidRPr="001358CE">
        <w:rPr>
          <w:rFonts w:ascii="Book Antiqua" w:hAnsi="Book Antiqua" w:cs="Arial"/>
        </w:rPr>
        <w:t xml:space="preserve"> the type of forestland owners eligible to receive </w:t>
      </w:r>
      <w:r w:rsidR="00480D3D">
        <w:rPr>
          <w:rFonts w:ascii="Book Antiqua" w:hAnsi="Book Antiqua" w:cs="Arial"/>
        </w:rPr>
        <w:t>REDD+</w:t>
      </w:r>
      <w:r w:rsidRPr="001358CE">
        <w:rPr>
          <w:rFonts w:ascii="Book Antiqua" w:hAnsi="Book Antiqua" w:cs="Arial"/>
        </w:rPr>
        <w:t xml:space="preserve"> benefits and the principles for the distribution of </w:t>
      </w:r>
      <w:r w:rsidR="00480D3D">
        <w:rPr>
          <w:rFonts w:ascii="Book Antiqua" w:hAnsi="Book Antiqua" w:cs="Arial"/>
        </w:rPr>
        <w:t>REDD+</w:t>
      </w:r>
      <w:r w:rsidRPr="001358CE">
        <w:rPr>
          <w:rFonts w:ascii="Book Antiqua" w:hAnsi="Book Antiqua" w:cs="Arial"/>
        </w:rPr>
        <w:t xml:space="preserve"> benefits at the sub-national level. Factors in the decisions and the final make up of the BDS will need to balance performance-based payments </w:t>
      </w:r>
      <w:r w:rsidRPr="005C65BC">
        <w:rPr>
          <w:rFonts w:ascii="Book Antiqua" w:hAnsi="Book Antiqua" w:cs="Arial"/>
          <w:i/>
        </w:rPr>
        <w:t>ex post</w:t>
      </w:r>
      <w:r w:rsidRPr="001358CE">
        <w:rPr>
          <w:rFonts w:ascii="Book Antiqua" w:hAnsi="Book Antiqua" w:cs="Arial"/>
        </w:rPr>
        <w:t xml:space="preserve"> with the provision of upfront resources and incentives and the institutional structure for a performance-based sub-national distribution of </w:t>
      </w:r>
      <w:r w:rsidR="00480D3D">
        <w:rPr>
          <w:rFonts w:ascii="Book Antiqua" w:hAnsi="Book Antiqua" w:cs="Arial"/>
        </w:rPr>
        <w:t>REDD+</w:t>
      </w:r>
      <w:r w:rsidRPr="001358CE">
        <w:rPr>
          <w:rFonts w:ascii="Book Antiqua" w:hAnsi="Book Antiqua" w:cs="Arial"/>
        </w:rPr>
        <w:t xml:space="preserve"> benefits. Along with these there must be consideration of law enforcement required for a performance-based distribution.</w:t>
      </w:r>
      <w:r w:rsidR="005C65BC">
        <w:rPr>
          <w:rFonts w:ascii="Book Antiqua" w:hAnsi="Book Antiqua" w:cs="Arial"/>
        </w:rPr>
        <w:t xml:space="preserve">  </w:t>
      </w:r>
      <w:r w:rsidRPr="001358CE">
        <w:rPr>
          <w:rFonts w:ascii="Book Antiqua" w:hAnsi="Book Antiqua" w:cs="Arial"/>
          <w:lang w:val="en-US"/>
        </w:rPr>
        <w:t xml:space="preserve">The Chapter </w:t>
      </w:r>
      <w:r w:rsidR="005C65BC">
        <w:rPr>
          <w:rFonts w:ascii="Book Antiqua" w:hAnsi="Book Antiqua" w:cs="Arial"/>
          <w:lang w:val="en-US"/>
        </w:rPr>
        <w:t xml:space="preserve">thus </w:t>
      </w:r>
      <w:r w:rsidRPr="001358CE">
        <w:rPr>
          <w:rFonts w:ascii="Book Antiqua" w:hAnsi="Book Antiqua" w:cs="Arial"/>
          <w:lang w:val="en-US"/>
        </w:rPr>
        <w:t>seeks to answer the following questions:</w:t>
      </w:r>
    </w:p>
    <w:p w:rsidR="00351F2C" w:rsidRPr="001358CE" w:rsidRDefault="00351F2C" w:rsidP="001358CE">
      <w:pPr>
        <w:spacing w:after="0" w:line="300" w:lineRule="exact"/>
        <w:contextualSpacing/>
        <w:jc w:val="both"/>
        <w:rPr>
          <w:rFonts w:ascii="Book Antiqua" w:hAnsi="Book Antiqua" w:cs="Arial"/>
          <w:lang w:val="en-US"/>
        </w:rPr>
      </w:pPr>
    </w:p>
    <w:p w:rsidR="00351F2C" w:rsidRPr="001358CE" w:rsidRDefault="00351F2C" w:rsidP="003E3CBA">
      <w:pPr>
        <w:numPr>
          <w:ilvl w:val="0"/>
          <w:numId w:val="28"/>
        </w:numPr>
        <w:tabs>
          <w:tab w:val="clear" w:pos="720"/>
          <w:tab w:val="num" w:pos="360"/>
        </w:tabs>
        <w:spacing w:after="0" w:line="300" w:lineRule="exact"/>
        <w:ind w:left="360"/>
        <w:contextualSpacing/>
        <w:jc w:val="both"/>
        <w:rPr>
          <w:rFonts w:ascii="Book Antiqua" w:hAnsi="Book Antiqua" w:cs="Arial"/>
          <w:lang w:val="en-US"/>
        </w:rPr>
      </w:pPr>
      <w:r w:rsidRPr="001358CE">
        <w:rPr>
          <w:rFonts w:ascii="Book Antiqua" w:hAnsi="Book Antiqua" w:cs="Arial"/>
          <w:lang w:val="en-US"/>
        </w:rPr>
        <w:t xml:space="preserve">What are the types of forestland owners eligible to receive </w:t>
      </w:r>
      <w:r w:rsidR="00480D3D">
        <w:rPr>
          <w:rFonts w:ascii="Book Antiqua" w:hAnsi="Book Antiqua" w:cs="Arial"/>
          <w:lang w:val="en-US"/>
        </w:rPr>
        <w:t>REDD+</w:t>
      </w:r>
      <w:r w:rsidRPr="001358CE">
        <w:rPr>
          <w:rFonts w:ascii="Book Antiqua" w:hAnsi="Book Antiqua" w:cs="Arial"/>
          <w:lang w:val="en-US"/>
        </w:rPr>
        <w:t xml:space="preserve"> benefits?</w:t>
      </w:r>
    </w:p>
    <w:p w:rsidR="00351F2C" w:rsidRPr="001358CE" w:rsidRDefault="00351F2C" w:rsidP="003E3CBA">
      <w:pPr>
        <w:numPr>
          <w:ilvl w:val="0"/>
          <w:numId w:val="28"/>
        </w:numPr>
        <w:tabs>
          <w:tab w:val="clear" w:pos="720"/>
          <w:tab w:val="num" w:pos="360"/>
        </w:tabs>
        <w:spacing w:after="0" w:line="300" w:lineRule="exact"/>
        <w:ind w:left="360"/>
        <w:contextualSpacing/>
        <w:jc w:val="both"/>
        <w:rPr>
          <w:rFonts w:ascii="Book Antiqua" w:hAnsi="Book Antiqua" w:cs="Arial"/>
          <w:lang w:val="en-US"/>
        </w:rPr>
      </w:pPr>
      <w:r w:rsidRPr="001358CE">
        <w:rPr>
          <w:rFonts w:ascii="Book Antiqua" w:hAnsi="Book Antiqua" w:cs="Arial"/>
          <w:lang w:val="en-US"/>
        </w:rPr>
        <w:t>What are principles for the distributions of benefits at the sub-national level?</w:t>
      </w:r>
    </w:p>
    <w:p w:rsidR="00351F2C" w:rsidRPr="001358CE" w:rsidRDefault="00351F2C" w:rsidP="003E3CBA">
      <w:pPr>
        <w:numPr>
          <w:ilvl w:val="0"/>
          <w:numId w:val="28"/>
        </w:numPr>
        <w:tabs>
          <w:tab w:val="clear" w:pos="720"/>
          <w:tab w:val="num" w:pos="360"/>
        </w:tabs>
        <w:spacing w:after="0" w:line="300" w:lineRule="exact"/>
        <w:ind w:left="360"/>
        <w:contextualSpacing/>
        <w:jc w:val="both"/>
        <w:rPr>
          <w:rFonts w:ascii="Book Antiqua" w:hAnsi="Book Antiqua" w:cs="Arial"/>
          <w:lang w:val="en-US"/>
        </w:rPr>
      </w:pPr>
      <w:r w:rsidRPr="001358CE">
        <w:rPr>
          <w:rFonts w:ascii="Book Antiqua" w:hAnsi="Book Antiqua" w:cs="Arial"/>
          <w:lang w:val="en-US"/>
        </w:rPr>
        <w:t>What are the institutional components required for the performance-based distribution.</w:t>
      </w:r>
    </w:p>
    <w:p w:rsidR="00351F2C" w:rsidRPr="001358CE" w:rsidRDefault="00351F2C" w:rsidP="001358CE">
      <w:pPr>
        <w:spacing w:after="0" w:line="300" w:lineRule="atLeast"/>
        <w:contextualSpacing/>
        <w:rPr>
          <w:rFonts w:ascii="Book Antiqua" w:hAnsi="Book Antiqua" w:cs="Arial"/>
          <w:lang w:val="en-US"/>
        </w:rPr>
      </w:pPr>
    </w:p>
    <w:p w:rsidR="00351F2C" w:rsidRPr="001358CE" w:rsidRDefault="00351F2C" w:rsidP="008F6D17">
      <w:pPr>
        <w:spacing w:after="0" w:line="300" w:lineRule="atLeast"/>
        <w:contextualSpacing/>
        <w:jc w:val="both"/>
        <w:rPr>
          <w:rFonts w:ascii="Book Antiqua" w:hAnsi="Book Antiqua" w:cs="Arial"/>
          <w:lang w:val="en-US"/>
        </w:rPr>
      </w:pPr>
      <w:r w:rsidRPr="001358CE">
        <w:rPr>
          <w:rFonts w:ascii="Book Antiqua" w:hAnsi="Book Antiqua" w:cs="Arial"/>
          <w:lang w:val="en-US"/>
        </w:rPr>
        <w:t xml:space="preserve">The chapter </w:t>
      </w:r>
      <w:r w:rsidR="005C65BC">
        <w:rPr>
          <w:rFonts w:ascii="Book Antiqua" w:hAnsi="Book Antiqua" w:cs="Arial"/>
          <w:lang w:val="en-US"/>
        </w:rPr>
        <w:t>starts (Section 6.1) by building on the</w:t>
      </w:r>
      <w:r w:rsidRPr="001358CE">
        <w:rPr>
          <w:rFonts w:ascii="Book Antiqua" w:hAnsi="Book Antiqua" w:cs="Arial"/>
          <w:lang w:val="en-US"/>
        </w:rPr>
        <w:t xml:space="preserve"> review of experiences with payment systems in </w:t>
      </w:r>
      <w:r w:rsidR="00480D3D">
        <w:rPr>
          <w:rFonts w:ascii="Book Antiqua" w:hAnsi="Book Antiqua" w:cs="Arial"/>
          <w:lang w:val="en-US"/>
        </w:rPr>
        <w:t>Viet Nam</w:t>
      </w:r>
      <w:r w:rsidRPr="001358CE">
        <w:rPr>
          <w:rFonts w:ascii="Book Antiqua" w:hAnsi="Book Antiqua" w:cs="Arial"/>
          <w:lang w:val="en-US"/>
        </w:rPr>
        <w:t xml:space="preserve">’s forestry sector </w:t>
      </w:r>
      <w:r w:rsidR="005C65BC">
        <w:rPr>
          <w:rFonts w:ascii="Book Antiqua" w:hAnsi="Book Antiqua" w:cs="Arial"/>
          <w:lang w:val="en-US"/>
        </w:rPr>
        <w:t>in Chapter 2, highlighting key questions of forest resource rights and tenure</w:t>
      </w:r>
      <w:r w:rsidRPr="001358CE">
        <w:rPr>
          <w:rFonts w:ascii="Book Antiqua" w:hAnsi="Book Antiqua" w:cs="Arial"/>
          <w:lang w:val="en-US"/>
        </w:rPr>
        <w:t xml:space="preserve">. </w:t>
      </w:r>
      <w:r w:rsidR="005C65BC">
        <w:rPr>
          <w:rFonts w:ascii="Book Antiqua" w:hAnsi="Book Antiqua" w:cs="Arial"/>
          <w:lang w:val="en-US"/>
        </w:rPr>
        <w:t xml:space="preserve"> </w:t>
      </w:r>
      <w:r w:rsidRPr="001358CE">
        <w:rPr>
          <w:rFonts w:ascii="Book Antiqua" w:hAnsi="Book Antiqua" w:cs="Arial"/>
          <w:lang w:val="en-US"/>
        </w:rPr>
        <w:t>Section 6.</w:t>
      </w:r>
      <w:r w:rsidR="005C65BC">
        <w:rPr>
          <w:rFonts w:ascii="Book Antiqua" w:hAnsi="Book Antiqua" w:cs="Arial"/>
          <w:lang w:val="en-US"/>
        </w:rPr>
        <w:t>2</w:t>
      </w:r>
      <w:r w:rsidRPr="001358CE">
        <w:rPr>
          <w:rFonts w:ascii="Book Antiqua" w:hAnsi="Book Antiqua" w:cs="Arial"/>
          <w:lang w:val="en-US"/>
        </w:rPr>
        <w:t xml:space="preserve"> reviews international practices on payment for ecosystem services. How ethnic minorities and forest margin communities</w:t>
      </w:r>
      <w:r w:rsidR="00A37267">
        <w:rPr>
          <w:rFonts w:ascii="Book Antiqua" w:hAnsi="Book Antiqua" w:cs="Arial"/>
          <w:lang w:val="en-US"/>
        </w:rPr>
        <w:t>’</w:t>
      </w:r>
      <w:r w:rsidRPr="001358CE">
        <w:rPr>
          <w:rFonts w:ascii="Book Antiqua" w:hAnsi="Book Antiqua" w:cs="Arial"/>
          <w:lang w:val="en-US"/>
        </w:rPr>
        <w:t xml:space="preserve"> representatives view the past and/or existing pattern of payment for ecosystem services is the subject of Section 6.</w:t>
      </w:r>
      <w:r w:rsidR="005C65BC">
        <w:rPr>
          <w:rFonts w:ascii="Book Antiqua" w:hAnsi="Book Antiqua" w:cs="Arial"/>
          <w:lang w:val="en-US"/>
        </w:rPr>
        <w:t>3</w:t>
      </w:r>
      <w:r w:rsidRPr="001358CE">
        <w:rPr>
          <w:rFonts w:ascii="Book Antiqua" w:hAnsi="Book Antiqua" w:cs="Arial"/>
          <w:lang w:val="en-US"/>
        </w:rPr>
        <w:t xml:space="preserve">. </w:t>
      </w:r>
      <w:r w:rsidR="00B4562C">
        <w:rPr>
          <w:rFonts w:ascii="Book Antiqua" w:hAnsi="Book Antiqua" w:cs="Arial"/>
          <w:lang w:val="en-US"/>
        </w:rPr>
        <w:t xml:space="preserve"> </w:t>
      </w:r>
      <w:r w:rsidRPr="001358CE">
        <w:rPr>
          <w:rFonts w:ascii="Book Antiqua" w:hAnsi="Book Antiqua" w:cs="Arial"/>
          <w:lang w:val="en-US"/>
        </w:rPr>
        <w:t>Section 6.</w:t>
      </w:r>
      <w:r w:rsidR="005C65BC">
        <w:rPr>
          <w:rFonts w:ascii="Book Antiqua" w:hAnsi="Book Antiqua" w:cs="Arial"/>
          <w:lang w:val="en-US"/>
        </w:rPr>
        <w:t>4</w:t>
      </w:r>
      <w:r w:rsidRPr="001358CE">
        <w:rPr>
          <w:rFonts w:ascii="Book Antiqua" w:hAnsi="Book Antiqua" w:cs="Arial"/>
          <w:lang w:val="en-US"/>
        </w:rPr>
        <w:t xml:space="preserve"> addresses the question of how the </w:t>
      </w:r>
      <w:r w:rsidR="00480D3D">
        <w:rPr>
          <w:rFonts w:ascii="Book Antiqua" w:hAnsi="Book Antiqua" w:cs="Arial"/>
          <w:lang w:val="en-US"/>
        </w:rPr>
        <w:t>REDD+</w:t>
      </w:r>
      <w:r w:rsidRPr="001358CE">
        <w:rPr>
          <w:rFonts w:ascii="Book Antiqua" w:hAnsi="Book Antiqua" w:cs="Arial"/>
          <w:lang w:val="en-US"/>
        </w:rPr>
        <w:t xml:space="preserve"> benefits are distributed. It reviews </w:t>
      </w:r>
      <w:smartTag w:uri="urn:schemas-microsoft-com:office:smarttags" w:element="country-region">
        <w:smartTag w:uri="urn:schemas-microsoft-com:office:smarttags" w:element="place">
          <w:r w:rsidR="00480D3D">
            <w:rPr>
              <w:rFonts w:ascii="Book Antiqua" w:hAnsi="Book Antiqua" w:cs="Arial"/>
              <w:lang w:val="en-US"/>
            </w:rPr>
            <w:t>Viet Nam</w:t>
          </w:r>
        </w:smartTag>
      </w:smartTag>
      <w:r w:rsidRPr="001358CE">
        <w:rPr>
          <w:rFonts w:ascii="Book Antiqua" w:hAnsi="Book Antiqua" w:cs="Arial"/>
          <w:lang w:val="en-US"/>
        </w:rPr>
        <w:t xml:space="preserve">’s experience with three basic types of allocation mechanisms – the centralized administrative allocation; market allocation; and decentralized administrative allocation – each of which has its own advantages and disadvantages. </w:t>
      </w:r>
      <w:r w:rsidR="00B4562C">
        <w:rPr>
          <w:rFonts w:ascii="Book Antiqua" w:hAnsi="Book Antiqua" w:cs="Arial"/>
          <w:lang w:val="en-US"/>
        </w:rPr>
        <w:t xml:space="preserve"> </w:t>
      </w:r>
      <w:r w:rsidRPr="001358CE">
        <w:rPr>
          <w:rFonts w:ascii="Book Antiqua" w:hAnsi="Book Antiqua" w:cs="Arial"/>
          <w:lang w:val="en-US"/>
        </w:rPr>
        <w:t xml:space="preserve">The distribution of </w:t>
      </w:r>
      <w:r w:rsidR="00480D3D">
        <w:rPr>
          <w:rFonts w:ascii="Book Antiqua" w:hAnsi="Book Antiqua" w:cs="Arial"/>
          <w:lang w:val="en-US"/>
        </w:rPr>
        <w:t>REDD+</w:t>
      </w:r>
      <w:r w:rsidRPr="001358CE">
        <w:rPr>
          <w:rFonts w:ascii="Book Antiqua" w:hAnsi="Book Antiqua" w:cs="Arial"/>
          <w:lang w:val="en-US"/>
        </w:rPr>
        <w:t xml:space="preserve"> benefits at the sub-national level will have to be linked to performance. Section 6.</w:t>
      </w:r>
      <w:r w:rsidR="005C65BC">
        <w:rPr>
          <w:rFonts w:ascii="Book Antiqua" w:hAnsi="Book Antiqua" w:cs="Arial"/>
          <w:lang w:val="en-US"/>
        </w:rPr>
        <w:t>5</w:t>
      </w:r>
      <w:r w:rsidRPr="001358CE">
        <w:rPr>
          <w:rFonts w:ascii="Book Antiqua" w:hAnsi="Book Antiqua" w:cs="Arial"/>
          <w:lang w:val="en-US"/>
        </w:rPr>
        <w:t xml:space="preserve"> surveys experience from </w:t>
      </w:r>
      <w:r w:rsidR="00480D3D">
        <w:rPr>
          <w:rFonts w:ascii="Book Antiqua" w:hAnsi="Book Antiqua" w:cs="Arial"/>
          <w:lang w:val="en-US"/>
        </w:rPr>
        <w:t>Viet Nam</w:t>
      </w:r>
      <w:r w:rsidRPr="001358CE">
        <w:rPr>
          <w:rFonts w:ascii="Book Antiqua" w:hAnsi="Book Antiqua" w:cs="Arial"/>
          <w:lang w:val="en-US"/>
        </w:rPr>
        <w:t xml:space="preserve"> and other countries on how payments for ecosystem services can be linked to performance. </w:t>
      </w:r>
      <w:r w:rsidR="00B4562C">
        <w:rPr>
          <w:rFonts w:ascii="Book Antiqua" w:hAnsi="Book Antiqua" w:cs="Arial"/>
          <w:lang w:val="en-US"/>
        </w:rPr>
        <w:t xml:space="preserve"> </w:t>
      </w:r>
      <w:r w:rsidRPr="001358CE">
        <w:rPr>
          <w:rFonts w:ascii="Book Antiqua" w:hAnsi="Book Antiqua" w:cs="Arial"/>
          <w:lang w:val="en-US"/>
        </w:rPr>
        <w:t xml:space="preserve">The chapter concludes with </w:t>
      </w:r>
      <w:r w:rsidRPr="00A37267">
        <w:rPr>
          <w:rFonts w:ascii="Book Antiqua" w:hAnsi="Book Antiqua" w:cs="Arial"/>
          <w:lang w:val="en-US"/>
        </w:rPr>
        <w:t>Section 6.</w:t>
      </w:r>
      <w:r w:rsidR="005C65BC">
        <w:rPr>
          <w:rFonts w:ascii="Book Antiqua" w:hAnsi="Book Antiqua" w:cs="Arial"/>
          <w:lang w:val="en-US"/>
        </w:rPr>
        <w:t>6</w:t>
      </w:r>
      <w:r w:rsidRPr="001358CE">
        <w:rPr>
          <w:rFonts w:ascii="Book Antiqua" w:hAnsi="Book Antiqua" w:cs="Arial"/>
          <w:lang w:val="en-US"/>
        </w:rPr>
        <w:t xml:space="preserve"> which highlights the forest owners eligible to receive </w:t>
      </w:r>
      <w:r w:rsidR="00480D3D">
        <w:rPr>
          <w:rFonts w:ascii="Book Antiqua" w:hAnsi="Book Antiqua" w:cs="Arial"/>
          <w:lang w:val="en-US"/>
        </w:rPr>
        <w:t>REDD+</w:t>
      </w:r>
      <w:r w:rsidRPr="001358CE">
        <w:rPr>
          <w:rFonts w:ascii="Book Antiqua" w:hAnsi="Book Antiqua" w:cs="Arial"/>
          <w:lang w:val="en-US"/>
        </w:rPr>
        <w:t xml:space="preserve"> benefits, a set of principles required for distributions of </w:t>
      </w:r>
      <w:r w:rsidR="00480D3D">
        <w:rPr>
          <w:rFonts w:ascii="Book Antiqua" w:hAnsi="Book Antiqua" w:cs="Arial"/>
          <w:lang w:val="en-US"/>
        </w:rPr>
        <w:t>REDD+</w:t>
      </w:r>
      <w:r w:rsidRPr="001358CE">
        <w:rPr>
          <w:rFonts w:ascii="Book Antiqua" w:hAnsi="Book Antiqua" w:cs="Arial"/>
          <w:lang w:val="en-US"/>
        </w:rPr>
        <w:t xml:space="preserve"> benefits, and the institutions components needed for the performance-based distributions.</w:t>
      </w:r>
    </w:p>
    <w:p w:rsidR="00351F2C" w:rsidRPr="00445F77" w:rsidRDefault="00351F2C" w:rsidP="008F6D17">
      <w:pPr>
        <w:spacing w:after="0" w:line="300" w:lineRule="atLeast"/>
        <w:contextualSpacing/>
        <w:rPr>
          <w:rFonts w:ascii="Arial" w:hAnsi="Arial" w:cs="Arial"/>
          <w:sz w:val="24"/>
          <w:szCs w:val="24"/>
          <w:lang w:val="en-US"/>
        </w:rPr>
      </w:pPr>
    </w:p>
    <w:p w:rsidR="00351F2C" w:rsidRPr="00445F77" w:rsidRDefault="00351F2C" w:rsidP="008F6D17">
      <w:pPr>
        <w:pStyle w:val="Heading2"/>
        <w:numPr>
          <w:ilvl w:val="0"/>
          <w:numId w:val="108"/>
        </w:numPr>
        <w:tabs>
          <w:tab w:val="left" w:pos="450"/>
        </w:tabs>
        <w:spacing w:before="0" w:after="0"/>
        <w:rPr>
          <w:rFonts w:ascii="Arial" w:hAnsi="Arial" w:cs="Arial"/>
          <w:sz w:val="24"/>
          <w:szCs w:val="24"/>
          <w:lang w:val="en-US"/>
        </w:rPr>
      </w:pPr>
      <w:bookmarkStart w:id="423" w:name="_Toc244586200"/>
      <w:bookmarkStart w:id="424" w:name="_Toc252354743"/>
      <w:r w:rsidRPr="00445F77">
        <w:rPr>
          <w:rFonts w:ascii="Arial" w:hAnsi="Arial" w:cs="Arial"/>
          <w:sz w:val="24"/>
          <w:szCs w:val="24"/>
          <w:lang w:val="en-US"/>
        </w:rPr>
        <w:t xml:space="preserve">Experiences with payment systems in </w:t>
      </w:r>
      <w:smartTag w:uri="urn:schemas-microsoft-com:office:smarttags" w:element="country-region">
        <w:smartTag w:uri="urn:schemas-microsoft-com:office:smarttags" w:element="place">
          <w:r w:rsidRPr="00445F77">
            <w:rPr>
              <w:rFonts w:ascii="Arial" w:hAnsi="Arial" w:cs="Arial"/>
              <w:sz w:val="24"/>
              <w:szCs w:val="24"/>
              <w:lang w:val="en-US"/>
            </w:rPr>
            <w:t>Viet Nam</w:t>
          </w:r>
        </w:smartTag>
      </w:smartTag>
      <w:r w:rsidRPr="00445F77">
        <w:rPr>
          <w:rFonts w:ascii="Arial" w:hAnsi="Arial" w:cs="Arial"/>
          <w:sz w:val="24"/>
          <w:szCs w:val="24"/>
          <w:lang w:val="en-US"/>
        </w:rPr>
        <w:t>’s forestry sector</w:t>
      </w:r>
      <w:bookmarkEnd w:id="423"/>
      <w:bookmarkEnd w:id="424"/>
    </w:p>
    <w:p w:rsidR="00351F2C" w:rsidRPr="001358CE" w:rsidRDefault="00351F2C" w:rsidP="008F6D17">
      <w:pPr>
        <w:spacing w:after="0" w:line="300" w:lineRule="atLeast"/>
        <w:contextualSpacing/>
        <w:jc w:val="both"/>
        <w:rPr>
          <w:rFonts w:ascii="Book Antiqua" w:hAnsi="Book Antiqua" w:cs="Arial"/>
          <w:lang w:val="en-US"/>
        </w:rPr>
      </w:pP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 has abundant experience with the use of payments to encourage the protection of natural forests and the establishment of new plantations.  These initiatives and </w:t>
      </w:r>
      <w:r w:rsidR="00480D3D">
        <w:rPr>
          <w:rFonts w:ascii="Book Antiqua" w:hAnsi="Book Antiqua" w:cs="Arial"/>
          <w:lang w:val="en-US"/>
        </w:rPr>
        <w:lastRenderedPageBreak/>
        <w:t>programme</w:t>
      </w:r>
      <w:r w:rsidRPr="001358CE">
        <w:rPr>
          <w:rFonts w:ascii="Book Antiqua" w:hAnsi="Book Antiqua" w:cs="Arial"/>
          <w:lang w:val="en-US"/>
        </w:rPr>
        <w:t xml:space="preserve">s are discussed in detail in Chapter 2. Most payments have so far been directed towards individual households as well as Forestry Companies and PAMBs.  Nevertheless, recent pilots and the community forestry component in the KfW-6 project demonstrate the viability of payments to village communities as a third option.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’s future </w:t>
      </w:r>
      <w:r w:rsidR="00480D3D">
        <w:rPr>
          <w:rFonts w:ascii="Book Antiqua" w:hAnsi="Book Antiqua" w:cs="Arial"/>
          <w:lang w:val="en-US"/>
        </w:rPr>
        <w:t>REDD+</w:t>
      </w:r>
      <w:r w:rsidRPr="001358CE">
        <w:rPr>
          <w:rFonts w:ascii="Book Antiqua" w:hAnsi="Book Antiqua" w:cs="Arial"/>
          <w:lang w:val="en-US"/>
        </w:rPr>
        <w:t xml:space="preserve"> </w:t>
      </w:r>
      <w:r w:rsidR="00480D3D">
        <w:rPr>
          <w:rFonts w:ascii="Book Antiqua" w:hAnsi="Book Antiqua" w:cs="Arial"/>
          <w:lang w:val="en-US"/>
        </w:rPr>
        <w:t>programme</w:t>
      </w:r>
      <w:r w:rsidRPr="001358CE">
        <w:rPr>
          <w:rFonts w:ascii="Book Antiqua" w:hAnsi="Book Antiqua" w:cs="Arial"/>
          <w:lang w:val="en-US"/>
        </w:rPr>
        <w:t>, therefore, may consider the possibility of payments to all three major types of recipients: individual households, village communities/groups of households, and Forestry Companies and PAMBs</w:t>
      </w:r>
      <w:r w:rsidRPr="001358CE">
        <w:rPr>
          <w:rStyle w:val="FootnoteReference"/>
          <w:rFonts w:ascii="Book Antiqua" w:hAnsi="Book Antiqua" w:cs="Arial"/>
          <w:lang w:val="en-US"/>
        </w:rPr>
        <w:footnoteReference w:id="43"/>
      </w:r>
      <w:r w:rsidRPr="001358CE">
        <w:rPr>
          <w:rFonts w:ascii="Book Antiqua" w:hAnsi="Book Antiqua" w:cs="Arial"/>
          <w:lang w:val="en-US"/>
        </w:rPr>
        <w:t xml:space="preserve">.  The key question is not what kinds of recipients should be eligible for </w:t>
      </w:r>
      <w:r w:rsidR="00480D3D">
        <w:rPr>
          <w:rFonts w:ascii="Book Antiqua" w:hAnsi="Book Antiqua" w:cs="Arial"/>
          <w:lang w:val="en-US"/>
        </w:rPr>
        <w:t>REDD+</w:t>
      </w:r>
      <w:r w:rsidRPr="001358CE">
        <w:rPr>
          <w:rFonts w:ascii="Book Antiqua" w:hAnsi="Book Antiqua" w:cs="Arial"/>
          <w:lang w:val="en-US"/>
        </w:rPr>
        <w:t xml:space="preserve"> payments but through what modalities and under what conditions should payments be made available.</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Households and communities are important recipients for potential </w:t>
      </w:r>
      <w:r w:rsidR="00480D3D">
        <w:rPr>
          <w:rFonts w:ascii="Book Antiqua" w:hAnsi="Book Antiqua" w:cs="Arial"/>
          <w:lang w:val="en-US"/>
        </w:rPr>
        <w:t>REDD+</w:t>
      </w:r>
      <w:r w:rsidRPr="001358CE">
        <w:rPr>
          <w:rFonts w:ascii="Book Antiqua" w:hAnsi="Book Antiqua" w:cs="Arial"/>
          <w:lang w:val="en-US"/>
        </w:rPr>
        <w:t xml:space="preserve"> payments due to the current distribution of forestland in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 (</w:t>
      </w:r>
      <w:r w:rsidRPr="00A37267">
        <w:rPr>
          <w:rFonts w:ascii="Book Antiqua" w:hAnsi="Book Antiqua" w:cs="Arial"/>
          <w:lang w:val="en-US"/>
        </w:rPr>
        <w:t xml:space="preserve">see Section </w:t>
      </w:r>
      <w:r w:rsidR="00A37267" w:rsidRPr="00A37267">
        <w:rPr>
          <w:rFonts w:ascii="Book Antiqua" w:hAnsi="Book Antiqua" w:cs="Arial"/>
          <w:lang w:val="en-US"/>
        </w:rPr>
        <w:t>4</w:t>
      </w:r>
      <w:r w:rsidRPr="00A37267">
        <w:rPr>
          <w:rFonts w:ascii="Book Antiqua" w:hAnsi="Book Antiqua" w:cs="Arial"/>
          <w:lang w:val="en-US"/>
        </w:rPr>
        <w:t>.1</w:t>
      </w:r>
      <w:r w:rsidRPr="001358CE">
        <w:rPr>
          <w:rFonts w:ascii="Book Antiqua" w:hAnsi="Book Antiqua" w:cs="Arial"/>
          <w:lang w:val="en-US"/>
        </w:rPr>
        <w:t xml:space="preserve">).  They hold on to large areas of degraded forestland with a high potential for rapid increases in carbon stocks.  The distribution of </w:t>
      </w:r>
      <w:r w:rsidR="00480D3D">
        <w:rPr>
          <w:rFonts w:ascii="Book Antiqua" w:hAnsi="Book Antiqua" w:cs="Arial"/>
          <w:lang w:val="en-US"/>
        </w:rPr>
        <w:t>REDD+</w:t>
      </w:r>
      <w:r w:rsidRPr="001358CE">
        <w:rPr>
          <w:rFonts w:ascii="Book Antiqua" w:hAnsi="Book Antiqua" w:cs="Arial"/>
          <w:lang w:val="en-US"/>
        </w:rPr>
        <w:t xml:space="preserve"> benefits to individual households could draw on abundant experience and ready implementation procedures from the past.  Nonetheless, the lessons learned from the 661 </w:t>
      </w:r>
      <w:r w:rsidR="00480D3D">
        <w:rPr>
          <w:rFonts w:ascii="Book Antiqua" w:hAnsi="Book Antiqua" w:cs="Arial"/>
          <w:lang w:val="en-US"/>
        </w:rPr>
        <w:t>Programme</w:t>
      </w:r>
      <w:r w:rsidRPr="001358CE">
        <w:rPr>
          <w:rFonts w:ascii="Book Antiqua" w:hAnsi="Book Antiqua" w:cs="Arial"/>
          <w:lang w:val="en-US"/>
        </w:rPr>
        <w:t xml:space="preserve"> and the large reforestation projects caution against the use of centralized approaches and point to the high transaction costs incurred by individualized payments.  In addition, they demonstrate the need to take special precautions against elite capture.</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Distribution of </w:t>
      </w:r>
      <w:r w:rsidR="00480D3D">
        <w:rPr>
          <w:rFonts w:ascii="Book Antiqua" w:hAnsi="Book Antiqua" w:cs="Arial"/>
          <w:lang w:val="en-US"/>
        </w:rPr>
        <w:t>REDD+</w:t>
      </w:r>
      <w:r w:rsidRPr="001358CE">
        <w:rPr>
          <w:rFonts w:ascii="Book Antiqua" w:hAnsi="Book Antiqua" w:cs="Arial"/>
          <w:lang w:val="en-US"/>
        </w:rPr>
        <w:t xml:space="preserve"> benefits to village communities would require the creation of an enabling policy framework and suitable implementation regulations.  Despite significant advances made in recent years, distributive procedures involving communities are not an option ready for nationwide implementation.  The community component of the KfW-6 project and the Community Forestry Pilot </w:t>
      </w:r>
      <w:r w:rsidR="00480D3D">
        <w:rPr>
          <w:rFonts w:ascii="Book Antiqua" w:hAnsi="Book Antiqua" w:cs="Arial"/>
          <w:lang w:val="en-US"/>
        </w:rPr>
        <w:t>Programme</w:t>
      </w:r>
      <w:r w:rsidRPr="001358CE">
        <w:rPr>
          <w:rFonts w:ascii="Book Antiqua" w:hAnsi="Book Antiqua" w:cs="Arial"/>
          <w:lang w:val="en-US"/>
        </w:rPr>
        <w:t xml:space="preserve"> may have produced the required operational procedures for benefit-sharing and payments to communities, but they require corresponding action at the policy and regulatory level.  The commune investment funds established under the FLITCH project and other projects outside the forestry sector do not serve as suitable examples.</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’s current distribution of forestland tenure does not </w:t>
      </w:r>
      <w:r w:rsidR="005C65BC">
        <w:rPr>
          <w:rFonts w:ascii="Book Antiqua" w:hAnsi="Book Antiqua" w:cs="Arial"/>
          <w:lang w:val="en-US"/>
        </w:rPr>
        <w:t xml:space="preserve">currently </w:t>
      </w:r>
      <w:r w:rsidRPr="001358CE">
        <w:rPr>
          <w:rFonts w:ascii="Book Antiqua" w:hAnsi="Book Antiqua" w:cs="Arial"/>
          <w:lang w:val="en-US"/>
        </w:rPr>
        <w:t xml:space="preserve">provide the required basis for an effective, efficient and equitable distribution of </w:t>
      </w:r>
      <w:r w:rsidR="001B6D90">
        <w:rPr>
          <w:rFonts w:ascii="Book Antiqua" w:hAnsi="Book Antiqua" w:cs="Arial"/>
          <w:lang w:val="en-US"/>
        </w:rPr>
        <w:t>REDD+</w:t>
      </w:r>
      <w:r w:rsidRPr="001358CE">
        <w:rPr>
          <w:rFonts w:ascii="Book Antiqua" w:hAnsi="Book Antiqua" w:cs="Arial"/>
          <w:lang w:val="en-US"/>
        </w:rPr>
        <w:t xml:space="preserve"> benefits.  </w:t>
      </w:r>
      <w:r w:rsidR="001B6D90">
        <w:rPr>
          <w:rFonts w:ascii="Book Antiqua" w:hAnsi="Book Antiqua" w:cs="Arial"/>
          <w:lang w:val="en-US"/>
        </w:rPr>
        <w:t>REDD+</w:t>
      </w:r>
      <w:r w:rsidRPr="001358CE">
        <w:rPr>
          <w:rFonts w:ascii="Book Antiqua" w:hAnsi="Book Antiqua" w:cs="Arial"/>
          <w:lang w:val="en-US"/>
        </w:rPr>
        <w:t xml:space="preserve"> requires the GoV to continue forestland allocation, beginning with the 2.5 million hectares allocated to commune PC</w:t>
      </w:r>
      <w:r w:rsidR="005C65BC">
        <w:rPr>
          <w:rFonts w:ascii="Book Antiqua" w:hAnsi="Book Antiqua" w:cs="Arial"/>
          <w:lang w:val="en-US"/>
        </w:rPr>
        <w:t>s</w:t>
      </w:r>
      <w:r w:rsidRPr="001358CE">
        <w:rPr>
          <w:rFonts w:ascii="Book Antiqua" w:hAnsi="Book Antiqua" w:cs="Arial"/>
          <w:lang w:val="en-US"/>
        </w:rPr>
        <w:t xml:space="preserve"> on a temporary basis.  Moreover,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 will need to find ways to resolve disputes over forestland.  The distribution of </w:t>
      </w:r>
      <w:r w:rsidR="001B6D90">
        <w:rPr>
          <w:rFonts w:ascii="Book Antiqua" w:hAnsi="Book Antiqua" w:cs="Arial"/>
          <w:lang w:val="en-US"/>
        </w:rPr>
        <w:t>REDD+</w:t>
      </w:r>
      <w:r w:rsidRPr="001358CE">
        <w:rPr>
          <w:rFonts w:ascii="Book Antiqua" w:hAnsi="Book Antiqua" w:cs="Arial"/>
          <w:lang w:val="en-US"/>
        </w:rPr>
        <w:t xml:space="preserve"> benefits will only facilitate forest conservation if forestland has an owner that is clearly identified and considered legitimate by other stakeholders.</w:t>
      </w:r>
    </w:p>
    <w:p w:rsidR="00351F2C" w:rsidRPr="00445F77" w:rsidRDefault="00351F2C" w:rsidP="0020363F">
      <w:pPr>
        <w:spacing w:after="0" w:line="300" w:lineRule="atLeast"/>
        <w:rPr>
          <w:rFonts w:ascii="Arial" w:hAnsi="Arial" w:cs="Arial"/>
          <w:sz w:val="24"/>
          <w:szCs w:val="24"/>
          <w:lang w:val="en-US"/>
        </w:rPr>
      </w:pPr>
    </w:p>
    <w:p w:rsidR="00351F2C" w:rsidRPr="00445F77" w:rsidRDefault="00351F2C" w:rsidP="00284D0F">
      <w:pPr>
        <w:pStyle w:val="Heading2"/>
        <w:rPr>
          <w:rFonts w:ascii="Arial" w:hAnsi="Arial" w:cs="Arial"/>
          <w:sz w:val="24"/>
          <w:szCs w:val="24"/>
          <w:lang w:val="en-US"/>
        </w:rPr>
      </w:pPr>
      <w:bookmarkStart w:id="425" w:name="_Toc244586208"/>
      <w:bookmarkStart w:id="426" w:name="_Toc252354744"/>
      <w:r w:rsidRPr="00445F77">
        <w:rPr>
          <w:rFonts w:ascii="Arial" w:hAnsi="Arial" w:cs="Arial"/>
          <w:sz w:val="24"/>
          <w:szCs w:val="24"/>
          <w:lang w:val="en-US"/>
        </w:rPr>
        <w:lastRenderedPageBreak/>
        <w:t>6.2 Experiences with payments for ecosystem services: international best practice</w:t>
      </w:r>
      <w:bookmarkEnd w:id="425"/>
      <w:bookmarkEnd w:id="426"/>
    </w:p>
    <w:p w:rsidR="00351F2C" w:rsidRPr="001358CE" w:rsidRDefault="00351F2C" w:rsidP="0020363F">
      <w:pPr>
        <w:spacing w:after="0" w:line="300" w:lineRule="atLeast"/>
        <w:rPr>
          <w:rFonts w:ascii="Book Antiqua" w:hAnsi="Book Antiqua" w:cs="Arial"/>
          <w:lang w:val="en-US"/>
        </w:rPr>
      </w:pPr>
      <w:r w:rsidRPr="001358CE">
        <w:rPr>
          <w:rFonts w:ascii="Book Antiqua" w:hAnsi="Book Antiqua" w:cs="Arial"/>
          <w:lang w:val="en-US"/>
        </w:rPr>
        <w:t xml:space="preserve">Similar to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international finance mechanisms at the sub-national level also target individual households, communities/groups or private companies/public bodies (see Table 6.1).</w:t>
      </w:r>
    </w:p>
    <w:p w:rsidR="00351F2C" w:rsidRPr="00445F77" w:rsidRDefault="00351F2C" w:rsidP="0020363F">
      <w:pPr>
        <w:spacing w:after="0" w:line="300" w:lineRule="atLeast"/>
        <w:rPr>
          <w:rFonts w:ascii="Arial" w:hAnsi="Arial" w:cs="Arial"/>
          <w:sz w:val="24"/>
          <w:szCs w:val="24"/>
          <w:lang w:val="en-US"/>
        </w:rPr>
      </w:pPr>
    </w:p>
    <w:p w:rsidR="00351F2C" w:rsidRPr="001358CE" w:rsidRDefault="00351F2C" w:rsidP="0020363F">
      <w:pPr>
        <w:spacing w:after="0"/>
        <w:jc w:val="center"/>
        <w:rPr>
          <w:rFonts w:ascii="Book Antiqua" w:hAnsi="Book Antiqua" w:cs="Arial"/>
          <w:b/>
          <w:lang w:val="en-US"/>
        </w:rPr>
      </w:pPr>
      <w:r w:rsidRPr="001358CE">
        <w:rPr>
          <w:rFonts w:ascii="Book Antiqua" w:hAnsi="Book Antiqua" w:cs="Arial"/>
          <w:b/>
          <w:lang w:val="en-US"/>
        </w:rPr>
        <w:t xml:space="preserve">Table 6.1: Payment recipients in </w:t>
      </w:r>
      <w:smartTag w:uri="urn:schemas-microsoft-com:office:smarttags" w:element="country-region">
        <w:smartTag w:uri="urn:schemas-microsoft-com:office:smarttags" w:element="place">
          <w:r w:rsidRPr="001358CE">
            <w:rPr>
              <w:rFonts w:ascii="Book Antiqua" w:hAnsi="Book Antiqua" w:cs="Arial"/>
              <w:b/>
              <w:lang w:val="en-US"/>
            </w:rPr>
            <w:t>Viet Nam</w:t>
          </w:r>
        </w:smartTag>
      </w:smartTag>
      <w:r w:rsidRPr="001358CE">
        <w:rPr>
          <w:rFonts w:ascii="Book Antiqua" w:hAnsi="Book Antiqua" w:cs="Arial"/>
          <w:b/>
          <w:lang w:val="en-US"/>
        </w:rPr>
        <w:t xml:space="preserve"> and other countries</w:t>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ook w:val="01E0"/>
      </w:tblPr>
      <w:tblGrid>
        <w:gridCol w:w="2098"/>
        <w:gridCol w:w="3410"/>
        <w:gridCol w:w="3496"/>
      </w:tblGrid>
      <w:tr w:rsidR="00351F2C" w:rsidRPr="001358CE">
        <w:tc>
          <w:tcPr>
            <w:tcW w:w="2098" w:type="dxa"/>
            <w:tcBorders>
              <w:bottom w:val="single" w:sz="18" w:space="0" w:color="FFFFFF"/>
            </w:tcBorders>
            <w:shd w:val="clear" w:color="auto" w:fill="95B3D7"/>
          </w:tcPr>
          <w:p w:rsidR="00351F2C" w:rsidRPr="001358CE" w:rsidRDefault="00351F2C" w:rsidP="00034B8C">
            <w:pPr>
              <w:spacing w:before="40" w:after="0"/>
              <w:jc w:val="center"/>
              <w:rPr>
                <w:rFonts w:ascii="Book Antiqua" w:hAnsi="Book Antiqua" w:cs="Arial"/>
                <w:b/>
                <w:bCs/>
                <w:lang w:val="en-US"/>
              </w:rPr>
            </w:pPr>
            <w:r w:rsidRPr="001358CE">
              <w:rPr>
                <w:rFonts w:ascii="Book Antiqua" w:hAnsi="Book Antiqua" w:cs="Arial"/>
                <w:b/>
                <w:bCs/>
                <w:lang w:val="en-US"/>
              </w:rPr>
              <w:t>Recipient</w:t>
            </w:r>
          </w:p>
        </w:tc>
        <w:tc>
          <w:tcPr>
            <w:tcW w:w="3410" w:type="dxa"/>
            <w:shd w:val="clear" w:color="auto" w:fill="95B3D7"/>
          </w:tcPr>
          <w:p w:rsidR="00351F2C" w:rsidRPr="001358CE" w:rsidRDefault="00351F2C" w:rsidP="00034B8C">
            <w:pPr>
              <w:spacing w:before="40" w:after="0"/>
              <w:jc w:val="center"/>
              <w:rPr>
                <w:rFonts w:ascii="Book Antiqua" w:hAnsi="Book Antiqua" w:cs="Arial"/>
                <w:b/>
                <w:bCs/>
                <w:lang w:val="en-US"/>
              </w:rPr>
            </w:pPr>
            <w:smartTag w:uri="urn:schemas-microsoft-com:office:smarttags" w:element="country-region">
              <w:smartTag w:uri="urn:schemas-microsoft-com:office:smarttags" w:element="place">
                <w:r w:rsidRPr="001358CE">
                  <w:rPr>
                    <w:rFonts w:ascii="Book Antiqua" w:hAnsi="Book Antiqua" w:cs="Arial"/>
                    <w:b/>
                    <w:bCs/>
                    <w:lang w:val="en-US"/>
                  </w:rPr>
                  <w:t>Viet Nam</w:t>
                </w:r>
              </w:smartTag>
            </w:smartTag>
            <w:r w:rsidRPr="001358CE">
              <w:rPr>
                <w:rFonts w:ascii="Book Antiqua" w:hAnsi="Book Antiqua" w:cs="Arial"/>
                <w:b/>
                <w:bCs/>
                <w:lang w:val="en-US"/>
              </w:rPr>
              <w:t xml:space="preserve"> (examples)</w:t>
            </w:r>
          </w:p>
        </w:tc>
        <w:tc>
          <w:tcPr>
            <w:tcW w:w="3496" w:type="dxa"/>
            <w:shd w:val="clear" w:color="auto" w:fill="95B3D7"/>
          </w:tcPr>
          <w:p w:rsidR="00351F2C" w:rsidRPr="001358CE" w:rsidRDefault="00351F2C" w:rsidP="00034B8C">
            <w:pPr>
              <w:spacing w:before="40" w:after="0"/>
              <w:jc w:val="center"/>
              <w:rPr>
                <w:rFonts w:ascii="Book Antiqua" w:hAnsi="Book Antiqua" w:cs="Arial"/>
                <w:b/>
                <w:bCs/>
                <w:lang w:val="en-US"/>
              </w:rPr>
            </w:pPr>
            <w:r w:rsidRPr="001358CE">
              <w:rPr>
                <w:rFonts w:ascii="Book Antiqua" w:hAnsi="Book Antiqua" w:cs="Arial"/>
                <w:b/>
                <w:bCs/>
                <w:lang w:val="en-US"/>
              </w:rPr>
              <w:t>International (examples)</w:t>
            </w:r>
          </w:p>
        </w:tc>
      </w:tr>
      <w:tr w:rsidR="00351F2C" w:rsidRPr="001358CE">
        <w:tc>
          <w:tcPr>
            <w:tcW w:w="2098" w:type="dxa"/>
            <w:shd w:val="clear" w:color="auto" w:fill="95B3D7"/>
          </w:tcPr>
          <w:p w:rsidR="00351F2C" w:rsidRPr="001358CE" w:rsidRDefault="00351F2C" w:rsidP="004D47BB">
            <w:pPr>
              <w:spacing w:before="40"/>
              <w:rPr>
                <w:rFonts w:ascii="Book Antiqua" w:hAnsi="Book Antiqua" w:cs="Arial"/>
                <w:b/>
                <w:sz w:val="20"/>
                <w:szCs w:val="20"/>
                <w:lang w:val="en-US"/>
              </w:rPr>
            </w:pPr>
            <w:r w:rsidRPr="001358CE">
              <w:rPr>
                <w:rFonts w:ascii="Book Antiqua" w:hAnsi="Book Antiqua" w:cs="Arial"/>
                <w:b/>
                <w:sz w:val="20"/>
                <w:szCs w:val="20"/>
                <w:lang w:val="en-US"/>
              </w:rPr>
              <w:t>Individual households</w:t>
            </w:r>
          </w:p>
        </w:tc>
        <w:tc>
          <w:tcPr>
            <w:tcW w:w="3410" w:type="dxa"/>
            <w:shd w:val="clear" w:color="auto" w:fill="DBE5F1"/>
          </w:tcPr>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 xml:space="preserve">661 </w:t>
            </w:r>
            <w:r w:rsidR="00480D3D">
              <w:rPr>
                <w:rFonts w:ascii="Book Antiqua" w:hAnsi="Book Antiqua" w:cs="Arial"/>
                <w:sz w:val="20"/>
                <w:szCs w:val="20"/>
                <w:lang w:val="en-US"/>
              </w:rPr>
              <w:t>Programme</w:t>
            </w:r>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PES scheme in Son La</w:t>
            </w:r>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WB, KfW and ADB reforestation projects</w:t>
            </w:r>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CDM project in Hoa Binh</w:t>
            </w:r>
          </w:p>
        </w:tc>
        <w:tc>
          <w:tcPr>
            <w:tcW w:w="3496" w:type="dxa"/>
            <w:shd w:val="clear" w:color="auto" w:fill="DBE5F1"/>
          </w:tcPr>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s-ES_tradnl"/>
              </w:rPr>
            </w:pPr>
            <w:r w:rsidRPr="001358CE">
              <w:rPr>
                <w:rFonts w:ascii="Book Antiqua" w:hAnsi="Book Antiqua" w:cs="Arial"/>
                <w:sz w:val="20"/>
                <w:szCs w:val="20"/>
                <w:lang w:val="es-ES_tradnl"/>
              </w:rPr>
              <w:t>PES schemes in Costa Rica, Mexico, etc.</w:t>
            </w:r>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EU agri-environmental schemes</w:t>
            </w:r>
          </w:p>
        </w:tc>
      </w:tr>
      <w:tr w:rsidR="00351F2C" w:rsidRPr="001358CE">
        <w:tc>
          <w:tcPr>
            <w:tcW w:w="2098" w:type="dxa"/>
            <w:shd w:val="clear" w:color="auto" w:fill="95B3D7"/>
          </w:tcPr>
          <w:p w:rsidR="00351F2C" w:rsidRPr="001358CE" w:rsidRDefault="00351F2C" w:rsidP="004D47BB">
            <w:pPr>
              <w:spacing w:before="40"/>
              <w:rPr>
                <w:rFonts w:ascii="Book Antiqua" w:hAnsi="Book Antiqua" w:cs="Arial"/>
                <w:b/>
                <w:sz w:val="20"/>
                <w:szCs w:val="20"/>
                <w:lang w:val="en-US"/>
              </w:rPr>
            </w:pPr>
            <w:r w:rsidRPr="001358CE">
              <w:rPr>
                <w:rFonts w:ascii="Book Antiqua" w:hAnsi="Book Antiqua" w:cs="Arial"/>
                <w:b/>
                <w:sz w:val="20"/>
                <w:szCs w:val="20"/>
                <w:lang w:val="en-US"/>
              </w:rPr>
              <w:t>Local communities/groups</w:t>
            </w:r>
          </w:p>
        </w:tc>
        <w:tc>
          <w:tcPr>
            <w:tcW w:w="3410" w:type="dxa"/>
            <w:shd w:val="clear" w:color="auto" w:fill="DBE5F1"/>
          </w:tcPr>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PES schemes in Lam Dong and Son La</w:t>
            </w:r>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community forestry component of KfW-6 project</w:t>
            </w:r>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 xml:space="preserve">Community Forestry Pilot </w:t>
            </w:r>
            <w:r w:rsidR="00480D3D">
              <w:rPr>
                <w:rFonts w:ascii="Book Antiqua" w:hAnsi="Book Antiqua" w:cs="Arial"/>
                <w:sz w:val="20"/>
                <w:szCs w:val="20"/>
                <w:lang w:val="en-US"/>
              </w:rPr>
              <w:t>Programme</w:t>
            </w:r>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GTZ projects in Son La, Dak Lak, and Dak Nong</w:t>
            </w:r>
          </w:p>
        </w:tc>
        <w:tc>
          <w:tcPr>
            <w:tcW w:w="3496" w:type="dxa"/>
            <w:shd w:val="clear" w:color="auto" w:fill="DBE5F1"/>
          </w:tcPr>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smartTag w:uri="urn:schemas-microsoft-com:office:smarttags" w:element="place">
              <w:smartTag w:uri="urn:schemas-microsoft-com:office:smarttags" w:element="City">
                <w:r w:rsidRPr="001358CE">
                  <w:rPr>
                    <w:rFonts w:ascii="Book Antiqua" w:hAnsi="Book Antiqua" w:cs="Arial"/>
                    <w:sz w:val="20"/>
                    <w:szCs w:val="20"/>
                    <w:lang w:val="en-US"/>
                  </w:rPr>
                  <w:t>Bolsa Floresta</w:t>
                </w:r>
              </w:smartTag>
              <w:r w:rsidRPr="001358CE">
                <w:rPr>
                  <w:rFonts w:ascii="Book Antiqua" w:hAnsi="Book Antiqua" w:cs="Arial"/>
                  <w:sz w:val="20"/>
                  <w:szCs w:val="20"/>
                  <w:lang w:val="en-US"/>
                </w:rPr>
                <w:t xml:space="preserve">, </w:t>
              </w:r>
              <w:smartTag w:uri="urn:schemas-microsoft-com:office:smarttags" w:element="country-region">
                <w:r w:rsidRPr="001358CE">
                  <w:rPr>
                    <w:rFonts w:ascii="Book Antiqua" w:hAnsi="Book Antiqua" w:cs="Arial"/>
                    <w:sz w:val="20"/>
                    <w:szCs w:val="20"/>
                    <w:lang w:val="en-US"/>
                  </w:rPr>
                  <w:t>Brazil</w:t>
                </w:r>
              </w:smartTag>
            </w:smartTag>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 xml:space="preserve">PROFAFOR, </w:t>
            </w:r>
            <w:smartTag w:uri="urn:schemas-microsoft-com:office:smarttags" w:element="country-region">
              <w:smartTag w:uri="urn:schemas-microsoft-com:office:smarttags" w:element="place">
                <w:r w:rsidRPr="001358CE">
                  <w:rPr>
                    <w:rFonts w:ascii="Book Antiqua" w:hAnsi="Book Antiqua" w:cs="Arial"/>
                    <w:sz w:val="20"/>
                    <w:szCs w:val="20"/>
                    <w:lang w:val="en-US"/>
                  </w:rPr>
                  <w:t>Ecuador</w:t>
                </w:r>
              </w:smartTag>
            </w:smartTag>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 xml:space="preserve">CABSA, </w:t>
            </w:r>
            <w:smartTag w:uri="urn:schemas-microsoft-com:office:smarttags" w:element="country-region">
              <w:smartTag w:uri="urn:schemas-microsoft-com:office:smarttags" w:element="place">
                <w:r w:rsidRPr="001358CE">
                  <w:rPr>
                    <w:rFonts w:ascii="Book Antiqua" w:hAnsi="Book Antiqua" w:cs="Arial"/>
                    <w:sz w:val="20"/>
                    <w:szCs w:val="20"/>
                    <w:lang w:val="en-US"/>
                  </w:rPr>
                  <w:t>Mexico</w:t>
                </w:r>
              </w:smartTag>
            </w:smartTag>
          </w:p>
        </w:tc>
      </w:tr>
      <w:tr w:rsidR="00351F2C" w:rsidRPr="001358CE">
        <w:tc>
          <w:tcPr>
            <w:tcW w:w="2098" w:type="dxa"/>
            <w:shd w:val="clear" w:color="auto" w:fill="95B3D7"/>
          </w:tcPr>
          <w:p w:rsidR="00351F2C" w:rsidRPr="001358CE" w:rsidRDefault="00351F2C" w:rsidP="004D47BB">
            <w:pPr>
              <w:spacing w:before="40"/>
              <w:rPr>
                <w:rFonts w:ascii="Book Antiqua" w:hAnsi="Book Antiqua" w:cs="Arial"/>
                <w:b/>
                <w:sz w:val="20"/>
                <w:szCs w:val="20"/>
                <w:lang w:val="en-US"/>
              </w:rPr>
            </w:pPr>
            <w:r w:rsidRPr="001358CE">
              <w:rPr>
                <w:rFonts w:ascii="Book Antiqua" w:hAnsi="Book Antiqua" w:cs="Arial"/>
                <w:b/>
                <w:sz w:val="20"/>
                <w:szCs w:val="20"/>
                <w:lang w:val="en-US"/>
              </w:rPr>
              <w:t>Private companies and public bodies</w:t>
            </w:r>
          </w:p>
        </w:tc>
        <w:tc>
          <w:tcPr>
            <w:tcW w:w="3410" w:type="dxa"/>
            <w:shd w:val="clear" w:color="auto" w:fill="DBE5F1"/>
          </w:tcPr>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PES scheme in Son La</w:t>
            </w:r>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 xml:space="preserve">661 </w:t>
            </w:r>
            <w:r w:rsidR="00480D3D">
              <w:rPr>
                <w:rFonts w:ascii="Book Antiqua" w:hAnsi="Book Antiqua" w:cs="Arial"/>
                <w:sz w:val="20"/>
                <w:szCs w:val="20"/>
                <w:lang w:val="en-US"/>
              </w:rPr>
              <w:t>Programme</w:t>
            </w:r>
          </w:p>
        </w:tc>
        <w:tc>
          <w:tcPr>
            <w:tcW w:w="3496" w:type="dxa"/>
            <w:shd w:val="clear" w:color="auto" w:fill="DBE5F1"/>
          </w:tcPr>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 xml:space="preserve">Noel </w:t>
            </w:r>
            <w:smartTag w:uri="urn:schemas-microsoft-com:office:smarttags" w:element="place">
              <w:smartTag w:uri="urn:schemas-microsoft-com:office:smarttags" w:element="City">
                <w:r w:rsidRPr="001358CE">
                  <w:rPr>
                    <w:rFonts w:ascii="Book Antiqua" w:hAnsi="Book Antiqua" w:cs="Arial"/>
                    <w:sz w:val="20"/>
                    <w:szCs w:val="20"/>
                    <w:lang w:val="en-US"/>
                  </w:rPr>
                  <w:t>Kempff</w:t>
                </w:r>
              </w:smartTag>
              <w:r w:rsidRPr="001358CE">
                <w:rPr>
                  <w:rFonts w:ascii="Book Antiqua" w:hAnsi="Book Antiqua" w:cs="Arial"/>
                  <w:sz w:val="20"/>
                  <w:szCs w:val="20"/>
                  <w:lang w:val="en-US"/>
                </w:rPr>
                <w:t xml:space="preserve">, </w:t>
              </w:r>
              <w:smartTag w:uri="urn:schemas-microsoft-com:office:smarttags" w:element="country-region">
                <w:r w:rsidRPr="001358CE">
                  <w:rPr>
                    <w:rFonts w:ascii="Book Antiqua" w:hAnsi="Book Antiqua" w:cs="Arial"/>
                    <w:sz w:val="20"/>
                    <w:szCs w:val="20"/>
                    <w:lang w:val="en-US"/>
                  </w:rPr>
                  <w:t>Bolivia</w:t>
                </w:r>
              </w:smartTag>
            </w:smartTag>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 xml:space="preserve">Ulu Masen project, </w:t>
            </w:r>
            <w:smartTag w:uri="urn:schemas-microsoft-com:office:smarttags" w:element="country-region">
              <w:smartTag w:uri="urn:schemas-microsoft-com:office:smarttags" w:element="place">
                <w:r w:rsidRPr="001358CE">
                  <w:rPr>
                    <w:rFonts w:ascii="Book Antiqua" w:hAnsi="Book Antiqua" w:cs="Arial"/>
                    <w:sz w:val="20"/>
                    <w:szCs w:val="20"/>
                    <w:lang w:val="en-US"/>
                  </w:rPr>
                  <w:t>Indonesia</w:t>
                </w:r>
              </w:smartTag>
            </w:smartTag>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 xml:space="preserve">Plantar Carbon </w:t>
            </w:r>
            <w:smartTag w:uri="urn:schemas-microsoft-com:office:smarttags" w:element="place">
              <w:smartTag w:uri="urn:schemas-microsoft-com:office:smarttags" w:element="City">
                <w:r w:rsidRPr="001358CE">
                  <w:rPr>
                    <w:rFonts w:ascii="Book Antiqua" w:hAnsi="Book Antiqua" w:cs="Arial"/>
                    <w:sz w:val="20"/>
                    <w:szCs w:val="20"/>
                    <w:lang w:val="en-US"/>
                  </w:rPr>
                  <w:t>Project</w:t>
                </w:r>
              </w:smartTag>
              <w:r w:rsidRPr="001358CE">
                <w:rPr>
                  <w:rFonts w:ascii="Book Antiqua" w:hAnsi="Book Antiqua" w:cs="Arial"/>
                  <w:sz w:val="20"/>
                  <w:szCs w:val="20"/>
                  <w:lang w:val="en-US"/>
                </w:rPr>
                <w:t xml:space="preserve">, </w:t>
              </w:r>
              <w:smartTag w:uri="urn:schemas-microsoft-com:office:smarttags" w:element="country-region">
                <w:r w:rsidRPr="001358CE">
                  <w:rPr>
                    <w:rFonts w:ascii="Book Antiqua" w:hAnsi="Book Antiqua" w:cs="Arial"/>
                    <w:sz w:val="20"/>
                    <w:szCs w:val="20"/>
                    <w:lang w:val="en-US"/>
                  </w:rPr>
                  <w:t>Brazil</w:t>
                </w:r>
              </w:smartTag>
            </w:smartTag>
          </w:p>
          <w:p w:rsidR="00351F2C" w:rsidRPr="001358CE" w:rsidRDefault="00351F2C" w:rsidP="003E3CBA">
            <w:pPr>
              <w:numPr>
                <w:ilvl w:val="0"/>
                <w:numId w:val="24"/>
              </w:numPr>
              <w:tabs>
                <w:tab w:val="clear" w:pos="720"/>
                <w:tab w:val="num" w:pos="145"/>
              </w:tabs>
              <w:spacing w:before="40" w:after="0" w:line="240" w:lineRule="auto"/>
              <w:ind w:left="145" w:hanging="215"/>
              <w:rPr>
                <w:rFonts w:ascii="Book Antiqua" w:hAnsi="Book Antiqua" w:cs="Arial"/>
                <w:sz w:val="20"/>
                <w:szCs w:val="20"/>
                <w:lang w:val="en-US"/>
              </w:rPr>
            </w:pPr>
            <w:r w:rsidRPr="001358CE">
              <w:rPr>
                <w:rFonts w:ascii="Book Antiqua" w:hAnsi="Book Antiqua" w:cs="Arial"/>
                <w:sz w:val="20"/>
                <w:szCs w:val="20"/>
                <w:lang w:val="en-US"/>
              </w:rPr>
              <w:t xml:space="preserve">CDM reforestation project in </w:t>
            </w:r>
            <w:smartTag w:uri="urn:schemas-microsoft-com:office:smarttags" w:element="country-region">
              <w:smartTag w:uri="urn:schemas-microsoft-com:office:smarttags" w:element="place">
                <w:r w:rsidRPr="001358CE">
                  <w:rPr>
                    <w:rFonts w:ascii="Book Antiqua" w:hAnsi="Book Antiqua" w:cs="Arial"/>
                    <w:sz w:val="20"/>
                    <w:szCs w:val="20"/>
                    <w:lang w:val="en-US"/>
                  </w:rPr>
                  <w:t>China</w:t>
                </w:r>
              </w:smartTag>
            </w:smartTag>
          </w:p>
        </w:tc>
      </w:tr>
    </w:tbl>
    <w:p w:rsidR="00A37267" w:rsidRDefault="00A37267" w:rsidP="00A37267">
      <w:pPr>
        <w:pStyle w:val="Heading3"/>
        <w:spacing w:before="0" w:after="0"/>
        <w:rPr>
          <w:rFonts w:ascii="Arial" w:hAnsi="Arial" w:cs="Arial"/>
          <w:bCs w:val="0"/>
          <w:lang w:val="en-US"/>
        </w:rPr>
      </w:pPr>
      <w:bookmarkStart w:id="427" w:name="_Toc244586209"/>
      <w:bookmarkStart w:id="428" w:name="_Toc249079570"/>
    </w:p>
    <w:p w:rsidR="00351F2C" w:rsidRPr="00445F77" w:rsidRDefault="00351F2C" w:rsidP="00A37267">
      <w:pPr>
        <w:pStyle w:val="Heading3"/>
        <w:spacing w:before="0" w:after="0"/>
        <w:rPr>
          <w:rFonts w:ascii="Arial" w:hAnsi="Arial" w:cs="Arial"/>
          <w:bCs w:val="0"/>
          <w:lang w:val="en-US"/>
        </w:rPr>
      </w:pPr>
      <w:r w:rsidRPr="00445F77">
        <w:rPr>
          <w:rFonts w:ascii="Arial" w:hAnsi="Arial" w:cs="Arial"/>
          <w:bCs w:val="0"/>
          <w:lang w:val="en-US"/>
        </w:rPr>
        <w:t>Payments to households</w:t>
      </w:r>
      <w:bookmarkEnd w:id="427"/>
      <w:bookmarkEnd w:id="428"/>
    </w:p>
    <w:p w:rsidR="00351F2C" w:rsidRPr="001358CE" w:rsidRDefault="00351F2C" w:rsidP="00A37267">
      <w:pPr>
        <w:spacing w:after="0" w:line="300" w:lineRule="atLeast"/>
        <w:jc w:val="both"/>
        <w:rPr>
          <w:rFonts w:ascii="Book Antiqua" w:hAnsi="Book Antiqua" w:cs="Arial"/>
          <w:lang w:val="en-US"/>
        </w:rPr>
      </w:pPr>
      <w:r w:rsidRPr="001358CE">
        <w:rPr>
          <w:rFonts w:ascii="Book Antiqua" w:hAnsi="Book Antiqua" w:cs="Arial"/>
          <w:lang w:val="en-US"/>
        </w:rPr>
        <w:t xml:space="preserve">The majority of international PES schemes make payments directly to individual households.  Households apply for payments and receive those directly from the entity in charge of payment distribution.  This type of PES scheme includes the national schemes in </w:t>
      </w:r>
      <w:smartTag w:uri="urn:schemas-microsoft-com:office:smarttags" w:element="country-region">
        <w:r w:rsidRPr="001358CE">
          <w:rPr>
            <w:rFonts w:ascii="Book Antiqua" w:hAnsi="Book Antiqua" w:cs="Arial"/>
            <w:lang w:val="en-US"/>
          </w:rPr>
          <w:t>Costa Rica</w:t>
        </w:r>
      </w:smartTag>
      <w:r w:rsidRPr="001358CE">
        <w:rPr>
          <w:rFonts w:ascii="Book Antiqua" w:hAnsi="Book Antiqua" w:cs="Arial"/>
          <w:lang w:val="en-US"/>
        </w:rPr>
        <w:t xml:space="preserve"> and </w:t>
      </w:r>
      <w:smartTag w:uri="urn:schemas-microsoft-com:office:smarttags" w:element="country-region">
        <w:smartTag w:uri="urn:schemas-microsoft-com:office:smarttags" w:element="place">
          <w:r w:rsidRPr="001358CE">
            <w:rPr>
              <w:rFonts w:ascii="Book Antiqua" w:hAnsi="Book Antiqua" w:cs="Arial"/>
              <w:lang w:val="en-US"/>
            </w:rPr>
            <w:t>Mexico</w:t>
          </w:r>
        </w:smartTag>
      </w:smartTag>
      <w:r w:rsidRPr="001358CE">
        <w:rPr>
          <w:rFonts w:ascii="Book Antiqua" w:hAnsi="Book Antiqua" w:cs="Arial"/>
          <w:lang w:val="en-US"/>
        </w:rPr>
        <w:t xml:space="preserve"> as well as the agri-environmental and commodity production-linked payments in the European Union.</w:t>
      </w:r>
    </w:p>
    <w:p w:rsidR="00351F2C" w:rsidRPr="001358CE" w:rsidRDefault="00351F2C" w:rsidP="00A37267">
      <w:pPr>
        <w:spacing w:after="0" w:line="300" w:lineRule="atLeast"/>
        <w:rPr>
          <w:rFonts w:ascii="Book Antiqua" w:hAnsi="Book Antiqua" w:cs="Arial"/>
          <w:lang w:val="en-US"/>
        </w:rPr>
      </w:pPr>
    </w:p>
    <w:p w:rsidR="00351F2C" w:rsidRPr="001358CE" w:rsidRDefault="00351F2C" w:rsidP="00A37267">
      <w:pPr>
        <w:spacing w:after="0" w:line="300" w:lineRule="atLeast"/>
        <w:jc w:val="both"/>
        <w:rPr>
          <w:rFonts w:ascii="Book Antiqua" w:hAnsi="Book Antiqua" w:cs="Arial"/>
          <w:lang w:val="en-US"/>
        </w:rPr>
      </w:pPr>
      <w:smartTag w:uri="urn:schemas-microsoft-com:office:smarttags" w:element="country-region">
        <w:smartTag w:uri="urn:schemas-microsoft-com:office:smarttags" w:element="place">
          <w:r w:rsidRPr="001358CE">
            <w:rPr>
              <w:rFonts w:ascii="Book Antiqua" w:hAnsi="Book Antiqua" w:cs="Arial"/>
              <w:lang w:val="en-US"/>
            </w:rPr>
            <w:t>Mexico</w:t>
          </w:r>
        </w:smartTag>
      </w:smartTag>
      <w:r w:rsidRPr="001358CE">
        <w:rPr>
          <w:rFonts w:ascii="Book Antiqua" w:hAnsi="Book Antiqua" w:cs="Arial"/>
          <w:lang w:val="en-US"/>
        </w:rPr>
        <w:t xml:space="preserve">’s PEHS </w:t>
      </w:r>
      <w:r w:rsidR="00480D3D">
        <w:rPr>
          <w:rFonts w:ascii="Book Antiqua" w:hAnsi="Book Antiqua" w:cs="Arial"/>
          <w:lang w:val="en-US"/>
        </w:rPr>
        <w:t>programme</w:t>
      </w:r>
      <w:r w:rsidRPr="001358CE">
        <w:rPr>
          <w:rFonts w:ascii="Book Antiqua" w:hAnsi="Book Antiqua" w:cs="Arial"/>
          <w:lang w:val="en-US"/>
        </w:rPr>
        <w:t xml:space="preserve"> pays individual landowners for the protection of forests as a proxy for the provision of hydrological services.  There are two levels of payment: US$40/ha for cloud forests and US$30/ha for other forests.  The maximum area private landowners can claim under the </w:t>
      </w:r>
      <w:r w:rsidR="00480D3D">
        <w:rPr>
          <w:rFonts w:ascii="Book Antiqua" w:hAnsi="Book Antiqua" w:cs="Arial"/>
          <w:lang w:val="en-US"/>
        </w:rPr>
        <w:t>programme</w:t>
      </w:r>
      <w:r w:rsidRPr="001358CE">
        <w:rPr>
          <w:rFonts w:ascii="Book Antiqua" w:hAnsi="Book Antiqua" w:cs="Arial"/>
          <w:lang w:val="en-US"/>
        </w:rPr>
        <w:t xml:space="preserve"> is 200 ha.  </w:t>
      </w:r>
      <w:r w:rsidR="00480D3D">
        <w:rPr>
          <w:rFonts w:ascii="Book Antiqua" w:hAnsi="Book Antiqua" w:cs="Arial"/>
          <w:lang w:val="en-US"/>
        </w:rPr>
        <w:t>Programme</w:t>
      </w:r>
      <w:r w:rsidRPr="001358CE">
        <w:rPr>
          <w:rFonts w:ascii="Book Antiqua" w:hAnsi="Book Antiqua" w:cs="Arial"/>
          <w:lang w:val="en-US"/>
        </w:rPr>
        <w:t xml:space="preserve"> payments have covered 600,000 ha from 2003 to 2006, which is significantly below the number of applications received.  The </w:t>
      </w:r>
      <w:r w:rsidR="00480D3D">
        <w:rPr>
          <w:rFonts w:ascii="Book Antiqua" w:hAnsi="Book Antiqua" w:cs="Arial"/>
          <w:lang w:val="en-US"/>
        </w:rPr>
        <w:t>programme</w:t>
      </w:r>
      <w:r w:rsidRPr="001358CE">
        <w:rPr>
          <w:rFonts w:ascii="Book Antiqua" w:hAnsi="Book Antiqua" w:cs="Arial"/>
          <w:lang w:val="en-US"/>
        </w:rPr>
        <w:t xml:space="preserve"> uses satellite imagery to monitor forest cover once a year (Karousakis 2007).</w:t>
      </w:r>
    </w:p>
    <w:p w:rsidR="00351F2C" w:rsidRPr="001358CE" w:rsidRDefault="00351F2C" w:rsidP="00A37267">
      <w:pPr>
        <w:spacing w:after="0" w:line="300" w:lineRule="atLeast"/>
        <w:rPr>
          <w:rFonts w:ascii="Book Antiqua" w:hAnsi="Book Antiqua" w:cs="Arial"/>
          <w:lang w:val="en-US"/>
        </w:rPr>
      </w:pPr>
    </w:p>
    <w:p w:rsidR="00351F2C" w:rsidRPr="001358CE" w:rsidRDefault="00351F2C" w:rsidP="00A37267">
      <w:pPr>
        <w:spacing w:after="0" w:line="300" w:lineRule="atLeast"/>
        <w:jc w:val="both"/>
        <w:rPr>
          <w:rFonts w:ascii="Book Antiqua" w:hAnsi="Book Antiqua" w:cs="Arial"/>
          <w:lang w:val="en-US"/>
        </w:rPr>
      </w:pPr>
      <w:r w:rsidRPr="001358CE">
        <w:rPr>
          <w:rFonts w:ascii="Book Antiqua" w:hAnsi="Book Antiqua" w:cs="Arial"/>
          <w:lang w:val="en-US"/>
        </w:rPr>
        <w:t xml:space="preserve">Under </w:t>
      </w:r>
      <w:smartTag w:uri="urn:schemas-microsoft-com:office:smarttags" w:element="country-region">
        <w:smartTag w:uri="urn:schemas-microsoft-com:office:smarttags" w:element="place">
          <w:r w:rsidRPr="001358CE">
            <w:rPr>
              <w:rFonts w:ascii="Book Antiqua" w:hAnsi="Book Antiqua" w:cs="Arial"/>
              <w:lang w:val="en-US"/>
            </w:rPr>
            <w:t>Costa Rica</w:t>
          </w:r>
        </w:smartTag>
      </w:smartTag>
      <w:r w:rsidRPr="001358CE">
        <w:rPr>
          <w:rFonts w:ascii="Book Antiqua" w:hAnsi="Book Antiqua" w:cs="Arial"/>
          <w:lang w:val="en-US"/>
        </w:rPr>
        <w:t xml:space="preserve">’s PES </w:t>
      </w:r>
      <w:r w:rsidR="00480D3D">
        <w:rPr>
          <w:rFonts w:ascii="Book Antiqua" w:hAnsi="Book Antiqua" w:cs="Arial"/>
          <w:lang w:val="en-US"/>
        </w:rPr>
        <w:t>programme</w:t>
      </w:r>
      <w:r w:rsidRPr="001358CE">
        <w:rPr>
          <w:rFonts w:ascii="Book Antiqua" w:hAnsi="Book Antiqua" w:cs="Arial"/>
          <w:lang w:val="en-US"/>
        </w:rPr>
        <w:t xml:space="preserve">, regional NGOs initially undertook the tasks of contracting with farmers.  FONAFIFO took over this role itself in 2003 through its eight regional offices.  FONAFIFO handles applications, signs contracts, and monitors implementation.  Land users receive flat rate payments for limiting their activities to specific land uses, including forest protection (US$210/ha over 5 years) and, until 2003, sustainable forest management (US$327/ha over 5 years).  Private forest landowners are </w:t>
      </w:r>
      <w:r w:rsidRPr="001358CE">
        <w:rPr>
          <w:rFonts w:ascii="Book Antiqua" w:hAnsi="Book Antiqua" w:cs="Arial"/>
          <w:lang w:val="en-US"/>
        </w:rPr>
        <w:lastRenderedPageBreak/>
        <w:t xml:space="preserve">required to have a minimum of two hectares to receive payments for forest protection.  The maximum is 300 hectares.  Between 1997 and 2003, the </w:t>
      </w:r>
      <w:r w:rsidR="00480D3D">
        <w:rPr>
          <w:rFonts w:ascii="Book Antiqua" w:hAnsi="Book Antiqua" w:cs="Arial"/>
          <w:lang w:val="en-US"/>
        </w:rPr>
        <w:t>programme</w:t>
      </w:r>
      <w:r w:rsidRPr="001358CE">
        <w:rPr>
          <w:rFonts w:ascii="Book Antiqua" w:hAnsi="Book Antiqua" w:cs="Arial"/>
          <w:lang w:val="en-US"/>
        </w:rPr>
        <w:t xml:space="preserve"> concluded almost 5500 contracts for more than 375,000 ha, 87% of which was for forest protection.  This increased to 8,000 beneficiaries and 500,000 ha by 2006, equivalent to 10% of the country’s total area.  Nevertheless, as in </w:t>
      </w:r>
      <w:smartTag w:uri="urn:schemas-microsoft-com:office:smarttags" w:element="country-region">
        <w:smartTag w:uri="urn:schemas-microsoft-com:office:smarttags" w:element="place">
          <w:r w:rsidRPr="001358CE">
            <w:rPr>
              <w:rFonts w:ascii="Book Antiqua" w:hAnsi="Book Antiqua" w:cs="Arial"/>
              <w:lang w:val="en-US"/>
            </w:rPr>
            <w:t>Mexico</w:t>
          </w:r>
        </w:smartTag>
      </w:smartTag>
      <w:r w:rsidRPr="001358CE">
        <w:rPr>
          <w:rFonts w:ascii="Book Antiqua" w:hAnsi="Book Antiqua" w:cs="Arial"/>
          <w:lang w:val="en-US"/>
        </w:rPr>
        <w:t xml:space="preserve">, only about a quarter of total demand can be satisfied by the </w:t>
      </w:r>
      <w:r w:rsidR="00480D3D">
        <w:rPr>
          <w:rFonts w:ascii="Book Antiqua" w:hAnsi="Book Antiqua" w:cs="Arial"/>
          <w:lang w:val="en-US"/>
        </w:rPr>
        <w:t>programme</w:t>
      </w:r>
      <w:r w:rsidRPr="001358CE">
        <w:rPr>
          <w:rFonts w:ascii="Book Antiqua" w:hAnsi="Book Antiqua" w:cs="Arial"/>
          <w:lang w:val="en-US"/>
        </w:rPr>
        <w:t xml:space="preserve"> due to financial constraints (Karousakis 2007).</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A37267">
      <w:pPr>
        <w:spacing w:after="0" w:line="300" w:lineRule="atLeast"/>
        <w:jc w:val="both"/>
        <w:rPr>
          <w:rFonts w:ascii="Book Antiqua" w:hAnsi="Book Antiqua" w:cs="Arial"/>
          <w:lang w:val="en-US"/>
        </w:rPr>
      </w:pPr>
      <w:r w:rsidRPr="001358CE">
        <w:rPr>
          <w:rFonts w:ascii="Book Antiqua" w:hAnsi="Book Antiqua" w:cs="Arial"/>
          <w:lang w:val="en-US"/>
        </w:rPr>
        <w:t xml:space="preserve">In the European Union, contracts are also made directly with farmers.  Individual farmers submit applications to the local offices of agricultural ministries, which also disburse the payments and, in some cases, control compliance with </w:t>
      </w:r>
      <w:r w:rsidR="00480D3D">
        <w:rPr>
          <w:rFonts w:ascii="Book Antiqua" w:hAnsi="Book Antiqua" w:cs="Arial"/>
          <w:lang w:val="en-US"/>
        </w:rPr>
        <w:t>programme</w:t>
      </w:r>
      <w:r w:rsidRPr="001358CE">
        <w:rPr>
          <w:rFonts w:ascii="Book Antiqua" w:hAnsi="Book Antiqua" w:cs="Arial"/>
          <w:lang w:val="en-US"/>
        </w:rPr>
        <w:t xml:space="preserve"> regulations.  There are minimum and maximum areas per beneficiary, depending on the particular funding </w:t>
      </w:r>
      <w:r w:rsidR="00480D3D">
        <w:rPr>
          <w:rFonts w:ascii="Book Antiqua" w:hAnsi="Book Antiqua" w:cs="Arial"/>
          <w:lang w:val="en-US"/>
        </w:rPr>
        <w:t>programme</w:t>
      </w:r>
      <w:r w:rsidRPr="001358CE">
        <w:rPr>
          <w:rFonts w:ascii="Book Antiqua" w:hAnsi="Book Antiqua" w:cs="Arial"/>
          <w:lang w:val="en-US"/>
        </w:rPr>
        <w:t xml:space="preserve">.  The </w:t>
      </w:r>
      <w:r w:rsidR="00480D3D">
        <w:rPr>
          <w:rFonts w:ascii="Book Antiqua" w:hAnsi="Book Antiqua" w:cs="Arial"/>
          <w:lang w:val="en-US"/>
        </w:rPr>
        <w:t>programme</w:t>
      </w:r>
      <w:r w:rsidRPr="001358CE">
        <w:rPr>
          <w:rFonts w:ascii="Book Antiqua" w:hAnsi="Book Antiqua" w:cs="Arial"/>
          <w:lang w:val="en-US"/>
        </w:rPr>
        <w:t>s cover large numbers of farmers in the member states, covering a majority of farmers in most countries.</w:t>
      </w:r>
    </w:p>
    <w:p w:rsidR="00351F2C" w:rsidRPr="00445F77" w:rsidRDefault="00351F2C" w:rsidP="00A37267">
      <w:pPr>
        <w:spacing w:after="0" w:line="300" w:lineRule="atLeast"/>
        <w:rPr>
          <w:rFonts w:ascii="Arial" w:hAnsi="Arial" w:cs="Arial"/>
          <w:sz w:val="24"/>
          <w:szCs w:val="24"/>
          <w:lang w:val="en-US"/>
        </w:rPr>
      </w:pPr>
    </w:p>
    <w:p w:rsidR="00351F2C" w:rsidRPr="00445F77" w:rsidRDefault="00351F2C" w:rsidP="00A37267">
      <w:pPr>
        <w:pStyle w:val="Heading3"/>
        <w:spacing w:before="0" w:after="0"/>
        <w:rPr>
          <w:rFonts w:ascii="Arial" w:hAnsi="Arial" w:cs="Arial"/>
          <w:bCs w:val="0"/>
          <w:lang w:val="en-US"/>
        </w:rPr>
      </w:pPr>
      <w:bookmarkStart w:id="429" w:name="_Toc244586210"/>
      <w:bookmarkStart w:id="430" w:name="_Toc249079571"/>
      <w:r w:rsidRPr="00445F77">
        <w:rPr>
          <w:rFonts w:ascii="Arial" w:hAnsi="Arial" w:cs="Arial"/>
          <w:bCs w:val="0"/>
          <w:lang w:val="en-US"/>
        </w:rPr>
        <w:t>Payments to communities/groups</w:t>
      </w:r>
      <w:bookmarkEnd w:id="429"/>
      <w:bookmarkEnd w:id="430"/>
    </w:p>
    <w:p w:rsidR="00351F2C" w:rsidRPr="001358CE" w:rsidRDefault="00351F2C" w:rsidP="00A37267">
      <w:pPr>
        <w:spacing w:after="0" w:line="300" w:lineRule="atLeast"/>
        <w:jc w:val="both"/>
        <w:rPr>
          <w:rFonts w:ascii="Book Antiqua" w:hAnsi="Book Antiqua" w:cs="Arial"/>
          <w:lang w:val="en-US"/>
        </w:rPr>
      </w:pPr>
      <w:r w:rsidRPr="001358CE">
        <w:rPr>
          <w:rFonts w:ascii="Book Antiqua" w:hAnsi="Book Antiqua" w:cs="Arial"/>
          <w:lang w:val="en-US"/>
        </w:rPr>
        <w:t xml:space="preserve">Some international PES schemes disburse payments to local communities, associations or other kinds groups of groups.  In this case, it is groups which apply for payments and receive them.  This type of PES scheme includes the Bolsa Floresta </w:t>
      </w:r>
      <w:r w:rsidR="00480D3D">
        <w:rPr>
          <w:rFonts w:ascii="Book Antiqua" w:hAnsi="Book Antiqua" w:cs="Arial"/>
          <w:lang w:val="en-US"/>
        </w:rPr>
        <w:t>programme</w:t>
      </w:r>
      <w:r w:rsidRPr="001358CE">
        <w:rPr>
          <w:rFonts w:ascii="Book Antiqua" w:hAnsi="Book Antiqua" w:cs="Arial"/>
          <w:lang w:val="en-US"/>
        </w:rPr>
        <w:t xml:space="preserve"> in </w:t>
      </w:r>
      <w:smartTag w:uri="urn:schemas-microsoft-com:office:smarttags" w:element="country-region">
        <w:r w:rsidRPr="001358CE">
          <w:rPr>
            <w:rFonts w:ascii="Book Antiqua" w:hAnsi="Book Antiqua" w:cs="Arial"/>
            <w:lang w:val="en-US"/>
          </w:rPr>
          <w:t>Brazil</w:t>
        </w:r>
      </w:smartTag>
      <w:r w:rsidRPr="001358CE">
        <w:rPr>
          <w:rFonts w:ascii="Book Antiqua" w:hAnsi="Book Antiqua" w:cs="Arial"/>
          <w:lang w:val="en-US"/>
        </w:rPr>
        <w:t xml:space="preserve">, PROFAFOR in </w:t>
      </w:r>
      <w:smartTag w:uri="urn:schemas-microsoft-com:office:smarttags" w:element="country-region">
        <w:r w:rsidRPr="001358CE">
          <w:rPr>
            <w:rFonts w:ascii="Book Antiqua" w:hAnsi="Book Antiqua" w:cs="Arial"/>
            <w:lang w:val="en-US"/>
          </w:rPr>
          <w:t>Ecuador</w:t>
        </w:r>
      </w:smartTag>
      <w:r w:rsidRPr="001358CE">
        <w:rPr>
          <w:rFonts w:ascii="Book Antiqua" w:hAnsi="Book Antiqua" w:cs="Arial"/>
          <w:lang w:val="en-US"/>
        </w:rPr>
        <w:t xml:space="preserve">, and CABSA in </w:t>
      </w:r>
      <w:smartTag w:uri="urn:schemas-microsoft-com:office:smarttags" w:element="country-region">
        <w:smartTag w:uri="urn:schemas-microsoft-com:office:smarttags" w:element="place">
          <w:r w:rsidRPr="001358CE">
            <w:rPr>
              <w:rFonts w:ascii="Book Antiqua" w:hAnsi="Book Antiqua" w:cs="Arial"/>
              <w:lang w:val="en-US"/>
            </w:rPr>
            <w:t>Mexico</w:t>
          </w:r>
        </w:smartTag>
      </w:smartTag>
      <w:r w:rsidRPr="001358CE">
        <w:rPr>
          <w:rFonts w:ascii="Book Antiqua" w:hAnsi="Book Antiqua" w:cs="Arial"/>
          <w:lang w:val="en-US"/>
        </w:rPr>
        <w:t>.</w:t>
      </w:r>
    </w:p>
    <w:p w:rsidR="00351F2C" w:rsidRPr="001358CE" w:rsidRDefault="00351F2C" w:rsidP="00A37267">
      <w:pPr>
        <w:spacing w:after="0" w:line="300" w:lineRule="atLeast"/>
        <w:rPr>
          <w:rFonts w:ascii="Book Antiqua" w:hAnsi="Book Antiqua" w:cs="Arial"/>
          <w:lang w:val="en-US"/>
        </w:rPr>
      </w:pPr>
    </w:p>
    <w:p w:rsidR="00351F2C" w:rsidRPr="001358CE" w:rsidRDefault="00351F2C" w:rsidP="00A37267">
      <w:pPr>
        <w:spacing w:after="0" w:line="300" w:lineRule="atLeast"/>
        <w:jc w:val="both"/>
        <w:rPr>
          <w:rFonts w:ascii="Book Antiqua" w:hAnsi="Book Antiqua" w:cs="Arial"/>
          <w:lang w:val="en-US"/>
        </w:rPr>
      </w:pPr>
      <w:r w:rsidRPr="001358CE">
        <w:rPr>
          <w:rFonts w:ascii="Book Antiqua" w:hAnsi="Book Antiqua" w:cs="Arial"/>
          <w:lang w:val="en-US"/>
        </w:rPr>
        <w:t xml:space="preserve">The Bolsa Floresta </w:t>
      </w:r>
      <w:r w:rsidR="00480D3D">
        <w:rPr>
          <w:rFonts w:ascii="Book Antiqua" w:hAnsi="Book Antiqua" w:cs="Arial"/>
          <w:lang w:val="en-US"/>
        </w:rPr>
        <w:t>programme</w:t>
      </w:r>
      <w:r w:rsidRPr="001358CE">
        <w:rPr>
          <w:rFonts w:ascii="Book Antiqua" w:hAnsi="Book Antiqua" w:cs="Arial"/>
          <w:lang w:val="en-US"/>
        </w:rPr>
        <w:t xml:space="preserve"> pays traditional and indigenous peoples living in state-managed protected areas of the Amazon for forest conservation.  Local communities commit to preserve primary forests in exchange for financial compensation.  The compensation package includes four components: payments to the mothers in participating families (US$264/year), payments to residents’ associations (at a rate of 10</w:t>
      </w:r>
      <w:r w:rsidR="00A31E60">
        <w:rPr>
          <w:rFonts w:ascii="Book Antiqua" w:hAnsi="Book Antiqua" w:cs="Arial"/>
          <w:lang w:val="en-US"/>
        </w:rPr>
        <w:t>%</w:t>
      </w:r>
      <w:r w:rsidRPr="001358CE">
        <w:rPr>
          <w:rFonts w:ascii="Book Antiqua" w:hAnsi="Book Antiqua" w:cs="Arial"/>
          <w:lang w:val="en-US"/>
        </w:rPr>
        <w:t xml:space="preserve"> of the payments made to mothers), payments to local communities for the development of productive activities (at an average of US$1,740/year), and payments to local communities for social investments (at an average of US$1,740/year).  The </w:t>
      </w:r>
      <w:r w:rsidR="00480D3D">
        <w:rPr>
          <w:rFonts w:ascii="Book Antiqua" w:hAnsi="Book Antiqua" w:cs="Arial"/>
          <w:lang w:val="en-US"/>
        </w:rPr>
        <w:t>programme</w:t>
      </w:r>
      <w:r w:rsidRPr="001358CE">
        <w:rPr>
          <w:rFonts w:ascii="Book Antiqua" w:hAnsi="Book Antiqua" w:cs="Arial"/>
          <w:lang w:val="en-US"/>
        </w:rPr>
        <w:t xml:space="preserve"> provides additional assistance to communities through support </w:t>
      </w:r>
      <w:r w:rsidR="00480D3D">
        <w:rPr>
          <w:rFonts w:ascii="Book Antiqua" w:hAnsi="Book Antiqua" w:cs="Arial"/>
          <w:lang w:val="en-US"/>
        </w:rPr>
        <w:t>programme</w:t>
      </w:r>
      <w:r w:rsidRPr="001358CE">
        <w:rPr>
          <w:rFonts w:ascii="Book Antiqua" w:hAnsi="Book Antiqua" w:cs="Arial"/>
          <w:lang w:val="en-US"/>
        </w:rPr>
        <w:t>s on health and education and sustainable production.  By September 2008, it disbursed payments to a total of 2,700 families in twelve protected areas and was processing applications by another 1,500 families (Viana 2008).</w:t>
      </w:r>
    </w:p>
    <w:p w:rsidR="00351F2C" w:rsidRPr="001358CE" w:rsidRDefault="00351F2C" w:rsidP="00B90816">
      <w:pPr>
        <w:spacing w:after="0" w:line="300" w:lineRule="atLeast"/>
        <w:rPr>
          <w:rFonts w:ascii="Book Antiqua" w:hAnsi="Book Antiqua" w:cs="Arial"/>
          <w:lang w:val="en-US"/>
        </w:rPr>
      </w:pPr>
    </w:p>
    <w:p w:rsidR="00351F2C" w:rsidRPr="001358CE" w:rsidRDefault="00351F2C" w:rsidP="00B90816">
      <w:pPr>
        <w:spacing w:after="0" w:line="300" w:lineRule="atLeast"/>
        <w:jc w:val="both"/>
        <w:rPr>
          <w:rFonts w:ascii="Book Antiqua" w:hAnsi="Book Antiqua" w:cs="Arial"/>
          <w:lang w:val="en-US"/>
        </w:rPr>
      </w:pPr>
      <w:r w:rsidRPr="001358CE">
        <w:rPr>
          <w:rFonts w:ascii="Book Antiqua" w:hAnsi="Book Antiqua" w:cs="Arial"/>
          <w:lang w:val="en-US"/>
        </w:rPr>
        <w:t>The PROFAFOR is an Ecuadorian company financed by Dutch electricity companies to offset their carbon emissions.  In 2000, PROFAFOR set a minimum contract size of 50 ha to reduce transaction costs.  This effectively excluded individual smallholders in the project area, motivating the company to conclude 43 collective contracts with highland communities until 2002.  Communities received an initial payment for seedlings production and (re)forestation and captured the revenues from thinning and harvesting.  The collective contracts generated significant benefits for participating households, which amounted to between US$60 and US$635 per household, or 6-50% of their annual monetary expenditures (Wunder and Alban 2008).</w:t>
      </w:r>
    </w:p>
    <w:p w:rsidR="00351F2C" w:rsidRPr="001358CE" w:rsidRDefault="00351F2C" w:rsidP="00A37267">
      <w:pPr>
        <w:spacing w:after="0" w:line="300" w:lineRule="atLeast"/>
        <w:rPr>
          <w:rFonts w:ascii="Book Antiqua" w:hAnsi="Book Antiqua" w:cs="Arial"/>
          <w:lang w:val="en-US"/>
        </w:rPr>
      </w:pPr>
    </w:p>
    <w:p w:rsidR="00351F2C" w:rsidRPr="001358CE" w:rsidRDefault="00351F2C" w:rsidP="00A37267">
      <w:pPr>
        <w:spacing w:after="0" w:line="300" w:lineRule="atLeast"/>
        <w:jc w:val="both"/>
        <w:rPr>
          <w:rFonts w:ascii="Book Antiqua" w:hAnsi="Book Antiqua" w:cs="Arial"/>
          <w:lang w:val="en-US"/>
        </w:rPr>
      </w:pPr>
      <w:smartTag w:uri="urn:schemas-microsoft-com:office:smarttags" w:element="country-region">
        <w:smartTag w:uri="urn:schemas-microsoft-com:office:smarttags" w:element="place">
          <w:r w:rsidRPr="001358CE">
            <w:rPr>
              <w:rFonts w:ascii="Book Antiqua" w:hAnsi="Book Antiqua" w:cs="Arial"/>
              <w:lang w:val="en-US"/>
            </w:rPr>
            <w:t>Mexico</w:t>
          </w:r>
        </w:smartTag>
      </w:smartTag>
      <w:r w:rsidRPr="001358CE">
        <w:rPr>
          <w:rFonts w:ascii="Book Antiqua" w:hAnsi="Book Antiqua" w:cs="Arial"/>
          <w:lang w:val="en-US"/>
        </w:rPr>
        <w:t xml:space="preserve">’s </w:t>
      </w:r>
      <w:r w:rsidR="00480D3D">
        <w:rPr>
          <w:rFonts w:ascii="Book Antiqua" w:hAnsi="Book Antiqua" w:cs="Arial"/>
          <w:lang w:val="en-US"/>
        </w:rPr>
        <w:t>Programme</w:t>
      </w:r>
      <w:r w:rsidRPr="001358CE">
        <w:rPr>
          <w:rFonts w:ascii="Book Antiqua" w:hAnsi="Book Antiqua" w:cs="Arial"/>
          <w:lang w:val="en-US"/>
        </w:rPr>
        <w:t xml:space="preserve"> of Payments for Carbon, Biodiversity and Agro-forestry Services (PSA-CABSA) has contracted rural communities to provide environmental services since 2004.  The contracts are with rural communities because large areas of land are in the </w:t>
      </w:r>
      <w:r w:rsidRPr="001358CE">
        <w:rPr>
          <w:rFonts w:ascii="Book Antiqua" w:hAnsi="Book Antiqua" w:cs="Arial"/>
          <w:lang w:val="en-US"/>
        </w:rPr>
        <w:lastRenderedPageBreak/>
        <w:t xml:space="preserve">hands of </w:t>
      </w:r>
      <w:r w:rsidRPr="001358CE">
        <w:rPr>
          <w:rFonts w:ascii="Book Antiqua" w:hAnsi="Book Antiqua" w:cs="Arial"/>
          <w:i/>
          <w:lang w:val="en-US"/>
        </w:rPr>
        <w:t>ejidos</w:t>
      </w:r>
      <w:r w:rsidRPr="001358CE">
        <w:rPr>
          <w:rFonts w:ascii="Book Antiqua" w:hAnsi="Book Antiqua" w:cs="Arial"/>
          <w:lang w:val="en-US"/>
        </w:rPr>
        <w:t xml:space="preserve"> and indigenous communities in rural </w:t>
      </w:r>
      <w:smartTag w:uri="urn:schemas-microsoft-com:office:smarttags" w:element="country-region">
        <w:smartTag w:uri="urn:schemas-microsoft-com:office:smarttags" w:element="place">
          <w:r w:rsidRPr="001358CE">
            <w:rPr>
              <w:rFonts w:ascii="Book Antiqua" w:hAnsi="Book Antiqua" w:cs="Arial"/>
              <w:lang w:val="en-US"/>
            </w:rPr>
            <w:t>Mexico</w:t>
          </w:r>
        </w:smartTag>
      </w:smartTag>
      <w:r w:rsidRPr="001358CE">
        <w:rPr>
          <w:rFonts w:ascii="Book Antiqua" w:hAnsi="Book Antiqua" w:cs="Arial"/>
          <w:lang w:val="en-US"/>
        </w:rPr>
        <w:t xml:space="preserve">.  Rural communities apply to the National Forestry Commission in reaction to annual open calls.  By January 2007, it disbursed payments to 60 communities located in different Mexican states for a total of 68,000 hectares.  The </w:t>
      </w:r>
      <w:r w:rsidR="00480D3D">
        <w:rPr>
          <w:rFonts w:ascii="Book Antiqua" w:hAnsi="Book Antiqua" w:cs="Arial"/>
          <w:lang w:val="en-US"/>
        </w:rPr>
        <w:t>programme</w:t>
      </w:r>
      <w:r w:rsidRPr="001358CE">
        <w:rPr>
          <w:rFonts w:ascii="Book Antiqua" w:hAnsi="Book Antiqua" w:cs="Arial"/>
          <w:lang w:val="en-US"/>
        </w:rPr>
        <w:t xml:space="preserve"> pays communities to plant trees on local commons and to manage common forests in a sustainable manner (Corbera et al.  2009).</w:t>
      </w:r>
    </w:p>
    <w:p w:rsidR="00351F2C" w:rsidRPr="00445F77" w:rsidRDefault="00351F2C" w:rsidP="00A37267">
      <w:pPr>
        <w:spacing w:after="0" w:line="300" w:lineRule="atLeast"/>
        <w:rPr>
          <w:rFonts w:ascii="Arial" w:hAnsi="Arial" w:cs="Arial"/>
          <w:sz w:val="24"/>
          <w:szCs w:val="24"/>
          <w:lang w:val="en-US"/>
        </w:rPr>
      </w:pPr>
    </w:p>
    <w:p w:rsidR="00351F2C" w:rsidRPr="00445F77" w:rsidRDefault="00351F2C" w:rsidP="00A37267">
      <w:pPr>
        <w:pStyle w:val="Heading3"/>
        <w:spacing w:before="0" w:after="0"/>
        <w:rPr>
          <w:rFonts w:ascii="Arial" w:hAnsi="Arial" w:cs="Arial"/>
          <w:bCs w:val="0"/>
          <w:lang w:val="en-US"/>
        </w:rPr>
      </w:pPr>
      <w:bookmarkStart w:id="431" w:name="_Toc244586211"/>
      <w:bookmarkStart w:id="432" w:name="_Toc249079572"/>
      <w:r w:rsidRPr="00445F77">
        <w:rPr>
          <w:rFonts w:ascii="Arial" w:hAnsi="Arial" w:cs="Arial"/>
          <w:bCs w:val="0"/>
          <w:lang w:val="en-US"/>
        </w:rPr>
        <w:t>Payments to private companies and public bodies</w:t>
      </w:r>
      <w:bookmarkEnd w:id="431"/>
      <w:bookmarkEnd w:id="432"/>
    </w:p>
    <w:p w:rsidR="00351F2C" w:rsidRPr="001358CE" w:rsidRDefault="00351F2C" w:rsidP="00A37267">
      <w:pPr>
        <w:spacing w:after="0" w:line="300" w:lineRule="atLeast"/>
        <w:jc w:val="both"/>
        <w:rPr>
          <w:rFonts w:ascii="Book Antiqua" w:hAnsi="Book Antiqua" w:cs="Arial"/>
          <w:lang w:val="en-US"/>
        </w:rPr>
      </w:pPr>
      <w:r w:rsidRPr="001358CE">
        <w:rPr>
          <w:rFonts w:ascii="Book Antiqua" w:hAnsi="Book Antiqua" w:cs="Arial"/>
          <w:lang w:val="en-US"/>
        </w:rPr>
        <w:t xml:space="preserve">Finally, there are carbon projects in the voluntary market and under CDM that pay forest companies and public bodies for the conservation of forests.  </w:t>
      </w:r>
      <w:smartTag w:uri="urn:schemas-microsoft-com:office:smarttags" w:element="place">
        <w:r w:rsidRPr="001358CE">
          <w:rPr>
            <w:rFonts w:ascii="Book Antiqua" w:hAnsi="Book Antiqua" w:cs="Arial"/>
            <w:lang w:val="en-US"/>
          </w:rPr>
          <w:t>Forest</w:t>
        </w:r>
      </w:smartTag>
      <w:r w:rsidRPr="001358CE">
        <w:rPr>
          <w:rFonts w:ascii="Book Antiqua" w:hAnsi="Book Antiqua" w:cs="Arial"/>
          <w:lang w:val="en-US"/>
        </w:rPr>
        <w:t xml:space="preserve"> companies and public bodies are the applicants and recipients, even though they may decide to use some of the allocated payments for further distribution to local households or communities or to develop contractual agreements with them.  Examples of projects working with public bodies are the Noel Kempff project in </w:t>
      </w:r>
      <w:smartTag w:uri="urn:schemas-microsoft-com:office:smarttags" w:element="country-region">
        <w:r w:rsidRPr="001358CE">
          <w:rPr>
            <w:rFonts w:ascii="Book Antiqua" w:hAnsi="Book Antiqua" w:cs="Arial"/>
            <w:lang w:val="en-US"/>
          </w:rPr>
          <w:t>Bolivia</w:t>
        </w:r>
      </w:smartTag>
      <w:r w:rsidRPr="001358CE">
        <w:rPr>
          <w:rFonts w:ascii="Book Antiqua" w:hAnsi="Book Antiqua" w:cs="Arial"/>
          <w:lang w:val="en-US"/>
        </w:rPr>
        <w:t xml:space="preserve"> and the Ulu Masen project in </w:t>
      </w:r>
      <w:smartTag w:uri="urn:schemas-microsoft-com:office:smarttags" w:element="country-region">
        <w:smartTag w:uri="urn:schemas-microsoft-com:office:smarttags" w:element="place">
          <w:r w:rsidRPr="001358CE">
            <w:rPr>
              <w:rFonts w:ascii="Book Antiqua" w:hAnsi="Book Antiqua" w:cs="Arial"/>
              <w:lang w:val="en-US"/>
            </w:rPr>
            <w:t>Indonesia</w:t>
          </w:r>
        </w:smartTag>
      </w:smartTag>
      <w:r w:rsidRPr="001358CE">
        <w:rPr>
          <w:rFonts w:ascii="Book Antiqua" w:hAnsi="Book Antiqua" w:cs="Arial"/>
          <w:lang w:val="en-US"/>
        </w:rPr>
        <w:t xml:space="preserve">.  The Plantar Carbon project in </w:t>
      </w:r>
      <w:smartTag w:uri="urn:schemas-microsoft-com:office:smarttags" w:element="country-region">
        <w:r w:rsidRPr="001358CE">
          <w:rPr>
            <w:rFonts w:ascii="Book Antiqua" w:hAnsi="Book Antiqua" w:cs="Arial"/>
            <w:lang w:val="en-US"/>
          </w:rPr>
          <w:t>Brazil</w:t>
        </w:r>
      </w:smartTag>
      <w:r w:rsidRPr="001358CE">
        <w:rPr>
          <w:rFonts w:ascii="Book Antiqua" w:hAnsi="Book Antiqua" w:cs="Arial"/>
          <w:lang w:val="en-US"/>
        </w:rPr>
        <w:t xml:space="preserve"> and the first reforestation project accredited by CDM in </w:t>
      </w:r>
      <w:smartTag w:uri="urn:schemas-microsoft-com:office:smarttags" w:element="country-region">
        <w:smartTag w:uri="urn:schemas-microsoft-com:office:smarttags" w:element="place">
          <w:r w:rsidRPr="001358CE">
            <w:rPr>
              <w:rFonts w:ascii="Book Antiqua" w:hAnsi="Book Antiqua" w:cs="Arial"/>
              <w:lang w:val="en-US"/>
            </w:rPr>
            <w:t>China</w:t>
          </w:r>
        </w:smartTag>
      </w:smartTag>
      <w:r w:rsidRPr="001358CE">
        <w:rPr>
          <w:rFonts w:ascii="Book Antiqua" w:hAnsi="Book Antiqua" w:cs="Arial"/>
          <w:lang w:val="en-US"/>
        </w:rPr>
        <w:t xml:space="preserve"> illustrate how payments are disbursed to companies.</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B90816">
      <w:pPr>
        <w:spacing w:after="0" w:line="300" w:lineRule="atLeast"/>
        <w:jc w:val="both"/>
        <w:rPr>
          <w:rFonts w:ascii="Book Antiqua" w:hAnsi="Book Antiqua" w:cs="Arial"/>
          <w:lang w:val="en-US"/>
        </w:rPr>
      </w:pPr>
      <w:r w:rsidRPr="001358CE">
        <w:rPr>
          <w:rFonts w:ascii="Book Antiqua" w:hAnsi="Book Antiqua" w:cs="Arial"/>
          <w:lang w:val="en-US"/>
        </w:rPr>
        <w:t xml:space="preserve">The Noel Kempff Mercado Climate Action Project in </w:t>
      </w:r>
      <w:smartTag w:uri="urn:schemas-microsoft-com:office:smarttags" w:element="country-region">
        <w:smartTag w:uri="urn:schemas-microsoft-com:office:smarttags" w:element="place">
          <w:r w:rsidRPr="001358CE">
            <w:rPr>
              <w:rFonts w:ascii="Book Antiqua" w:hAnsi="Book Antiqua" w:cs="Arial"/>
              <w:lang w:val="en-US"/>
            </w:rPr>
            <w:t>Bolivia</w:t>
          </w:r>
        </w:smartTag>
      </w:smartTag>
      <w:r w:rsidRPr="001358CE">
        <w:rPr>
          <w:rFonts w:ascii="Book Antiqua" w:hAnsi="Book Antiqua" w:cs="Arial"/>
          <w:lang w:val="en-US"/>
        </w:rPr>
        <w:t xml:space="preserve"> was established in 1997 under the Joint Implementation scheme.  It aims to avoid carbon emissions by curbing deforestation.  The Nature Conservancy, a consortium of US companies and the Bolivian government bought out the holders of preexisting logging concessions.  It used the acquired land to expand a neighboring national park.  The project assists local communities to develop alternative income sources outside logging.  Yet ultimately, it is the administration of the national park that benefits from the infusion of international carbon finance (Grieg-Gran et al.  2005: 1517).</w:t>
      </w:r>
    </w:p>
    <w:p w:rsidR="00A31E60" w:rsidRDefault="00A31E60" w:rsidP="00B90816">
      <w:pPr>
        <w:spacing w:after="0" w:line="300" w:lineRule="atLeast"/>
        <w:jc w:val="both"/>
        <w:rPr>
          <w:rFonts w:ascii="Book Antiqua" w:hAnsi="Book Antiqua" w:cs="Arial"/>
          <w:lang w:val="en-US"/>
        </w:rPr>
      </w:pPr>
    </w:p>
    <w:p w:rsidR="00351F2C" w:rsidRPr="001358CE" w:rsidRDefault="00351F2C" w:rsidP="00B90816">
      <w:pPr>
        <w:spacing w:after="0" w:line="300" w:lineRule="atLeast"/>
        <w:jc w:val="both"/>
        <w:rPr>
          <w:rFonts w:ascii="Book Antiqua" w:hAnsi="Book Antiqua" w:cs="Arial"/>
          <w:lang w:val="en-US"/>
        </w:rPr>
      </w:pPr>
      <w:r w:rsidRPr="001358CE">
        <w:rPr>
          <w:rFonts w:ascii="Book Antiqua" w:hAnsi="Book Antiqua" w:cs="Arial"/>
          <w:lang w:val="en-US"/>
        </w:rPr>
        <w:t xml:space="preserve">The Ulu Masen project in </w:t>
      </w:r>
      <w:smartTag w:uri="urn:schemas-microsoft-com:office:smarttags" w:element="place">
        <w:smartTag w:uri="urn:schemas-microsoft-com:office:smarttags" w:element="City">
          <w:r w:rsidRPr="001358CE">
            <w:rPr>
              <w:rFonts w:ascii="Book Antiqua" w:hAnsi="Book Antiqua" w:cs="Arial"/>
              <w:lang w:val="en-US"/>
            </w:rPr>
            <w:t>Aceh</w:t>
          </w:r>
        </w:smartTag>
        <w:r w:rsidRPr="001358CE">
          <w:rPr>
            <w:rFonts w:ascii="Book Antiqua" w:hAnsi="Book Antiqua" w:cs="Arial"/>
            <w:lang w:val="en-US"/>
          </w:rPr>
          <w:t xml:space="preserve">, </w:t>
        </w:r>
        <w:smartTag w:uri="urn:schemas-microsoft-com:office:smarttags" w:element="country-region">
          <w:r w:rsidRPr="001358CE">
            <w:rPr>
              <w:rFonts w:ascii="Book Antiqua" w:hAnsi="Book Antiqua" w:cs="Arial"/>
              <w:lang w:val="en-US"/>
            </w:rPr>
            <w:t>Indonesia</w:t>
          </w:r>
        </w:smartTag>
      </w:smartTag>
      <w:r w:rsidRPr="001358CE">
        <w:rPr>
          <w:rFonts w:ascii="Book Antiqua" w:hAnsi="Book Antiqua" w:cs="Arial"/>
          <w:lang w:val="en-US"/>
        </w:rPr>
        <w:t xml:space="preserve">, is of more recent origin.  In 2007, the Government of Aceh formed a public-private partnership with the project developer Carbon Conservation, Fauna &amp; Flora International and Merrill Lynch to reduce deforestation in Ulu Masen.  The project is designed to use land use planning, monitoring, law enforcement, reforestation, forest restoration and sustainable community logging to reduce the pressure on primary rainforest.  The project </w:t>
      </w:r>
      <w:r w:rsidR="00793C47">
        <w:rPr>
          <w:rFonts w:ascii="Book Antiqua" w:hAnsi="Book Antiqua" w:cs="Arial"/>
          <w:lang w:val="en-US"/>
        </w:rPr>
        <w:t>aims</w:t>
      </w:r>
      <w:r w:rsidR="00793C47" w:rsidRPr="001358CE">
        <w:rPr>
          <w:rFonts w:ascii="Book Antiqua" w:hAnsi="Book Antiqua" w:cs="Arial"/>
          <w:lang w:val="en-US"/>
        </w:rPr>
        <w:t xml:space="preserve"> </w:t>
      </w:r>
      <w:r w:rsidRPr="001358CE">
        <w:rPr>
          <w:rFonts w:ascii="Book Antiqua" w:hAnsi="Book Antiqua" w:cs="Arial"/>
          <w:lang w:val="en-US"/>
        </w:rPr>
        <w:t>to sell VERs in the voluntary market (McNally et al.  2009: 32-34)</w:t>
      </w:r>
      <w:r w:rsidR="00793C47">
        <w:rPr>
          <w:rFonts w:ascii="Book Antiqua" w:hAnsi="Book Antiqua" w:cs="Arial"/>
          <w:lang w:val="en-US"/>
        </w:rPr>
        <w:t>, but has encountered problems associated with lack of clarity on land and carbon rights</w:t>
      </w:r>
      <w:r w:rsidRPr="001358CE">
        <w:rPr>
          <w:rFonts w:ascii="Book Antiqua" w:hAnsi="Book Antiqua" w:cs="Arial"/>
          <w:lang w:val="en-US"/>
        </w:rPr>
        <w:t>.</w:t>
      </w:r>
    </w:p>
    <w:p w:rsidR="00351F2C" w:rsidRPr="001358CE" w:rsidRDefault="00351F2C" w:rsidP="00B90816">
      <w:pPr>
        <w:spacing w:after="0" w:line="300" w:lineRule="atLeast"/>
        <w:rPr>
          <w:rFonts w:ascii="Book Antiqua" w:hAnsi="Book Antiqua" w:cs="Arial"/>
          <w:lang w:val="en-US"/>
        </w:rPr>
      </w:pPr>
    </w:p>
    <w:p w:rsidR="00351F2C" w:rsidRPr="001358CE" w:rsidRDefault="00351F2C" w:rsidP="00B90816">
      <w:pPr>
        <w:spacing w:after="0" w:line="300" w:lineRule="atLeast"/>
        <w:jc w:val="both"/>
        <w:rPr>
          <w:rFonts w:ascii="Book Antiqua" w:hAnsi="Book Antiqua" w:cs="Arial"/>
          <w:lang w:val="en-US"/>
        </w:rPr>
      </w:pPr>
      <w:r w:rsidRPr="001358CE">
        <w:rPr>
          <w:rFonts w:ascii="Book Antiqua" w:hAnsi="Book Antiqua" w:cs="Arial"/>
          <w:lang w:val="en-US"/>
        </w:rPr>
        <w:t xml:space="preserve">Plantar is a reforestation company in </w:t>
      </w:r>
      <w:smartTag w:uri="urn:schemas-microsoft-com:office:smarttags" w:element="country-region">
        <w:smartTag w:uri="urn:schemas-microsoft-com:office:smarttags" w:element="place">
          <w:r w:rsidRPr="001358CE">
            <w:rPr>
              <w:rFonts w:ascii="Book Antiqua" w:hAnsi="Book Antiqua" w:cs="Arial"/>
              <w:lang w:val="en-US"/>
            </w:rPr>
            <w:t>Brazil</w:t>
          </w:r>
        </w:smartTag>
      </w:smartTag>
      <w:r w:rsidRPr="001358CE">
        <w:rPr>
          <w:rFonts w:ascii="Book Antiqua" w:hAnsi="Book Antiqua" w:cs="Arial"/>
          <w:lang w:val="en-US"/>
        </w:rPr>
        <w:t xml:space="preserve"> set up in the late 1960s.  The company received a purchase commitment for carbon credits by the </w:t>
      </w:r>
      <w:r w:rsidR="00D7117B">
        <w:rPr>
          <w:rFonts w:ascii="Book Antiqua" w:hAnsi="Book Antiqua" w:cs="Arial"/>
          <w:lang w:val="en-US"/>
        </w:rPr>
        <w:t>WB</w:t>
      </w:r>
      <w:r w:rsidRPr="001358CE">
        <w:rPr>
          <w:rFonts w:ascii="Book Antiqua" w:hAnsi="Book Antiqua" w:cs="Arial"/>
          <w:lang w:val="en-US"/>
        </w:rPr>
        <w:t>, enabling the company to receive a bank loan for new eucalyptus plantations.  The involvement of the local population in the Plantar carbon project is limited to employment opportunities in the company’s plantations (Grieg-Gran et al.  2005).</w:t>
      </w:r>
    </w:p>
    <w:p w:rsidR="00351F2C" w:rsidRPr="001358CE" w:rsidRDefault="00351F2C" w:rsidP="00B90816">
      <w:pPr>
        <w:spacing w:after="0" w:line="300" w:lineRule="atLeast"/>
        <w:rPr>
          <w:rFonts w:ascii="Book Antiqua" w:hAnsi="Book Antiqua" w:cs="Arial"/>
          <w:lang w:val="en-US"/>
        </w:rPr>
      </w:pPr>
    </w:p>
    <w:p w:rsidR="00351F2C" w:rsidRPr="001358CE" w:rsidRDefault="00351F2C" w:rsidP="00A37267">
      <w:pPr>
        <w:spacing w:after="0" w:line="300" w:lineRule="atLeast"/>
        <w:jc w:val="both"/>
        <w:rPr>
          <w:rFonts w:ascii="Book Antiqua" w:hAnsi="Book Antiqua" w:cs="Arial"/>
          <w:lang w:val="en-US"/>
        </w:rPr>
      </w:pPr>
      <w:r w:rsidRPr="001358CE">
        <w:rPr>
          <w:rFonts w:ascii="Book Antiqua" w:hAnsi="Book Antiqua" w:cs="Arial"/>
          <w:lang w:val="en-US"/>
        </w:rPr>
        <w:t xml:space="preserve">The CDM project on Reforestation for Guangxi Watershed Management in the </w:t>
      </w:r>
      <w:smartTag w:uri="urn:schemas-microsoft-com:office:smarttags" w:element="PlaceName">
        <w:r w:rsidRPr="001358CE">
          <w:rPr>
            <w:rFonts w:ascii="Book Antiqua" w:hAnsi="Book Antiqua" w:cs="Arial"/>
            <w:lang w:val="en-US"/>
          </w:rPr>
          <w:t>Pearl</w:t>
        </w:r>
      </w:smartTag>
      <w:r w:rsidRPr="001358CE">
        <w:rPr>
          <w:rFonts w:ascii="Book Antiqua" w:hAnsi="Book Antiqua" w:cs="Arial"/>
          <w:lang w:val="en-US"/>
        </w:rPr>
        <w:t xml:space="preserve"> </w:t>
      </w:r>
      <w:smartTag w:uri="urn:schemas-microsoft-com:office:smarttags" w:element="PlaceType">
        <w:r w:rsidRPr="001358CE">
          <w:rPr>
            <w:rFonts w:ascii="Book Antiqua" w:hAnsi="Book Antiqua" w:cs="Arial"/>
            <w:lang w:val="en-US"/>
          </w:rPr>
          <w:t>River Basin</w:t>
        </w:r>
      </w:smartTag>
      <w:r w:rsidRPr="001358CE">
        <w:rPr>
          <w:rFonts w:ascii="Book Antiqua" w:hAnsi="Book Antiqua" w:cs="Arial"/>
          <w:lang w:val="en-US"/>
        </w:rPr>
        <w:t xml:space="preserve"> in </w:t>
      </w:r>
      <w:smartTag w:uri="urn:schemas-microsoft-com:office:smarttags" w:element="country-region">
        <w:smartTag w:uri="urn:schemas-microsoft-com:office:smarttags" w:element="place">
          <w:r w:rsidRPr="001358CE">
            <w:rPr>
              <w:rFonts w:ascii="Book Antiqua" w:hAnsi="Book Antiqua" w:cs="Arial"/>
              <w:lang w:val="en-US"/>
            </w:rPr>
            <w:t>China</w:t>
          </w:r>
        </w:smartTag>
      </w:smartTag>
      <w:r w:rsidRPr="001358CE">
        <w:rPr>
          <w:rFonts w:ascii="Book Antiqua" w:hAnsi="Book Antiqua" w:cs="Arial"/>
          <w:lang w:val="en-US"/>
        </w:rPr>
        <w:t xml:space="preserve"> involves a shareholding arrangement between a forest company and local people.  The company establishes and manages plantations on land held by local people individually and collectively.  It shares the benefits derived from forest products and CER transactions with households and collectives.  In addition, the company hires local people as plantation workers and pays them for their work.  The project will ultimately plant </w:t>
      </w:r>
      <w:r w:rsidRPr="001358CE">
        <w:rPr>
          <w:rFonts w:ascii="Book Antiqua" w:hAnsi="Book Antiqua" w:cs="Arial"/>
          <w:lang w:val="en-US"/>
        </w:rPr>
        <w:lastRenderedPageBreak/>
        <w:t xml:space="preserve">4,000 ha of tree plantations, hoping to benefit some 5,000 households in 27 villages.  Yet project ownership does not rest with local people but the shareholding arrangement promoted by the company with support by the </w:t>
      </w:r>
      <w:r w:rsidR="00D7117B">
        <w:rPr>
          <w:rFonts w:ascii="Book Antiqua" w:hAnsi="Book Antiqua" w:cs="Arial"/>
          <w:lang w:val="en-US"/>
        </w:rPr>
        <w:t>WB</w:t>
      </w:r>
      <w:r w:rsidRPr="001358CE">
        <w:rPr>
          <w:rFonts w:ascii="Book Antiqua" w:hAnsi="Book Antiqua" w:cs="Arial"/>
          <w:lang w:val="en-US"/>
        </w:rPr>
        <w:t xml:space="preserve"> (Jin 2009).</w:t>
      </w:r>
      <w:r w:rsidRPr="001358CE">
        <w:rPr>
          <w:rStyle w:val="FootnoteReference"/>
          <w:rFonts w:ascii="Book Antiqua" w:hAnsi="Book Antiqua" w:cs="Arial"/>
          <w:lang w:val="en-US"/>
        </w:rPr>
        <w:footnoteReference w:id="44"/>
      </w:r>
    </w:p>
    <w:p w:rsidR="00351F2C" w:rsidRPr="00445F77" w:rsidRDefault="00351F2C" w:rsidP="00A37267">
      <w:pPr>
        <w:spacing w:after="0" w:line="300" w:lineRule="atLeast"/>
        <w:rPr>
          <w:rFonts w:ascii="Arial" w:hAnsi="Arial" w:cs="Arial"/>
          <w:sz w:val="24"/>
          <w:szCs w:val="24"/>
          <w:lang w:val="en-US"/>
        </w:rPr>
      </w:pPr>
    </w:p>
    <w:p w:rsidR="00351F2C" w:rsidRPr="00445F77" w:rsidRDefault="00351F2C" w:rsidP="00A37267">
      <w:pPr>
        <w:pStyle w:val="Heading3"/>
        <w:spacing w:before="0" w:after="0"/>
        <w:rPr>
          <w:rFonts w:ascii="Arial" w:hAnsi="Arial" w:cs="Arial"/>
          <w:bCs w:val="0"/>
          <w:lang w:val="en-US"/>
        </w:rPr>
      </w:pPr>
      <w:bookmarkStart w:id="433" w:name="_Toc244586212"/>
      <w:bookmarkStart w:id="434" w:name="_Toc249079573"/>
      <w:r w:rsidRPr="00445F77">
        <w:rPr>
          <w:rFonts w:ascii="Arial" w:hAnsi="Arial" w:cs="Arial"/>
          <w:bCs w:val="0"/>
          <w:lang w:val="en-US"/>
        </w:rPr>
        <w:t>Summary</w:t>
      </w:r>
      <w:bookmarkEnd w:id="433"/>
      <w:bookmarkEnd w:id="434"/>
    </w:p>
    <w:p w:rsidR="00351F2C" w:rsidRPr="001358CE" w:rsidRDefault="00351F2C" w:rsidP="00A37267">
      <w:pPr>
        <w:spacing w:after="0" w:line="300" w:lineRule="atLeast"/>
        <w:jc w:val="both"/>
        <w:rPr>
          <w:rFonts w:ascii="Book Antiqua" w:hAnsi="Book Antiqua" w:cs="Arial"/>
          <w:lang w:val="en-US"/>
        </w:rPr>
      </w:pPr>
      <w:r w:rsidRPr="001358CE">
        <w:rPr>
          <w:rFonts w:ascii="Book Antiqua" w:hAnsi="Book Antiqua" w:cs="Arial"/>
          <w:lang w:val="en-US"/>
        </w:rPr>
        <w:t xml:space="preserve">This brief review demonstrates that international schemes disburse payments to a variety of actors, including individual households, village communities/household groups and private companies as well as public bodies.  The key question is not whether or not the three basic types of recipients should receive payments but under what conditions and through what modalities.  </w:t>
      </w:r>
    </w:p>
    <w:p w:rsidR="00351F2C" w:rsidRPr="001358CE" w:rsidRDefault="00351F2C" w:rsidP="00A37267">
      <w:pPr>
        <w:spacing w:after="0" w:line="300" w:lineRule="atLeast"/>
        <w:rPr>
          <w:rFonts w:ascii="Book Antiqua" w:hAnsi="Book Antiqua" w:cs="Arial"/>
          <w:lang w:val="en-US"/>
        </w:rPr>
      </w:pPr>
    </w:p>
    <w:p w:rsidR="00351F2C" w:rsidRPr="001358CE" w:rsidRDefault="00351F2C" w:rsidP="00B90816">
      <w:pPr>
        <w:spacing w:after="0" w:line="300" w:lineRule="atLeast"/>
        <w:jc w:val="both"/>
        <w:rPr>
          <w:rFonts w:ascii="Book Antiqua" w:hAnsi="Book Antiqua" w:cs="Arial"/>
          <w:lang w:val="en-US"/>
        </w:rPr>
      </w:pPr>
      <w:r w:rsidRPr="001358CE">
        <w:rPr>
          <w:rFonts w:ascii="Book Antiqua" w:hAnsi="Book Antiqua" w:cs="Arial"/>
          <w:lang w:val="en-US"/>
        </w:rPr>
        <w:t xml:space="preserve">Individual households, household groups, village communities, </w:t>
      </w:r>
      <w:r w:rsidR="003A6A8D">
        <w:rPr>
          <w:rFonts w:ascii="Book Antiqua" w:hAnsi="Book Antiqua" w:cs="Arial"/>
          <w:lang w:val="en-US"/>
        </w:rPr>
        <w:t>SOC</w:t>
      </w:r>
      <w:r w:rsidRPr="001358CE">
        <w:rPr>
          <w:rFonts w:ascii="Book Antiqua" w:hAnsi="Book Antiqua" w:cs="Arial"/>
          <w:lang w:val="en-US"/>
        </w:rPr>
        <w:t>s and PAMBs may each hold comparative advantages over each other in particular contexts.  Table 6.2 provides a brief overview of the strengths, weaknesses and needs for further action for each type.</w:t>
      </w:r>
    </w:p>
    <w:p w:rsidR="00351F2C" w:rsidRPr="001358CE" w:rsidRDefault="00351F2C" w:rsidP="00B90816">
      <w:pPr>
        <w:spacing w:after="0" w:line="300" w:lineRule="atLeast"/>
        <w:rPr>
          <w:rFonts w:ascii="Book Antiqua" w:hAnsi="Book Antiqua" w:cs="Arial"/>
          <w:lang w:val="en-US"/>
        </w:rPr>
      </w:pPr>
    </w:p>
    <w:p w:rsidR="00A37267" w:rsidRDefault="00351F2C" w:rsidP="008F6D17">
      <w:pPr>
        <w:spacing w:after="0" w:line="300" w:lineRule="atLeast"/>
        <w:jc w:val="both"/>
        <w:rPr>
          <w:rFonts w:ascii="Arial" w:hAnsi="Arial" w:cs="Arial"/>
          <w:b/>
          <w:sz w:val="24"/>
          <w:szCs w:val="24"/>
          <w:lang w:val="en-US"/>
        </w:rPr>
      </w:pPr>
      <w:r w:rsidRPr="001358CE">
        <w:rPr>
          <w:rFonts w:ascii="Book Antiqua" w:hAnsi="Book Antiqua" w:cs="Arial"/>
          <w:lang w:val="en-US"/>
        </w:rPr>
        <w:t xml:space="preserve">The review of international experience once more highlights the critical importance of land tenure.  Distribution of benefit systems only work if recipients possess secure tenure to their land.  This is a precondition that does not exist in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highlighting the need for further forestland allocation and the resolution of land disputes</w:t>
      </w:r>
      <w:r w:rsidRPr="00445F77">
        <w:rPr>
          <w:rFonts w:ascii="Arial" w:hAnsi="Arial" w:cs="Arial"/>
          <w:sz w:val="24"/>
          <w:szCs w:val="24"/>
          <w:lang w:val="en-US"/>
        </w:rPr>
        <w:t>.</w:t>
      </w:r>
    </w:p>
    <w:p w:rsidR="00A37267" w:rsidRDefault="00A37267" w:rsidP="0020363F">
      <w:pPr>
        <w:spacing w:after="0"/>
        <w:rPr>
          <w:rFonts w:ascii="Arial" w:hAnsi="Arial" w:cs="Arial"/>
          <w:b/>
          <w:sz w:val="24"/>
          <w:szCs w:val="24"/>
          <w:lang w:val="en-US"/>
        </w:rPr>
      </w:pPr>
    </w:p>
    <w:p w:rsidR="0092792E" w:rsidRDefault="0092792E" w:rsidP="0020363F">
      <w:pPr>
        <w:spacing w:after="0"/>
        <w:rPr>
          <w:rFonts w:ascii="Arial" w:hAnsi="Arial" w:cs="Arial"/>
          <w:b/>
          <w:sz w:val="24"/>
          <w:szCs w:val="24"/>
          <w:lang w:val="en-US"/>
        </w:rPr>
      </w:pPr>
    </w:p>
    <w:p w:rsidR="0092792E" w:rsidRPr="00445F77" w:rsidRDefault="0092792E" w:rsidP="0092792E">
      <w:pPr>
        <w:pStyle w:val="Heading2"/>
        <w:rPr>
          <w:rFonts w:ascii="Arial" w:hAnsi="Arial" w:cs="Arial"/>
          <w:sz w:val="24"/>
          <w:szCs w:val="24"/>
          <w:lang w:val="en-US"/>
        </w:rPr>
      </w:pPr>
      <w:bookmarkStart w:id="435" w:name="_Toc244586213"/>
      <w:bookmarkStart w:id="436" w:name="_Toc252354745"/>
      <w:r w:rsidRPr="00445F77">
        <w:rPr>
          <w:rFonts w:ascii="Arial" w:hAnsi="Arial" w:cs="Arial"/>
          <w:sz w:val="24"/>
          <w:szCs w:val="24"/>
          <w:lang w:val="en-US"/>
        </w:rPr>
        <w:t>6.3 Views and recommendations of ethnic minority and forest margin community representatives</w:t>
      </w:r>
      <w:bookmarkEnd w:id="435"/>
      <w:bookmarkEnd w:id="436"/>
    </w:p>
    <w:p w:rsidR="0092792E" w:rsidRPr="001358CE" w:rsidRDefault="0092792E" w:rsidP="0092792E">
      <w:pPr>
        <w:spacing w:after="0" w:line="300" w:lineRule="atLeast"/>
        <w:jc w:val="both"/>
        <w:rPr>
          <w:rFonts w:ascii="Book Antiqua" w:hAnsi="Book Antiqua" w:cs="Arial"/>
          <w:lang w:val="en-US"/>
        </w:rPr>
      </w:pPr>
      <w:r w:rsidRPr="001358CE">
        <w:rPr>
          <w:rFonts w:ascii="Book Antiqua" w:hAnsi="Book Antiqua" w:cs="Arial"/>
          <w:lang w:val="en-US"/>
        </w:rPr>
        <w:t xml:space="preserve">Although it is difficult to speak about the views of ethnic minority and forest margin communities in general, it is possible to identify concerns shared by many of them.  At the broadest level, one finds a strong concern for equity among ethnic minorities and forest margin communities in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  Moreover, villagers are very vocal in voicing their equity concerns and use various </w:t>
      </w:r>
      <w:r>
        <w:rPr>
          <w:rFonts w:ascii="Book Antiqua" w:hAnsi="Book Antiqua" w:cs="Arial"/>
          <w:lang w:val="en-US"/>
        </w:rPr>
        <w:t>approaches</w:t>
      </w:r>
      <w:r w:rsidRPr="001358CE">
        <w:rPr>
          <w:rFonts w:ascii="Book Antiqua" w:hAnsi="Book Antiqua" w:cs="Arial"/>
          <w:lang w:val="en-US"/>
        </w:rPr>
        <w:t xml:space="preserve"> to do so, including oral communication in informal consultations and formal meetings with government officials, reports to the media, and written complaints and petitions sent to government agencies.  Submissions to local government officials and party cells are explicitly encouraged by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’s government and the Communist Party, as stated in the Decree on Grassroots Democracy</w:t>
      </w:r>
      <w:r>
        <w:rPr>
          <w:rFonts w:ascii="Book Antiqua" w:hAnsi="Book Antiqua" w:cs="Arial"/>
          <w:lang w:val="en-US"/>
        </w:rPr>
        <w:t xml:space="preserve"> (Decree 29),</w:t>
      </w:r>
      <w:r w:rsidRPr="001358CE">
        <w:rPr>
          <w:rFonts w:ascii="Book Antiqua" w:hAnsi="Book Antiqua" w:cs="Arial"/>
          <w:lang w:val="en-US"/>
        </w:rPr>
        <w:t xml:space="preserve"> issued in 1997.</w:t>
      </w:r>
    </w:p>
    <w:p w:rsidR="0092792E" w:rsidRPr="001358CE" w:rsidRDefault="0092792E" w:rsidP="0092792E">
      <w:pPr>
        <w:spacing w:after="0" w:line="300" w:lineRule="atLeast"/>
        <w:rPr>
          <w:rFonts w:ascii="Book Antiqua" w:hAnsi="Book Antiqua" w:cs="Arial"/>
          <w:lang w:val="en-US"/>
        </w:rPr>
      </w:pPr>
    </w:p>
    <w:p w:rsidR="0092792E" w:rsidRPr="001358CE" w:rsidRDefault="0092792E" w:rsidP="0092792E">
      <w:pPr>
        <w:spacing w:after="0" w:line="300" w:lineRule="atLeast"/>
        <w:jc w:val="both"/>
        <w:rPr>
          <w:rFonts w:ascii="Book Antiqua" w:hAnsi="Book Antiqua" w:cs="Arial"/>
          <w:lang w:val="en-US"/>
        </w:rPr>
      </w:pPr>
      <w:r w:rsidRPr="001358CE">
        <w:rPr>
          <w:rFonts w:ascii="Book Antiqua" w:hAnsi="Book Antiqua" w:cs="Arial"/>
          <w:lang w:val="en-US"/>
        </w:rPr>
        <w:t xml:space="preserve">Ethnic minority and forest margin communities’ concerns over equity center on six key issues.  First, they request to be </w:t>
      </w:r>
      <w:r w:rsidRPr="001358CE">
        <w:rPr>
          <w:rFonts w:ascii="Book Antiqua" w:hAnsi="Book Antiqua" w:cs="Arial"/>
          <w:u w:val="single"/>
          <w:lang w:val="en-US"/>
        </w:rPr>
        <w:t>informed</w:t>
      </w:r>
      <w:r w:rsidRPr="001358CE">
        <w:rPr>
          <w:rFonts w:ascii="Book Antiqua" w:hAnsi="Book Antiqua" w:cs="Arial"/>
          <w:lang w:val="en-US"/>
        </w:rPr>
        <w:t xml:space="preserve"> about activities affecting them and expect some level of transparency in the way decisions are made and implemented.  In the past, villagers have too often been informed insufficiently</w:t>
      </w:r>
      <w:r>
        <w:rPr>
          <w:rFonts w:ascii="Book Antiqua" w:hAnsi="Book Antiqua" w:cs="Arial"/>
          <w:lang w:val="en-US"/>
        </w:rPr>
        <w:t>, or too late</w:t>
      </w:r>
      <w:r w:rsidRPr="001358CE">
        <w:rPr>
          <w:rFonts w:ascii="Book Antiqua" w:hAnsi="Book Antiqua" w:cs="Arial"/>
          <w:lang w:val="en-US"/>
        </w:rPr>
        <w:t xml:space="preserve"> about the implementation of 661 </w:t>
      </w:r>
      <w:r>
        <w:rPr>
          <w:rFonts w:ascii="Book Antiqua" w:hAnsi="Book Antiqua" w:cs="Arial"/>
          <w:lang w:val="en-US"/>
        </w:rPr>
        <w:t xml:space="preserve">and 135 </w:t>
      </w:r>
      <w:r w:rsidRPr="001358CE">
        <w:rPr>
          <w:rFonts w:ascii="Book Antiqua" w:hAnsi="Book Antiqua" w:cs="Arial"/>
          <w:lang w:val="en-US"/>
        </w:rPr>
        <w:t xml:space="preserve">projects.  In a </w:t>
      </w:r>
      <w:smartTag w:uri="urn:schemas-microsoft-com:office:smarttags" w:element="place">
        <w:smartTag w:uri="urn:schemas-microsoft-com:office:smarttags" w:element="PlaceType">
          <w:r w:rsidRPr="001358CE">
            <w:rPr>
              <w:rFonts w:ascii="Book Antiqua" w:hAnsi="Book Antiqua" w:cs="Arial"/>
              <w:lang w:val="en-US"/>
            </w:rPr>
            <w:t>village</w:t>
          </w:r>
        </w:smartTag>
        <w:r w:rsidRPr="001358CE">
          <w:rPr>
            <w:rFonts w:ascii="Book Antiqua" w:hAnsi="Book Antiqua" w:cs="Arial"/>
            <w:lang w:val="en-US"/>
          </w:rPr>
          <w:t xml:space="preserve"> of </w:t>
        </w:r>
        <w:smartTag w:uri="urn:schemas-microsoft-com:office:smarttags" w:element="PlaceName">
          <w:r w:rsidRPr="001358CE">
            <w:rPr>
              <w:rFonts w:ascii="Book Antiqua" w:hAnsi="Book Antiqua" w:cs="Arial"/>
              <w:lang w:val="en-US"/>
            </w:rPr>
            <w:t>Hoa Binh</w:t>
          </w:r>
        </w:smartTag>
      </w:smartTag>
      <w:r w:rsidRPr="001358CE">
        <w:rPr>
          <w:rFonts w:ascii="Book Antiqua" w:hAnsi="Book Antiqua" w:cs="Arial"/>
          <w:lang w:val="en-US"/>
        </w:rPr>
        <w:t xml:space="preserve">, households received only two thirds of the protection payments to which they were entitled.  They knew neither the reasons why the local Forest Protection Unit withheld the other third nor the destination of that money (To 2007).  In a village in Phu Tho province, most villagers did not even know about the </w:t>
      </w:r>
    </w:p>
    <w:p w:rsidR="0092792E" w:rsidRPr="00445F77" w:rsidRDefault="0092792E" w:rsidP="0020363F">
      <w:pPr>
        <w:spacing w:after="0"/>
        <w:rPr>
          <w:rFonts w:ascii="Arial" w:hAnsi="Arial" w:cs="Arial"/>
          <w:b/>
          <w:sz w:val="24"/>
          <w:szCs w:val="24"/>
          <w:lang w:val="en-US"/>
        </w:rPr>
        <w:sectPr w:rsidR="0092792E" w:rsidRPr="00445F77" w:rsidSect="00A256CB">
          <w:pgSz w:w="11907" w:h="16840" w:code="9"/>
          <w:pgMar w:top="1440" w:right="1418" w:bottom="1440" w:left="1701" w:header="720" w:footer="720" w:gutter="0"/>
          <w:cols w:space="720"/>
          <w:docGrid w:linePitch="360"/>
        </w:sectPr>
      </w:pPr>
    </w:p>
    <w:p w:rsidR="00351F2C" w:rsidRPr="001358CE" w:rsidRDefault="00351F2C" w:rsidP="0020363F">
      <w:pPr>
        <w:spacing w:after="0"/>
        <w:jc w:val="center"/>
        <w:rPr>
          <w:rFonts w:ascii="Book Antiqua" w:hAnsi="Book Antiqua" w:cs="Arial"/>
          <w:b/>
          <w:lang w:val="en-US"/>
        </w:rPr>
      </w:pPr>
      <w:r w:rsidRPr="001358CE">
        <w:rPr>
          <w:rFonts w:ascii="Book Antiqua" w:hAnsi="Book Antiqua" w:cs="Arial"/>
          <w:b/>
          <w:lang w:val="en-US"/>
        </w:rPr>
        <w:lastRenderedPageBreak/>
        <w:t>Table 6.2: Strengths and weaknesses of payments to different types of recipients</w:t>
      </w:r>
    </w:p>
    <w:tbl>
      <w:tblPr>
        <w:tblW w:w="15414" w:type="dxa"/>
        <w:tblInd w:w="-612" w:type="dxa"/>
        <w:tblBorders>
          <w:top w:val="single" w:sz="18" w:space="0" w:color="FFFFFF"/>
          <w:left w:val="single" w:sz="18" w:space="0" w:color="FFFFFF"/>
          <w:bottom w:val="single" w:sz="18" w:space="0" w:color="FFFFFF"/>
          <w:right w:val="single" w:sz="18" w:space="0" w:color="FFFFFF"/>
        </w:tblBorders>
        <w:tblLook w:val="01E0"/>
      </w:tblPr>
      <w:tblGrid>
        <w:gridCol w:w="1620"/>
        <w:gridCol w:w="2700"/>
        <w:gridCol w:w="3600"/>
        <w:gridCol w:w="4140"/>
        <w:gridCol w:w="3354"/>
      </w:tblGrid>
      <w:tr w:rsidR="00351F2C" w:rsidRPr="00445F77">
        <w:trPr>
          <w:trHeight w:val="306"/>
        </w:trPr>
        <w:tc>
          <w:tcPr>
            <w:tcW w:w="1620" w:type="dxa"/>
            <w:tcBorders>
              <w:top w:val="single" w:sz="4" w:space="0" w:color="FFFFFF"/>
              <w:left w:val="single" w:sz="4" w:space="0" w:color="FFFFFF"/>
              <w:bottom w:val="single" w:sz="4" w:space="0" w:color="FFFFFF"/>
              <w:right w:val="single" w:sz="4" w:space="0" w:color="FFFFFF"/>
            </w:tcBorders>
            <w:shd w:val="clear" w:color="auto" w:fill="95B3D7"/>
          </w:tcPr>
          <w:p w:rsidR="00351F2C" w:rsidRPr="001358CE" w:rsidRDefault="00351F2C" w:rsidP="001358CE">
            <w:pPr>
              <w:tabs>
                <w:tab w:val="left" w:pos="0"/>
              </w:tabs>
              <w:spacing w:after="0"/>
              <w:rPr>
                <w:rFonts w:ascii="Book Antiqua" w:hAnsi="Book Antiqua" w:cs="Arial"/>
                <w:b/>
                <w:bCs/>
                <w:lang w:val="en-US"/>
              </w:rPr>
            </w:pPr>
            <w:r w:rsidRPr="001358CE">
              <w:rPr>
                <w:rFonts w:ascii="Book Antiqua" w:hAnsi="Book Antiqua" w:cs="Arial"/>
                <w:b/>
                <w:bCs/>
                <w:lang w:val="en-US"/>
              </w:rPr>
              <w:t>Type of recipients</w:t>
            </w:r>
          </w:p>
        </w:tc>
        <w:tc>
          <w:tcPr>
            <w:tcW w:w="2700" w:type="dxa"/>
            <w:tcBorders>
              <w:top w:val="single" w:sz="4" w:space="0" w:color="FFFFFF"/>
              <w:left w:val="single" w:sz="4" w:space="0" w:color="FFFFFF"/>
              <w:bottom w:val="single" w:sz="4" w:space="0" w:color="FFFFFF"/>
              <w:right w:val="single" w:sz="4" w:space="0" w:color="FFFFFF"/>
            </w:tcBorders>
            <w:shd w:val="clear" w:color="auto" w:fill="95B3D7"/>
          </w:tcPr>
          <w:p w:rsidR="00351F2C" w:rsidRPr="001358CE" w:rsidRDefault="00351F2C" w:rsidP="001358CE">
            <w:pPr>
              <w:tabs>
                <w:tab w:val="left" w:pos="0"/>
              </w:tabs>
              <w:spacing w:after="0"/>
              <w:jc w:val="center"/>
              <w:rPr>
                <w:rFonts w:ascii="Book Antiqua" w:hAnsi="Book Antiqua" w:cs="Arial"/>
                <w:b/>
                <w:bCs/>
                <w:lang w:val="en-US"/>
              </w:rPr>
            </w:pPr>
            <w:r w:rsidRPr="001358CE">
              <w:rPr>
                <w:rFonts w:ascii="Book Antiqua" w:hAnsi="Book Antiqua" w:cs="Arial"/>
                <w:b/>
                <w:bCs/>
                <w:lang w:val="en-US"/>
              </w:rPr>
              <w:t>Locations</w:t>
            </w:r>
          </w:p>
        </w:tc>
        <w:tc>
          <w:tcPr>
            <w:tcW w:w="3600" w:type="dxa"/>
            <w:tcBorders>
              <w:top w:val="single" w:sz="4" w:space="0" w:color="FFFFFF"/>
              <w:left w:val="single" w:sz="4" w:space="0" w:color="FFFFFF"/>
              <w:bottom w:val="single" w:sz="4" w:space="0" w:color="FFFFFF"/>
              <w:right w:val="single" w:sz="4" w:space="0" w:color="FFFFFF"/>
            </w:tcBorders>
            <w:shd w:val="clear" w:color="auto" w:fill="95B3D7"/>
          </w:tcPr>
          <w:p w:rsidR="00351F2C" w:rsidRPr="001358CE" w:rsidRDefault="00351F2C" w:rsidP="001358CE">
            <w:pPr>
              <w:tabs>
                <w:tab w:val="left" w:pos="0"/>
              </w:tabs>
              <w:spacing w:after="0"/>
              <w:jc w:val="center"/>
              <w:rPr>
                <w:rFonts w:ascii="Book Antiqua" w:hAnsi="Book Antiqua" w:cs="Arial"/>
                <w:b/>
                <w:bCs/>
                <w:lang w:val="en-US"/>
              </w:rPr>
            </w:pPr>
            <w:r w:rsidRPr="001358CE">
              <w:rPr>
                <w:rFonts w:ascii="Book Antiqua" w:hAnsi="Book Antiqua" w:cs="Arial"/>
                <w:b/>
                <w:bCs/>
                <w:lang w:val="en-US"/>
              </w:rPr>
              <w:t>Strength</w:t>
            </w:r>
          </w:p>
        </w:tc>
        <w:tc>
          <w:tcPr>
            <w:tcW w:w="4140" w:type="dxa"/>
            <w:tcBorders>
              <w:top w:val="single" w:sz="4" w:space="0" w:color="FFFFFF"/>
              <w:left w:val="single" w:sz="4" w:space="0" w:color="FFFFFF"/>
              <w:bottom w:val="single" w:sz="4" w:space="0" w:color="FFFFFF"/>
              <w:right w:val="single" w:sz="4" w:space="0" w:color="FFFFFF"/>
            </w:tcBorders>
            <w:shd w:val="clear" w:color="auto" w:fill="95B3D7"/>
          </w:tcPr>
          <w:p w:rsidR="00351F2C" w:rsidRPr="001358CE" w:rsidRDefault="00351F2C" w:rsidP="001358CE">
            <w:pPr>
              <w:tabs>
                <w:tab w:val="left" w:pos="0"/>
              </w:tabs>
              <w:spacing w:after="0"/>
              <w:jc w:val="center"/>
              <w:rPr>
                <w:rFonts w:ascii="Book Antiqua" w:hAnsi="Book Antiqua" w:cs="Arial"/>
                <w:b/>
                <w:bCs/>
                <w:lang w:val="en-US"/>
              </w:rPr>
            </w:pPr>
            <w:r w:rsidRPr="001358CE">
              <w:rPr>
                <w:rFonts w:ascii="Book Antiqua" w:hAnsi="Book Antiqua" w:cs="Arial"/>
                <w:b/>
                <w:bCs/>
                <w:lang w:val="en-US"/>
              </w:rPr>
              <w:t>Weakness</w:t>
            </w:r>
          </w:p>
        </w:tc>
        <w:tc>
          <w:tcPr>
            <w:tcW w:w="3354" w:type="dxa"/>
            <w:tcBorders>
              <w:top w:val="single" w:sz="4" w:space="0" w:color="FFFFFF"/>
              <w:left w:val="single" w:sz="4" w:space="0" w:color="FFFFFF"/>
              <w:bottom w:val="single" w:sz="4" w:space="0" w:color="FFFFFF"/>
              <w:right w:val="single" w:sz="4" w:space="0" w:color="FFFFFF"/>
            </w:tcBorders>
            <w:shd w:val="clear" w:color="auto" w:fill="95B3D7"/>
          </w:tcPr>
          <w:p w:rsidR="00351F2C" w:rsidRPr="001358CE" w:rsidRDefault="00351F2C" w:rsidP="001358CE">
            <w:pPr>
              <w:tabs>
                <w:tab w:val="left" w:pos="0"/>
              </w:tabs>
              <w:spacing w:after="0"/>
              <w:jc w:val="center"/>
              <w:rPr>
                <w:rFonts w:ascii="Book Antiqua" w:hAnsi="Book Antiqua" w:cs="Arial"/>
                <w:b/>
                <w:bCs/>
                <w:lang w:val="en-US"/>
              </w:rPr>
            </w:pPr>
            <w:r w:rsidRPr="001358CE">
              <w:rPr>
                <w:rFonts w:ascii="Book Antiqua" w:hAnsi="Book Antiqua" w:cs="Arial"/>
                <w:b/>
                <w:bCs/>
                <w:lang w:val="en-US"/>
              </w:rPr>
              <w:t>Needs for further actions</w:t>
            </w:r>
          </w:p>
        </w:tc>
      </w:tr>
      <w:tr w:rsidR="00351F2C" w:rsidRPr="00445F77">
        <w:tc>
          <w:tcPr>
            <w:tcW w:w="1620" w:type="dxa"/>
            <w:tcBorders>
              <w:top w:val="single" w:sz="4" w:space="0" w:color="FFFFFF"/>
              <w:left w:val="single" w:sz="4" w:space="0" w:color="FFFFFF"/>
              <w:bottom w:val="single" w:sz="4" w:space="0" w:color="FFFFFF"/>
              <w:right w:val="single" w:sz="4" w:space="0" w:color="FFFFFF"/>
            </w:tcBorders>
            <w:shd w:val="clear" w:color="auto" w:fill="95B3D7"/>
          </w:tcPr>
          <w:p w:rsidR="00351F2C" w:rsidRPr="001358CE" w:rsidRDefault="00351F2C" w:rsidP="004D47BB">
            <w:pPr>
              <w:tabs>
                <w:tab w:val="left" w:pos="0"/>
              </w:tabs>
              <w:jc w:val="both"/>
              <w:rPr>
                <w:rFonts w:ascii="Book Antiqua" w:hAnsi="Book Antiqua" w:cs="Arial"/>
                <w:b/>
                <w:bCs/>
                <w:sz w:val="20"/>
                <w:szCs w:val="20"/>
                <w:lang w:val="en-US"/>
              </w:rPr>
            </w:pPr>
            <w:r w:rsidRPr="001358CE">
              <w:rPr>
                <w:rFonts w:ascii="Book Antiqua" w:hAnsi="Book Antiqua" w:cs="Arial"/>
                <w:b/>
                <w:bCs/>
                <w:sz w:val="20"/>
                <w:szCs w:val="20"/>
                <w:lang w:val="en-US"/>
              </w:rPr>
              <w:t xml:space="preserve">Individual households </w:t>
            </w:r>
          </w:p>
        </w:tc>
        <w:tc>
          <w:tcPr>
            <w:tcW w:w="2700" w:type="dxa"/>
            <w:tcBorders>
              <w:top w:val="single" w:sz="4" w:space="0" w:color="FFFFFF"/>
              <w:left w:val="single" w:sz="4" w:space="0" w:color="FFFFFF"/>
              <w:bottom w:val="single" w:sz="4" w:space="0" w:color="FFFFFF"/>
              <w:right w:val="single" w:sz="4" w:space="0" w:color="FFFFFF"/>
            </w:tcBorders>
            <w:shd w:val="clear" w:color="auto" w:fill="DBE5F1"/>
          </w:tcPr>
          <w:p w:rsidR="00351F2C" w:rsidRPr="001358CE" w:rsidRDefault="00351F2C" w:rsidP="003E3CBA">
            <w:pPr>
              <w:numPr>
                <w:ilvl w:val="0"/>
                <w:numId w:val="29"/>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The area experienced household-based forest protection contract</w:t>
            </w:r>
          </w:p>
          <w:p w:rsidR="00351F2C" w:rsidRPr="001358CE" w:rsidRDefault="00351F2C" w:rsidP="003E3CBA">
            <w:pPr>
              <w:numPr>
                <w:ilvl w:val="0"/>
                <w:numId w:val="29"/>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 xml:space="preserve">The area where </w:t>
            </w:r>
            <w:smartTag w:uri="urn:schemas-microsoft-com:office:smarttags" w:element="State">
              <w:smartTag w:uri="urn:schemas-microsoft-com:office:smarttags" w:element="place">
                <w:r w:rsidRPr="001358CE">
                  <w:rPr>
                    <w:rFonts w:ascii="Book Antiqua" w:hAnsi="Book Antiqua" w:cs="Arial"/>
                    <w:sz w:val="20"/>
                    <w:szCs w:val="20"/>
                    <w:lang w:val="en-US"/>
                  </w:rPr>
                  <w:t>FLA</w:t>
                </w:r>
              </w:smartTag>
            </w:smartTag>
            <w:r w:rsidRPr="001358CE">
              <w:rPr>
                <w:rFonts w:ascii="Book Antiqua" w:hAnsi="Book Antiqua" w:cs="Arial"/>
                <w:sz w:val="20"/>
                <w:szCs w:val="20"/>
                <w:lang w:val="en-US"/>
              </w:rPr>
              <w:t xml:space="preserve"> has been implemented and households received land titles  </w:t>
            </w:r>
          </w:p>
          <w:p w:rsidR="00351F2C" w:rsidRPr="001358CE" w:rsidRDefault="00351F2C" w:rsidP="004D47BB">
            <w:pPr>
              <w:tabs>
                <w:tab w:val="left" w:pos="0"/>
              </w:tabs>
              <w:jc w:val="both"/>
              <w:rPr>
                <w:rFonts w:ascii="Book Antiqua" w:hAnsi="Book Antiqua" w:cs="Arial"/>
                <w:sz w:val="20"/>
                <w:szCs w:val="20"/>
                <w:lang w:val="en-US"/>
              </w:rPr>
            </w:pPr>
          </w:p>
        </w:tc>
        <w:tc>
          <w:tcPr>
            <w:tcW w:w="3600" w:type="dxa"/>
            <w:tcBorders>
              <w:top w:val="single" w:sz="4" w:space="0" w:color="FFFFFF"/>
              <w:left w:val="single" w:sz="4" w:space="0" w:color="FFFFFF"/>
              <w:bottom w:val="single" w:sz="4" w:space="0" w:color="FFFFFF"/>
              <w:right w:val="single" w:sz="4" w:space="0" w:color="FFFFFF"/>
            </w:tcBorders>
            <w:shd w:val="clear" w:color="auto" w:fill="DBE5F1"/>
          </w:tcPr>
          <w:p w:rsidR="00351F2C" w:rsidRPr="001358CE" w:rsidRDefault="00351F2C" w:rsidP="003E3CBA">
            <w:pPr>
              <w:numPr>
                <w:ilvl w:val="0"/>
                <w:numId w:val="29"/>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 xml:space="preserve">Easy to implement the distribution of benefits </w:t>
            </w:r>
          </w:p>
          <w:p w:rsidR="00351F2C" w:rsidRPr="001358CE" w:rsidRDefault="00351F2C" w:rsidP="003E3CBA">
            <w:pPr>
              <w:numPr>
                <w:ilvl w:val="0"/>
                <w:numId w:val="29"/>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Strong incentive for entrepreneurial households to protect forest in order to derive higher income</w:t>
            </w:r>
          </w:p>
          <w:p w:rsidR="00351F2C" w:rsidRPr="001358CE" w:rsidRDefault="00351F2C" w:rsidP="003E3CBA">
            <w:pPr>
              <w:numPr>
                <w:ilvl w:val="0"/>
                <w:numId w:val="29"/>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Easy to bind ES buyers and sellers under a legal contract</w:t>
            </w:r>
          </w:p>
        </w:tc>
        <w:tc>
          <w:tcPr>
            <w:tcW w:w="4140" w:type="dxa"/>
            <w:tcBorders>
              <w:top w:val="single" w:sz="4" w:space="0" w:color="FFFFFF"/>
              <w:left w:val="single" w:sz="4" w:space="0" w:color="FFFFFF"/>
              <w:bottom w:val="single" w:sz="4" w:space="0" w:color="FFFFFF"/>
              <w:right w:val="single" w:sz="4" w:space="0" w:color="FFFFFF"/>
            </w:tcBorders>
            <w:shd w:val="clear" w:color="auto" w:fill="DBE5F1"/>
          </w:tcPr>
          <w:p w:rsidR="00351F2C" w:rsidRPr="001358CE" w:rsidRDefault="00351F2C" w:rsidP="003E3CBA">
            <w:pPr>
              <w:numPr>
                <w:ilvl w:val="0"/>
                <w:numId w:val="29"/>
              </w:numPr>
              <w:tabs>
                <w:tab w:val="clear" w:pos="360"/>
              </w:tabs>
              <w:spacing w:after="0" w:line="240" w:lineRule="auto"/>
              <w:ind w:left="132" w:hanging="120"/>
              <w:jc w:val="both"/>
              <w:rPr>
                <w:rFonts w:ascii="Book Antiqua" w:hAnsi="Book Antiqua" w:cs="Arial"/>
                <w:sz w:val="20"/>
                <w:szCs w:val="20"/>
                <w:lang w:val="en-US"/>
              </w:rPr>
            </w:pPr>
            <w:r w:rsidRPr="001358CE">
              <w:rPr>
                <w:rFonts w:ascii="Book Antiqua" w:hAnsi="Book Antiqua" w:cs="Arial"/>
                <w:sz w:val="20"/>
                <w:szCs w:val="20"/>
                <w:lang w:val="en-US"/>
              </w:rPr>
              <w:t>High transaction costs owing to a large number of households</w:t>
            </w:r>
          </w:p>
          <w:p w:rsidR="00351F2C" w:rsidRPr="001358CE" w:rsidRDefault="00351F2C" w:rsidP="003E3CBA">
            <w:pPr>
              <w:numPr>
                <w:ilvl w:val="0"/>
                <w:numId w:val="29"/>
              </w:numPr>
              <w:tabs>
                <w:tab w:val="clear" w:pos="360"/>
              </w:tabs>
              <w:spacing w:after="0" w:line="240" w:lineRule="auto"/>
              <w:ind w:left="132" w:hanging="120"/>
              <w:jc w:val="both"/>
              <w:rPr>
                <w:rFonts w:ascii="Book Antiqua" w:hAnsi="Book Antiqua" w:cs="Arial"/>
                <w:sz w:val="20"/>
                <w:szCs w:val="20"/>
                <w:lang w:val="en-US"/>
              </w:rPr>
            </w:pPr>
            <w:r w:rsidRPr="001358CE">
              <w:rPr>
                <w:rFonts w:ascii="Book Antiqua" w:hAnsi="Book Antiqua" w:cs="Arial"/>
                <w:sz w:val="20"/>
                <w:szCs w:val="20"/>
                <w:lang w:val="en-US"/>
              </w:rPr>
              <w:t xml:space="preserve">Risk of technical error triggered by the past modalities (e.g. land allocation does not match land use practices) if the new model is inherit database from the past. </w:t>
            </w:r>
          </w:p>
          <w:p w:rsidR="00351F2C" w:rsidRPr="001358CE" w:rsidRDefault="00351F2C" w:rsidP="003E3CBA">
            <w:pPr>
              <w:numPr>
                <w:ilvl w:val="0"/>
                <w:numId w:val="29"/>
              </w:numPr>
              <w:tabs>
                <w:tab w:val="clear" w:pos="360"/>
              </w:tabs>
              <w:spacing w:after="0" w:line="240" w:lineRule="auto"/>
              <w:ind w:left="132" w:hanging="120"/>
              <w:jc w:val="both"/>
              <w:rPr>
                <w:rFonts w:ascii="Book Antiqua" w:hAnsi="Book Antiqua" w:cs="Arial"/>
                <w:sz w:val="20"/>
                <w:szCs w:val="20"/>
                <w:lang w:val="en-US"/>
              </w:rPr>
            </w:pPr>
            <w:smartTag w:uri="urn:schemas-microsoft-com:office:smarttags" w:element="place">
              <w:r w:rsidRPr="001358CE">
                <w:rPr>
                  <w:rFonts w:ascii="Book Antiqua" w:hAnsi="Book Antiqua" w:cs="Arial"/>
                  <w:sz w:val="20"/>
                  <w:szCs w:val="20"/>
                  <w:lang w:val="en-US"/>
                </w:rPr>
                <w:t>Opportunity</w:t>
              </w:r>
            </w:smartTag>
            <w:r w:rsidRPr="001358CE">
              <w:rPr>
                <w:rFonts w:ascii="Book Antiqua" w:hAnsi="Book Antiqua" w:cs="Arial"/>
                <w:sz w:val="20"/>
                <w:szCs w:val="20"/>
                <w:lang w:val="en-US"/>
              </w:rPr>
              <w:t xml:space="preserve"> for elite capture </w:t>
            </w:r>
          </w:p>
          <w:p w:rsidR="00351F2C" w:rsidRPr="001358CE" w:rsidRDefault="00351F2C" w:rsidP="003E3CBA">
            <w:pPr>
              <w:numPr>
                <w:ilvl w:val="0"/>
                <w:numId w:val="29"/>
              </w:numPr>
              <w:tabs>
                <w:tab w:val="clear" w:pos="360"/>
              </w:tabs>
              <w:spacing w:after="0" w:line="240" w:lineRule="auto"/>
              <w:ind w:left="132" w:hanging="120"/>
              <w:jc w:val="both"/>
              <w:rPr>
                <w:rFonts w:ascii="Book Antiqua" w:hAnsi="Book Antiqua" w:cs="Arial"/>
                <w:sz w:val="20"/>
                <w:szCs w:val="20"/>
                <w:lang w:val="en-US"/>
              </w:rPr>
            </w:pPr>
            <w:r w:rsidRPr="001358CE">
              <w:rPr>
                <w:rFonts w:ascii="Book Antiqua" w:hAnsi="Book Antiqua" w:cs="Arial"/>
                <w:sz w:val="20"/>
                <w:szCs w:val="20"/>
                <w:lang w:val="en-US"/>
              </w:rPr>
              <w:t>Implementation of payment can produce tensions between households with and without forest and among the households delivering the same forest with different quality</w:t>
            </w:r>
          </w:p>
        </w:tc>
        <w:tc>
          <w:tcPr>
            <w:tcW w:w="3354" w:type="dxa"/>
            <w:tcBorders>
              <w:top w:val="single" w:sz="4" w:space="0" w:color="FFFFFF"/>
              <w:left w:val="single" w:sz="4" w:space="0" w:color="FFFFFF"/>
              <w:bottom w:val="single" w:sz="4" w:space="0" w:color="FFFFFF"/>
              <w:right w:val="single" w:sz="4" w:space="0" w:color="FFFFFF"/>
            </w:tcBorders>
            <w:shd w:val="clear" w:color="auto" w:fill="DBE5F1"/>
          </w:tcPr>
          <w:p w:rsidR="00351F2C" w:rsidRPr="001358CE" w:rsidRDefault="00351F2C" w:rsidP="003E3CBA">
            <w:pPr>
              <w:numPr>
                <w:ilvl w:val="0"/>
                <w:numId w:val="29"/>
              </w:numPr>
              <w:tabs>
                <w:tab w:val="clear" w:pos="360"/>
              </w:tabs>
              <w:spacing w:after="0" w:line="240" w:lineRule="auto"/>
              <w:ind w:left="132" w:hanging="120"/>
              <w:jc w:val="both"/>
              <w:rPr>
                <w:rFonts w:ascii="Book Antiqua" w:hAnsi="Book Antiqua" w:cs="Arial"/>
                <w:sz w:val="20"/>
                <w:szCs w:val="20"/>
                <w:lang w:val="en-US"/>
              </w:rPr>
            </w:pPr>
            <w:r w:rsidRPr="001358CE">
              <w:rPr>
                <w:rFonts w:ascii="Book Antiqua" w:hAnsi="Book Antiqua" w:cs="Arial"/>
                <w:sz w:val="20"/>
                <w:szCs w:val="20"/>
                <w:lang w:val="en-US"/>
              </w:rPr>
              <w:t>Examining of existing land tenure situation</w:t>
            </w:r>
          </w:p>
          <w:p w:rsidR="00351F2C" w:rsidRPr="001358CE" w:rsidRDefault="00351F2C" w:rsidP="003E3CBA">
            <w:pPr>
              <w:numPr>
                <w:ilvl w:val="0"/>
                <w:numId w:val="29"/>
              </w:numPr>
              <w:tabs>
                <w:tab w:val="clear" w:pos="360"/>
              </w:tabs>
              <w:spacing w:after="0" w:line="240" w:lineRule="auto"/>
              <w:ind w:left="132" w:hanging="120"/>
              <w:jc w:val="both"/>
              <w:rPr>
                <w:rFonts w:ascii="Book Antiqua" w:hAnsi="Book Antiqua" w:cs="Arial"/>
                <w:sz w:val="20"/>
                <w:szCs w:val="20"/>
                <w:lang w:val="en-US"/>
              </w:rPr>
            </w:pPr>
            <w:r w:rsidRPr="001358CE">
              <w:rPr>
                <w:rFonts w:ascii="Book Antiqua" w:hAnsi="Book Antiqua" w:cs="Arial"/>
                <w:sz w:val="20"/>
                <w:szCs w:val="20"/>
                <w:lang w:val="en-US"/>
              </w:rPr>
              <w:t xml:space="preserve">Checks and balance system in place to prevent the elite capture </w:t>
            </w:r>
          </w:p>
          <w:p w:rsidR="00351F2C" w:rsidRPr="001358CE" w:rsidRDefault="00351F2C" w:rsidP="003E3CBA">
            <w:pPr>
              <w:numPr>
                <w:ilvl w:val="0"/>
                <w:numId w:val="29"/>
              </w:numPr>
              <w:tabs>
                <w:tab w:val="clear" w:pos="360"/>
              </w:tabs>
              <w:spacing w:after="0" w:line="240" w:lineRule="auto"/>
              <w:ind w:left="132" w:hanging="120"/>
              <w:jc w:val="both"/>
              <w:rPr>
                <w:rFonts w:ascii="Book Antiqua" w:hAnsi="Book Antiqua" w:cs="Arial"/>
                <w:sz w:val="20"/>
                <w:szCs w:val="20"/>
                <w:lang w:val="en-US"/>
              </w:rPr>
            </w:pPr>
            <w:r w:rsidRPr="001358CE">
              <w:rPr>
                <w:rFonts w:ascii="Book Antiqua" w:hAnsi="Book Antiqua" w:cs="Arial"/>
                <w:sz w:val="20"/>
                <w:szCs w:val="20"/>
                <w:lang w:val="en-US"/>
              </w:rPr>
              <w:t xml:space="preserve">System of transparency for the marginalized to voice out.  </w:t>
            </w:r>
          </w:p>
          <w:p w:rsidR="00351F2C" w:rsidRPr="001358CE" w:rsidRDefault="00351F2C" w:rsidP="003E3CBA">
            <w:pPr>
              <w:numPr>
                <w:ilvl w:val="0"/>
                <w:numId w:val="29"/>
              </w:numPr>
              <w:tabs>
                <w:tab w:val="clear" w:pos="360"/>
              </w:tabs>
              <w:spacing w:after="0" w:line="240" w:lineRule="auto"/>
              <w:ind w:left="132" w:hanging="120"/>
              <w:jc w:val="both"/>
              <w:rPr>
                <w:rFonts w:ascii="Book Antiqua" w:hAnsi="Book Antiqua" w:cs="Arial"/>
                <w:sz w:val="20"/>
                <w:szCs w:val="20"/>
                <w:lang w:val="en-US"/>
              </w:rPr>
            </w:pPr>
            <w:r w:rsidRPr="001358CE">
              <w:rPr>
                <w:rFonts w:ascii="Book Antiqua" w:hAnsi="Book Antiqua" w:cs="Arial"/>
                <w:sz w:val="20"/>
                <w:szCs w:val="20"/>
                <w:lang w:val="en-US"/>
              </w:rPr>
              <w:t xml:space="preserve">Pro-poor policy implementation to include the marginalized </w:t>
            </w:r>
          </w:p>
        </w:tc>
      </w:tr>
      <w:tr w:rsidR="00351F2C" w:rsidRPr="00445F77">
        <w:tc>
          <w:tcPr>
            <w:tcW w:w="1620" w:type="dxa"/>
            <w:tcBorders>
              <w:top w:val="single" w:sz="4" w:space="0" w:color="FFFFFF"/>
              <w:left w:val="single" w:sz="4" w:space="0" w:color="FFFFFF"/>
              <w:bottom w:val="single" w:sz="4" w:space="0" w:color="FFFFFF"/>
              <w:right w:val="single" w:sz="4" w:space="0" w:color="FFFFFF"/>
            </w:tcBorders>
            <w:shd w:val="clear" w:color="auto" w:fill="95B3D7"/>
          </w:tcPr>
          <w:p w:rsidR="00351F2C" w:rsidRPr="001358CE" w:rsidRDefault="00351F2C" w:rsidP="004D47BB">
            <w:pPr>
              <w:tabs>
                <w:tab w:val="left" w:pos="0"/>
              </w:tabs>
              <w:jc w:val="both"/>
              <w:rPr>
                <w:rFonts w:ascii="Book Antiqua" w:hAnsi="Book Antiqua" w:cs="Arial"/>
                <w:b/>
                <w:bCs/>
                <w:sz w:val="20"/>
                <w:szCs w:val="20"/>
                <w:lang w:val="en-US"/>
              </w:rPr>
            </w:pPr>
            <w:r w:rsidRPr="001358CE">
              <w:rPr>
                <w:rFonts w:ascii="Book Antiqua" w:hAnsi="Book Antiqua" w:cs="Arial"/>
                <w:b/>
                <w:bCs/>
                <w:sz w:val="20"/>
                <w:szCs w:val="20"/>
                <w:lang w:val="en-US"/>
              </w:rPr>
              <w:t xml:space="preserve">Household groups/ communities </w:t>
            </w:r>
          </w:p>
        </w:tc>
        <w:tc>
          <w:tcPr>
            <w:tcW w:w="2700" w:type="dxa"/>
            <w:tcBorders>
              <w:top w:val="single" w:sz="4" w:space="0" w:color="FFFFFF"/>
              <w:left w:val="single" w:sz="4" w:space="0" w:color="FFFFFF"/>
              <w:bottom w:val="single" w:sz="4" w:space="0" w:color="FFFFFF"/>
              <w:right w:val="single" w:sz="4" w:space="0" w:color="FFFFFF"/>
            </w:tcBorders>
            <w:shd w:val="clear" w:color="auto" w:fill="DBE5F1"/>
          </w:tcPr>
          <w:p w:rsidR="00351F2C" w:rsidRPr="001358CE" w:rsidRDefault="00351F2C" w:rsidP="003E3CBA">
            <w:pPr>
              <w:numPr>
                <w:ilvl w:val="0"/>
                <w:numId w:val="30"/>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 xml:space="preserve">The area with communal type of resource use and management </w:t>
            </w:r>
          </w:p>
          <w:p w:rsidR="00351F2C" w:rsidRPr="001358CE" w:rsidRDefault="00351F2C" w:rsidP="003E3CBA">
            <w:pPr>
              <w:numPr>
                <w:ilvl w:val="0"/>
                <w:numId w:val="30"/>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 xml:space="preserve">The area with remote and/or poor forest thus no incentive for the households to protect </w:t>
            </w:r>
          </w:p>
        </w:tc>
        <w:tc>
          <w:tcPr>
            <w:tcW w:w="3600" w:type="dxa"/>
            <w:tcBorders>
              <w:top w:val="single" w:sz="4" w:space="0" w:color="FFFFFF"/>
              <w:left w:val="single" w:sz="4" w:space="0" w:color="FFFFFF"/>
              <w:bottom w:val="single" w:sz="4" w:space="0" w:color="FFFFFF"/>
              <w:right w:val="single" w:sz="4" w:space="0" w:color="FFFFFF"/>
            </w:tcBorders>
            <w:shd w:val="clear" w:color="auto" w:fill="DBE5F1"/>
          </w:tcPr>
          <w:p w:rsidR="00351F2C" w:rsidRPr="001358CE" w:rsidRDefault="00351F2C" w:rsidP="003E3CBA">
            <w:pPr>
              <w:numPr>
                <w:ilvl w:val="0"/>
                <w:numId w:val="30"/>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Lower transaction cost compared to household</w:t>
            </w:r>
          </w:p>
          <w:p w:rsidR="00351F2C" w:rsidRPr="001358CE" w:rsidRDefault="00351F2C" w:rsidP="003E3CBA">
            <w:pPr>
              <w:numPr>
                <w:ilvl w:val="0"/>
                <w:numId w:val="30"/>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Relatively equal access to payment among households in the same group/community</w:t>
            </w:r>
          </w:p>
          <w:p w:rsidR="00351F2C" w:rsidRPr="001358CE" w:rsidRDefault="00351F2C" w:rsidP="003E3CBA">
            <w:pPr>
              <w:numPr>
                <w:ilvl w:val="0"/>
                <w:numId w:val="30"/>
              </w:numPr>
              <w:tabs>
                <w:tab w:val="clear" w:pos="360"/>
              </w:tabs>
              <w:spacing w:after="0" w:line="240" w:lineRule="auto"/>
              <w:ind w:left="132" w:hanging="132"/>
              <w:jc w:val="both"/>
              <w:rPr>
                <w:rFonts w:ascii="Book Antiqua" w:hAnsi="Book Antiqua" w:cs="Arial"/>
                <w:sz w:val="20"/>
                <w:szCs w:val="20"/>
                <w:lang w:val="en-US"/>
              </w:rPr>
            </w:pPr>
            <w:smartTag w:uri="urn:schemas-microsoft-com:office:smarttags" w:element="place">
              <w:r w:rsidRPr="001358CE">
                <w:rPr>
                  <w:rFonts w:ascii="Book Antiqua" w:hAnsi="Book Antiqua" w:cs="Arial"/>
                  <w:sz w:val="20"/>
                  <w:szCs w:val="20"/>
                  <w:lang w:val="en-US"/>
                </w:rPr>
                <w:t>Opportunity</w:t>
              </w:r>
            </w:smartTag>
            <w:r w:rsidRPr="001358CE">
              <w:rPr>
                <w:rFonts w:ascii="Book Antiqua" w:hAnsi="Book Antiqua" w:cs="Arial"/>
                <w:sz w:val="20"/>
                <w:szCs w:val="20"/>
                <w:lang w:val="en-US"/>
              </w:rPr>
              <w:t xml:space="preserve"> for improve social cohesion and supportiveness among the households in the same group</w:t>
            </w:r>
          </w:p>
          <w:p w:rsidR="00351F2C" w:rsidRPr="001358CE" w:rsidRDefault="00351F2C" w:rsidP="003E3CBA">
            <w:pPr>
              <w:numPr>
                <w:ilvl w:val="0"/>
                <w:numId w:val="30"/>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Lower risk of elite capture</w:t>
            </w:r>
          </w:p>
          <w:p w:rsidR="00351F2C" w:rsidRPr="001358CE" w:rsidRDefault="00351F2C" w:rsidP="003E3CBA">
            <w:pPr>
              <w:numPr>
                <w:ilvl w:val="0"/>
                <w:numId w:val="30"/>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 xml:space="preserve">Marginalized households can be included in the group thus pro-poor </w:t>
            </w:r>
          </w:p>
        </w:tc>
        <w:tc>
          <w:tcPr>
            <w:tcW w:w="4140" w:type="dxa"/>
            <w:tcBorders>
              <w:top w:val="single" w:sz="4" w:space="0" w:color="FFFFFF"/>
              <w:left w:val="single" w:sz="4" w:space="0" w:color="FFFFFF"/>
              <w:bottom w:val="single" w:sz="4" w:space="0" w:color="FFFFFF"/>
              <w:right w:val="single" w:sz="4" w:space="0" w:color="FFFFFF"/>
            </w:tcBorders>
            <w:shd w:val="clear" w:color="auto" w:fill="DBE5F1"/>
          </w:tcPr>
          <w:p w:rsidR="00351F2C" w:rsidRPr="001358CE" w:rsidRDefault="00351F2C" w:rsidP="003E3CBA">
            <w:pPr>
              <w:numPr>
                <w:ilvl w:val="0"/>
                <w:numId w:val="30"/>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 xml:space="preserve">Low incentive for entrepreneurial household as effort by one entrepreneurial members does not necessarily leads to higher quality of ES   </w:t>
            </w:r>
          </w:p>
          <w:p w:rsidR="00351F2C" w:rsidRPr="001358CE" w:rsidRDefault="00351F2C" w:rsidP="003E3CBA">
            <w:pPr>
              <w:numPr>
                <w:ilvl w:val="0"/>
                <w:numId w:val="30"/>
              </w:numPr>
              <w:tabs>
                <w:tab w:val="clear" w:pos="360"/>
              </w:tabs>
              <w:spacing w:after="0" w:line="240" w:lineRule="auto"/>
              <w:ind w:left="132" w:hanging="132"/>
              <w:jc w:val="both"/>
              <w:rPr>
                <w:rFonts w:ascii="Book Antiqua" w:hAnsi="Book Antiqua" w:cs="Arial"/>
                <w:sz w:val="20"/>
                <w:szCs w:val="20"/>
                <w:lang w:val="en-US"/>
              </w:rPr>
            </w:pPr>
            <w:smartTag w:uri="urn:schemas-microsoft-com:office:smarttags" w:element="place">
              <w:r w:rsidRPr="001358CE">
                <w:rPr>
                  <w:rFonts w:ascii="Book Antiqua" w:hAnsi="Book Antiqua" w:cs="Arial"/>
                  <w:sz w:val="20"/>
                  <w:szCs w:val="20"/>
                  <w:lang w:val="en-US"/>
                </w:rPr>
                <w:t>Opportunity</w:t>
              </w:r>
            </w:smartTag>
            <w:r w:rsidRPr="001358CE">
              <w:rPr>
                <w:rFonts w:ascii="Book Antiqua" w:hAnsi="Book Antiqua" w:cs="Arial"/>
                <w:sz w:val="20"/>
                <w:szCs w:val="20"/>
                <w:lang w:val="en-US"/>
              </w:rPr>
              <w:t xml:space="preserve"> for free rider</w:t>
            </w:r>
          </w:p>
          <w:p w:rsidR="00351F2C" w:rsidRPr="001358CE" w:rsidRDefault="00351F2C" w:rsidP="003E3CBA">
            <w:pPr>
              <w:numPr>
                <w:ilvl w:val="0"/>
                <w:numId w:val="30"/>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ES buyers and sellers are loosely bind into a legal contract thus high risk of violation</w:t>
            </w:r>
          </w:p>
          <w:p w:rsidR="00351F2C" w:rsidRPr="001358CE" w:rsidRDefault="00351F2C" w:rsidP="003E3CBA">
            <w:pPr>
              <w:numPr>
                <w:ilvl w:val="0"/>
                <w:numId w:val="30"/>
              </w:numPr>
              <w:tabs>
                <w:tab w:val="clear" w:pos="36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 xml:space="preserve">Unequal distribution of benefits among different groups/communities with different ES. This may produce tensions among the groups </w:t>
            </w:r>
          </w:p>
        </w:tc>
        <w:tc>
          <w:tcPr>
            <w:tcW w:w="3354" w:type="dxa"/>
            <w:tcBorders>
              <w:top w:val="single" w:sz="4" w:space="0" w:color="FFFFFF"/>
              <w:left w:val="single" w:sz="4" w:space="0" w:color="FFFFFF"/>
              <w:bottom w:val="single" w:sz="4" w:space="0" w:color="FFFFFF"/>
              <w:right w:val="single" w:sz="4" w:space="0" w:color="FFFFFF"/>
            </w:tcBorders>
            <w:shd w:val="clear" w:color="auto" w:fill="DBE5F1"/>
          </w:tcPr>
          <w:p w:rsidR="00351F2C" w:rsidRPr="001358CE" w:rsidRDefault="00351F2C" w:rsidP="003E3CBA">
            <w:pPr>
              <w:numPr>
                <w:ilvl w:val="0"/>
                <w:numId w:val="30"/>
              </w:numPr>
              <w:tabs>
                <w:tab w:val="clear" w:pos="360"/>
                <w:tab w:val="left" w:pos="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Awareness raising campaigns on different kinds of ES, different functions of the ES (K factor)</w:t>
            </w:r>
          </w:p>
          <w:p w:rsidR="00351F2C" w:rsidRPr="001358CE" w:rsidRDefault="00351F2C" w:rsidP="003E3CBA">
            <w:pPr>
              <w:numPr>
                <w:ilvl w:val="0"/>
                <w:numId w:val="30"/>
              </w:numPr>
              <w:tabs>
                <w:tab w:val="clear" w:pos="360"/>
                <w:tab w:val="left" w:pos="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Creation of enabling policy framework and suitable implementation regulations</w:t>
            </w:r>
          </w:p>
          <w:p w:rsidR="00351F2C" w:rsidRPr="001358CE" w:rsidRDefault="00351F2C" w:rsidP="003E3CBA">
            <w:pPr>
              <w:numPr>
                <w:ilvl w:val="0"/>
                <w:numId w:val="30"/>
              </w:numPr>
              <w:tabs>
                <w:tab w:val="clear" w:pos="360"/>
                <w:tab w:val="left" w:pos="0"/>
              </w:tabs>
              <w:spacing w:after="0" w:line="240" w:lineRule="auto"/>
              <w:ind w:left="132" w:hanging="132"/>
              <w:jc w:val="both"/>
              <w:rPr>
                <w:rFonts w:ascii="Book Antiqua" w:hAnsi="Book Antiqua" w:cs="Arial"/>
                <w:sz w:val="20"/>
                <w:szCs w:val="20"/>
                <w:lang w:val="en-US"/>
              </w:rPr>
            </w:pPr>
            <w:r w:rsidRPr="001358CE">
              <w:rPr>
                <w:rFonts w:ascii="Book Antiqua" w:hAnsi="Book Antiqua" w:cs="Arial"/>
                <w:sz w:val="20"/>
                <w:szCs w:val="20"/>
                <w:lang w:val="en-US"/>
              </w:rPr>
              <w:t xml:space="preserve">Safeguard system set up at the village and commune for households to address complains and concerns particularly about free rider.  </w:t>
            </w:r>
          </w:p>
        </w:tc>
      </w:tr>
      <w:tr w:rsidR="00351F2C" w:rsidRPr="00445F77">
        <w:tc>
          <w:tcPr>
            <w:tcW w:w="1620" w:type="dxa"/>
            <w:tcBorders>
              <w:top w:val="single" w:sz="4" w:space="0" w:color="FFFFFF"/>
              <w:left w:val="single" w:sz="4" w:space="0" w:color="FFFFFF"/>
              <w:bottom w:val="single" w:sz="4" w:space="0" w:color="FFFFFF"/>
              <w:right w:val="single" w:sz="4" w:space="0" w:color="FFFFFF"/>
            </w:tcBorders>
            <w:shd w:val="clear" w:color="auto" w:fill="95B3D7"/>
          </w:tcPr>
          <w:p w:rsidR="00351F2C" w:rsidRPr="001358CE" w:rsidRDefault="003A6A8D" w:rsidP="004D47BB">
            <w:pPr>
              <w:tabs>
                <w:tab w:val="left" w:pos="0"/>
              </w:tabs>
              <w:jc w:val="both"/>
              <w:rPr>
                <w:rFonts w:ascii="Book Antiqua" w:hAnsi="Book Antiqua" w:cs="Arial"/>
                <w:b/>
                <w:bCs/>
                <w:sz w:val="20"/>
                <w:szCs w:val="20"/>
                <w:lang w:val="en-US"/>
              </w:rPr>
            </w:pPr>
            <w:r>
              <w:rPr>
                <w:rFonts w:ascii="Book Antiqua" w:hAnsi="Book Antiqua" w:cs="Arial"/>
                <w:b/>
                <w:bCs/>
                <w:sz w:val="20"/>
                <w:szCs w:val="20"/>
                <w:lang w:val="en-US"/>
              </w:rPr>
              <w:t>SOC</w:t>
            </w:r>
            <w:r w:rsidR="00351F2C" w:rsidRPr="001358CE">
              <w:rPr>
                <w:rFonts w:ascii="Book Antiqua" w:hAnsi="Book Antiqua" w:cs="Arial"/>
                <w:b/>
                <w:bCs/>
                <w:sz w:val="20"/>
                <w:szCs w:val="20"/>
                <w:lang w:val="en-US"/>
              </w:rPr>
              <w:t xml:space="preserve"> and PAMBs</w:t>
            </w:r>
          </w:p>
        </w:tc>
        <w:tc>
          <w:tcPr>
            <w:tcW w:w="2700" w:type="dxa"/>
            <w:tcBorders>
              <w:top w:val="single" w:sz="4" w:space="0" w:color="FFFFFF"/>
              <w:left w:val="single" w:sz="4" w:space="0" w:color="FFFFFF"/>
              <w:bottom w:val="single" w:sz="4" w:space="0" w:color="FFFFFF"/>
              <w:right w:val="single" w:sz="4" w:space="0" w:color="FFFFFF"/>
            </w:tcBorders>
            <w:shd w:val="clear" w:color="auto" w:fill="DBE5F1"/>
          </w:tcPr>
          <w:p w:rsidR="00351F2C" w:rsidRPr="001358CE" w:rsidRDefault="00351F2C" w:rsidP="004D47BB">
            <w:pPr>
              <w:tabs>
                <w:tab w:val="left" w:pos="0"/>
              </w:tabs>
              <w:jc w:val="both"/>
              <w:rPr>
                <w:rFonts w:ascii="Book Antiqua" w:hAnsi="Book Antiqua" w:cs="Arial"/>
                <w:sz w:val="20"/>
                <w:szCs w:val="20"/>
                <w:lang w:val="en-US"/>
              </w:rPr>
            </w:pPr>
            <w:r w:rsidRPr="001358CE">
              <w:rPr>
                <w:rFonts w:ascii="Book Antiqua" w:hAnsi="Book Antiqua" w:cs="Arial"/>
                <w:sz w:val="20"/>
                <w:szCs w:val="20"/>
                <w:lang w:val="en-US"/>
              </w:rPr>
              <w:t>The area with high quality forest (natural protected and/or special use forest)</w:t>
            </w:r>
          </w:p>
          <w:p w:rsidR="00351F2C" w:rsidRPr="001358CE" w:rsidRDefault="00351F2C" w:rsidP="004D47BB">
            <w:pPr>
              <w:tabs>
                <w:tab w:val="left" w:pos="0"/>
              </w:tabs>
              <w:jc w:val="both"/>
              <w:rPr>
                <w:rFonts w:ascii="Book Antiqua" w:hAnsi="Book Antiqua" w:cs="Arial"/>
                <w:sz w:val="20"/>
                <w:szCs w:val="20"/>
                <w:lang w:val="en-US"/>
              </w:rPr>
            </w:pPr>
          </w:p>
        </w:tc>
        <w:tc>
          <w:tcPr>
            <w:tcW w:w="3600" w:type="dxa"/>
            <w:tcBorders>
              <w:top w:val="single" w:sz="4" w:space="0" w:color="FFFFFF"/>
              <w:left w:val="single" w:sz="4" w:space="0" w:color="FFFFFF"/>
              <w:bottom w:val="single" w:sz="4" w:space="0" w:color="FFFFFF"/>
              <w:right w:val="single" w:sz="4" w:space="0" w:color="FFFFFF"/>
            </w:tcBorders>
            <w:shd w:val="clear" w:color="auto" w:fill="DBE5F1"/>
          </w:tcPr>
          <w:p w:rsidR="00351F2C" w:rsidRPr="001358CE" w:rsidRDefault="00351F2C" w:rsidP="003E3CBA">
            <w:pPr>
              <w:numPr>
                <w:ilvl w:val="0"/>
                <w:numId w:val="31"/>
              </w:numPr>
              <w:tabs>
                <w:tab w:val="clear" w:pos="360"/>
              </w:tabs>
              <w:spacing w:after="0" w:line="240" w:lineRule="auto"/>
              <w:ind w:left="199" w:hanging="199"/>
              <w:jc w:val="both"/>
              <w:rPr>
                <w:rFonts w:ascii="Book Antiqua" w:hAnsi="Book Antiqua" w:cs="Arial"/>
                <w:sz w:val="20"/>
                <w:szCs w:val="20"/>
                <w:lang w:val="en-US"/>
              </w:rPr>
            </w:pPr>
            <w:r w:rsidRPr="001358CE">
              <w:rPr>
                <w:rFonts w:ascii="Book Antiqua" w:hAnsi="Book Antiqua" w:cs="Arial"/>
                <w:sz w:val="20"/>
                <w:szCs w:val="20"/>
                <w:lang w:val="en-US"/>
              </w:rPr>
              <w:t>Very low transaction costs</w:t>
            </w:r>
          </w:p>
          <w:p w:rsidR="00351F2C" w:rsidRPr="001358CE" w:rsidRDefault="00351F2C" w:rsidP="004D47BB">
            <w:pPr>
              <w:tabs>
                <w:tab w:val="left" w:pos="0"/>
              </w:tabs>
              <w:jc w:val="both"/>
              <w:rPr>
                <w:rFonts w:ascii="Book Antiqua" w:hAnsi="Book Antiqua" w:cs="Arial"/>
                <w:sz w:val="20"/>
                <w:szCs w:val="20"/>
                <w:lang w:val="en-US"/>
              </w:rPr>
            </w:pPr>
          </w:p>
        </w:tc>
        <w:tc>
          <w:tcPr>
            <w:tcW w:w="4140" w:type="dxa"/>
            <w:tcBorders>
              <w:top w:val="single" w:sz="4" w:space="0" w:color="FFFFFF"/>
              <w:left w:val="single" w:sz="4" w:space="0" w:color="FFFFFF"/>
              <w:bottom w:val="single" w:sz="4" w:space="0" w:color="FFFFFF"/>
              <w:right w:val="single" w:sz="4" w:space="0" w:color="FFFFFF"/>
            </w:tcBorders>
            <w:shd w:val="clear" w:color="auto" w:fill="DBE5F1"/>
          </w:tcPr>
          <w:p w:rsidR="00351F2C" w:rsidRPr="001358CE" w:rsidRDefault="00351F2C" w:rsidP="003E3CBA">
            <w:pPr>
              <w:numPr>
                <w:ilvl w:val="0"/>
                <w:numId w:val="31"/>
              </w:numPr>
              <w:tabs>
                <w:tab w:val="clear" w:pos="360"/>
              </w:tabs>
              <w:spacing w:after="0" w:line="240" w:lineRule="auto"/>
              <w:ind w:left="203" w:hanging="240"/>
              <w:jc w:val="both"/>
              <w:rPr>
                <w:rFonts w:ascii="Book Antiqua" w:hAnsi="Book Antiqua" w:cs="Arial"/>
                <w:sz w:val="20"/>
                <w:szCs w:val="20"/>
                <w:lang w:val="en-US"/>
              </w:rPr>
            </w:pPr>
            <w:r w:rsidRPr="001358CE">
              <w:rPr>
                <w:rFonts w:ascii="Book Antiqua" w:hAnsi="Book Antiqua" w:cs="Arial"/>
                <w:sz w:val="20"/>
                <w:szCs w:val="20"/>
                <w:lang w:val="en-US"/>
              </w:rPr>
              <w:t xml:space="preserve">Economic incentive may undermine the current reform process as </w:t>
            </w:r>
            <w:r w:rsidR="003A6A8D">
              <w:rPr>
                <w:rFonts w:ascii="Book Antiqua" w:hAnsi="Book Antiqua" w:cs="Arial"/>
                <w:sz w:val="20"/>
                <w:szCs w:val="20"/>
                <w:lang w:val="en-US"/>
              </w:rPr>
              <w:t>SOC</w:t>
            </w:r>
            <w:r w:rsidRPr="001358CE">
              <w:rPr>
                <w:rFonts w:ascii="Book Antiqua" w:hAnsi="Book Antiqua" w:cs="Arial"/>
                <w:sz w:val="20"/>
                <w:szCs w:val="20"/>
                <w:lang w:val="en-US"/>
              </w:rPr>
              <w:t xml:space="preserve">s and PAMBs want to hold on to the land. The problem is difficult to resolve particularly when the relationship between </w:t>
            </w:r>
            <w:r w:rsidR="003A6A8D">
              <w:rPr>
                <w:rFonts w:ascii="Book Antiqua" w:hAnsi="Book Antiqua" w:cs="Arial"/>
                <w:sz w:val="20"/>
                <w:szCs w:val="20"/>
                <w:lang w:val="en-US"/>
              </w:rPr>
              <w:t>SOC</w:t>
            </w:r>
            <w:r w:rsidRPr="001358CE">
              <w:rPr>
                <w:rFonts w:ascii="Book Antiqua" w:hAnsi="Book Antiqua" w:cs="Arial"/>
                <w:sz w:val="20"/>
                <w:szCs w:val="20"/>
                <w:lang w:val="en-US"/>
              </w:rPr>
              <w:t xml:space="preserve">s/PAMBs and local authorities is close </w:t>
            </w:r>
          </w:p>
          <w:p w:rsidR="00351F2C" w:rsidRPr="001358CE" w:rsidRDefault="00351F2C" w:rsidP="003E3CBA">
            <w:pPr>
              <w:numPr>
                <w:ilvl w:val="0"/>
                <w:numId w:val="31"/>
              </w:numPr>
              <w:tabs>
                <w:tab w:val="clear" w:pos="360"/>
              </w:tabs>
              <w:spacing w:after="0" w:line="240" w:lineRule="auto"/>
              <w:ind w:left="203" w:hanging="240"/>
              <w:jc w:val="both"/>
              <w:rPr>
                <w:rFonts w:ascii="Book Antiqua" w:hAnsi="Book Antiqua" w:cs="Arial"/>
                <w:sz w:val="20"/>
                <w:szCs w:val="20"/>
                <w:lang w:val="en-US"/>
              </w:rPr>
            </w:pPr>
            <w:r w:rsidRPr="001358CE">
              <w:rPr>
                <w:rFonts w:ascii="Book Antiqua" w:hAnsi="Book Antiqua" w:cs="Arial"/>
                <w:sz w:val="20"/>
                <w:szCs w:val="20"/>
                <w:lang w:val="en-US"/>
              </w:rPr>
              <w:t xml:space="preserve">Highly centralized resource management thus forest-dependent dwellers are excluded from the benefits thus potential conflicts that affect the performance.   </w:t>
            </w:r>
          </w:p>
        </w:tc>
        <w:tc>
          <w:tcPr>
            <w:tcW w:w="3354" w:type="dxa"/>
            <w:tcBorders>
              <w:top w:val="single" w:sz="4" w:space="0" w:color="FFFFFF"/>
              <w:left w:val="single" w:sz="4" w:space="0" w:color="FFFFFF"/>
              <w:bottom w:val="single" w:sz="4" w:space="0" w:color="FFFFFF"/>
              <w:right w:val="single" w:sz="4" w:space="0" w:color="FFFFFF"/>
            </w:tcBorders>
            <w:shd w:val="clear" w:color="auto" w:fill="DBE5F1"/>
          </w:tcPr>
          <w:p w:rsidR="00351F2C" w:rsidRPr="001358CE" w:rsidRDefault="00351F2C" w:rsidP="003E3CBA">
            <w:pPr>
              <w:numPr>
                <w:ilvl w:val="0"/>
                <w:numId w:val="31"/>
              </w:numPr>
              <w:tabs>
                <w:tab w:val="clear" w:pos="360"/>
              </w:tabs>
              <w:spacing w:after="0" w:line="240" w:lineRule="auto"/>
              <w:ind w:left="124" w:hanging="120"/>
              <w:jc w:val="both"/>
              <w:rPr>
                <w:rFonts w:ascii="Book Antiqua" w:hAnsi="Book Antiqua" w:cs="Arial"/>
                <w:sz w:val="20"/>
                <w:szCs w:val="20"/>
                <w:lang w:val="en-US"/>
              </w:rPr>
            </w:pPr>
            <w:r w:rsidRPr="001358CE">
              <w:rPr>
                <w:rFonts w:ascii="Book Antiqua" w:hAnsi="Book Antiqua" w:cs="Arial"/>
                <w:sz w:val="20"/>
                <w:szCs w:val="20"/>
                <w:lang w:val="en-US"/>
              </w:rPr>
              <w:t xml:space="preserve"> Decentralize the forest to individual households</w:t>
            </w:r>
          </w:p>
          <w:p w:rsidR="00351F2C" w:rsidRPr="001358CE" w:rsidRDefault="00351F2C" w:rsidP="003E3CBA">
            <w:pPr>
              <w:numPr>
                <w:ilvl w:val="0"/>
                <w:numId w:val="31"/>
              </w:numPr>
              <w:tabs>
                <w:tab w:val="clear" w:pos="360"/>
              </w:tabs>
              <w:spacing w:after="0" w:line="240" w:lineRule="auto"/>
              <w:ind w:left="124" w:hanging="120"/>
              <w:jc w:val="both"/>
              <w:rPr>
                <w:rFonts w:ascii="Book Antiqua" w:hAnsi="Book Antiqua" w:cs="Arial"/>
                <w:sz w:val="20"/>
                <w:szCs w:val="20"/>
                <w:lang w:val="en-US"/>
              </w:rPr>
            </w:pPr>
            <w:r w:rsidRPr="001358CE">
              <w:rPr>
                <w:rFonts w:ascii="Book Antiqua" w:hAnsi="Book Antiqua" w:cs="Arial"/>
                <w:sz w:val="20"/>
                <w:szCs w:val="20"/>
                <w:lang w:val="en-US"/>
              </w:rPr>
              <w:t xml:space="preserve"> Find way to resolve existing land conflict </w:t>
            </w:r>
          </w:p>
        </w:tc>
      </w:tr>
    </w:tbl>
    <w:p w:rsidR="00351F2C" w:rsidRPr="00445F77" w:rsidRDefault="00351F2C" w:rsidP="004D47BB">
      <w:pPr>
        <w:jc w:val="both"/>
        <w:rPr>
          <w:rFonts w:ascii="Arial" w:hAnsi="Arial" w:cs="Arial"/>
          <w:sz w:val="24"/>
          <w:szCs w:val="24"/>
          <w:lang w:val="en-US"/>
        </w:rPr>
      </w:pPr>
    </w:p>
    <w:p w:rsidR="00351F2C" w:rsidRPr="00445F77" w:rsidRDefault="00351F2C" w:rsidP="004D47BB">
      <w:pPr>
        <w:rPr>
          <w:rFonts w:ascii="Arial" w:hAnsi="Arial" w:cs="Arial"/>
          <w:b/>
          <w:sz w:val="24"/>
          <w:szCs w:val="24"/>
          <w:lang w:val="en-US"/>
        </w:rPr>
        <w:sectPr w:rsidR="00351F2C" w:rsidRPr="00445F77" w:rsidSect="00F524A3">
          <w:pgSz w:w="16840" w:h="11907" w:orient="landscape" w:code="9"/>
          <w:pgMar w:top="1079" w:right="1418" w:bottom="539" w:left="1418" w:header="709" w:footer="709" w:gutter="0"/>
          <w:cols w:space="708"/>
          <w:titlePg/>
          <w:docGrid w:linePitch="360"/>
        </w:sectPr>
      </w:pPr>
    </w:p>
    <w:p w:rsidR="0092792E" w:rsidRPr="001358CE" w:rsidRDefault="0092792E" w:rsidP="0092792E">
      <w:pPr>
        <w:spacing w:after="0" w:line="300" w:lineRule="atLeast"/>
        <w:jc w:val="both"/>
        <w:rPr>
          <w:rFonts w:ascii="Book Antiqua" w:hAnsi="Book Antiqua" w:cs="Arial"/>
          <w:lang w:val="en-US"/>
        </w:rPr>
      </w:pPr>
      <w:r w:rsidRPr="001358CE">
        <w:rPr>
          <w:rFonts w:ascii="Book Antiqua" w:hAnsi="Book Antiqua" w:cs="Arial"/>
          <w:lang w:val="en-US"/>
        </w:rPr>
        <w:lastRenderedPageBreak/>
        <w:t xml:space="preserve">existence of a 661 project and associated payments for the protection of their forest.  The only villagers knowing about the project – and receiving all the payments – were the village head and his relatives (ibid.).  </w:t>
      </w:r>
    </w:p>
    <w:p w:rsidR="0092792E" w:rsidRDefault="0092792E" w:rsidP="0020363F">
      <w:pPr>
        <w:spacing w:after="0" w:line="300" w:lineRule="atLeast"/>
        <w:jc w:val="both"/>
        <w:rPr>
          <w:rFonts w:ascii="Book Antiqua" w:hAnsi="Book Antiqua" w:cs="Arial"/>
          <w:lang w:val="en-US"/>
        </w:rPr>
      </w:pPr>
    </w:p>
    <w:p w:rsidR="00351F2C" w:rsidRPr="001358CE" w:rsidRDefault="00A31E60" w:rsidP="0020363F">
      <w:pPr>
        <w:spacing w:after="0" w:line="300" w:lineRule="atLeast"/>
        <w:jc w:val="both"/>
        <w:rPr>
          <w:rFonts w:ascii="Book Antiqua" w:hAnsi="Book Antiqua" w:cs="Arial"/>
          <w:lang w:val="en-US"/>
        </w:rPr>
      </w:pPr>
      <w:r>
        <w:rPr>
          <w:rFonts w:ascii="Book Antiqua" w:hAnsi="Book Antiqua" w:cs="Arial"/>
          <w:lang w:val="en-US"/>
        </w:rPr>
        <w:t>Free and prior</w:t>
      </w:r>
      <w:r w:rsidR="00351F2C" w:rsidRPr="001358CE">
        <w:rPr>
          <w:rFonts w:ascii="Book Antiqua" w:hAnsi="Book Antiqua" w:cs="Arial"/>
          <w:lang w:val="en-US"/>
        </w:rPr>
        <w:t xml:space="preserve"> access to information</w:t>
      </w:r>
      <w:r>
        <w:rPr>
          <w:rFonts w:ascii="Book Antiqua" w:hAnsi="Book Antiqua" w:cs="Arial"/>
          <w:lang w:val="en-US"/>
        </w:rPr>
        <w:t>, in order to secure the consent of local communities,</w:t>
      </w:r>
      <w:r w:rsidR="00351F2C" w:rsidRPr="001358CE">
        <w:rPr>
          <w:rFonts w:ascii="Book Antiqua" w:hAnsi="Book Antiqua" w:cs="Arial"/>
          <w:lang w:val="en-US"/>
        </w:rPr>
        <w:t xml:space="preserve"> will be important for the success of Viet Nam’s </w:t>
      </w:r>
      <w:r w:rsidR="00480D3D">
        <w:rPr>
          <w:rFonts w:ascii="Book Antiqua" w:hAnsi="Book Antiqua" w:cs="Arial"/>
          <w:lang w:val="en-US"/>
        </w:rPr>
        <w:t>REDD+</w:t>
      </w:r>
      <w:r w:rsidR="00351F2C" w:rsidRPr="001358CE">
        <w:rPr>
          <w:rFonts w:ascii="Book Antiqua" w:hAnsi="Book Antiqua" w:cs="Arial"/>
          <w:lang w:val="en-US"/>
        </w:rPr>
        <w:t xml:space="preserve"> </w:t>
      </w:r>
      <w:r w:rsidR="00480D3D">
        <w:rPr>
          <w:rFonts w:ascii="Book Antiqua" w:hAnsi="Book Antiqua" w:cs="Arial"/>
          <w:lang w:val="en-US"/>
        </w:rPr>
        <w:t>programme</w:t>
      </w:r>
      <w:r w:rsidR="00351F2C" w:rsidRPr="001358CE">
        <w:rPr>
          <w:rFonts w:ascii="Book Antiqua" w:hAnsi="Book Antiqua" w:cs="Arial"/>
          <w:lang w:val="en-US"/>
        </w:rPr>
        <w:t>.  Our fieldwork in Lam Dong</w:t>
      </w:r>
      <w:r>
        <w:rPr>
          <w:rFonts w:ascii="Book Antiqua" w:hAnsi="Book Antiqua" w:cs="Arial"/>
          <w:lang w:val="en-US"/>
        </w:rPr>
        <w:t>,</w:t>
      </w:r>
      <w:r w:rsidR="00351F2C" w:rsidRPr="001358CE">
        <w:rPr>
          <w:rFonts w:ascii="Book Antiqua" w:hAnsi="Book Antiqua" w:cs="Arial"/>
          <w:lang w:val="en-US"/>
        </w:rPr>
        <w:t xml:space="preserve"> in September</w:t>
      </w:r>
      <w:r>
        <w:rPr>
          <w:rFonts w:ascii="Book Antiqua" w:hAnsi="Book Antiqua" w:cs="Arial"/>
          <w:lang w:val="en-US"/>
        </w:rPr>
        <w:t xml:space="preserve"> 2009,</w:t>
      </w:r>
      <w:r w:rsidR="00351F2C" w:rsidRPr="001358CE">
        <w:rPr>
          <w:rFonts w:ascii="Book Antiqua" w:hAnsi="Book Antiqua" w:cs="Arial"/>
          <w:lang w:val="en-US"/>
        </w:rPr>
        <w:t xml:space="preserve"> reveals villagers’ confusion about the difference in payments they received under</w:t>
      </w:r>
      <w:r w:rsidR="001B6D90">
        <w:rPr>
          <w:rFonts w:ascii="Book Antiqua" w:hAnsi="Book Antiqua" w:cs="Arial"/>
          <w:lang w:val="en-US"/>
        </w:rPr>
        <w:t xml:space="preserve"> PFES</w:t>
      </w:r>
      <w:r w:rsidR="00351F2C" w:rsidRPr="001358CE">
        <w:rPr>
          <w:rFonts w:ascii="Book Antiqua" w:hAnsi="Book Antiqua" w:cs="Arial"/>
          <w:lang w:val="en-US"/>
        </w:rPr>
        <w:t xml:space="preserve"> payment schemes as they did not receive clear explanation about different functions of ecosystem services leading to different levels of payments. </w:t>
      </w:r>
    </w:p>
    <w:p w:rsidR="00351F2C" w:rsidRPr="001358CE" w:rsidRDefault="00351F2C" w:rsidP="0020363F">
      <w:pPr>
        <w:spacing w:after="0" w:line="300" w:lineRule="atLeast"/>
        <w:jc w:val="both"/>
        <w:rPr>
          <w:rFonts w:ascii="Book Antiqua" w:hAnsi="Book Antiqua" w:cs="Arial"/>
          <w:lang w:val="en-US"/>
        </w:rPr>
      </w:pPr>
    </w:p>
    <w:p w:rsidR="00351F2C" w:rsidRPr="001358CE" w:rsidRDefault="00A31E60" w:rsidP="0020363F">
      <w:pPr>
        <w:spacing w:after="0" w:line="300" w:lineRule="atLeast"/>
        <w:jc w:val="both"/>
        <w:rPr>
          <w:rFonts w:ascii="Book Antiqua" w:hAnsi="Book Antiqua" w:cs="Arial"/>
          <w:lang w:val="en-US"/>
        </w:rPr>
      </w:pPr>
      <w:r>
        <w:rPr>
          <w:rFonts w:ascii="Book Antiqua" w:hAnsi="Book Antiqua" w:cs="Arial"/>
          <w:lang w:val="en-US"/>
        </w:rPr>
        <w:t>Part of this process involves the</w:t>
      </w:r>
      <w:r w:rsidR="00351F2C" w:rsidRPr="001358CE">
        <w:rPr>
          <w:rFonts w:ascii="Book Antiqua" w:hAnsi="Book Antiqua" w:cs="Arial"/>
          <w:lang w:val="en-US"/>
        </w:rPr>
        <w:t xml:space="preserve"> need </w:t>
      </w:r>
      <w:r>
        <w:rPr>
          <w:rFonts w:ascii="Book Antiqua" w:hAnsi="Book Antiqua" w:cs="Arial"/>
          <w:lang w:val="en-US"/>
        </w:rPr>
        <w:t>to</w:t>
      </w:r>
      <w:r w:rsidR="00351F2C" w:rsidRPr="001358CE">
        <w:rPr>
          <w:rFonts w:ascii="Book Antiqua" w:hAnsi="Book Antiqua" w:cs="Arial"/>
          <w:lang w:val="en-US"/>
        </w:rPr>
        <w:t xml:space="preserve"> creat</w:t>
      </w:r>
      <w:r>
        <w:rPr>
          <w:rFonts w:ascii="Book Antiqua" w:hAnsi="Book Antiqua" w:cs="Arial"/>
          <w:lang w:val="en-US"/>
        </w:rPr>
        <w:t>e</w:t>
      </w:r>
      <w:r w:rsidR="00351F2C" w:rsidRPr="001358CE">
        <w:rPr>
          <w:rFonts w:ascii="Book Antiqua" w:hAnsi="Book Antiqua" w:cs="Arial"/>
          <w:lang w:val="en-US"/>
        </w:rPr>
        <w:t xml:space="preserve"> awareness among villagers about forest carbon as a new forest product with monetary value.  This need is illustrated by the observations made by the participants of the Regional Community Forestry Forum during a field trip to the CDM project in Hoa Binh in August 2009.  The participants noted that villagers generally believed that the project was a regular tree planting project.  They appreciated the payments made to them for their labor contributions.  Yet they were largely not aware of the basic project idea to produce timber and carbon credits simultaneously.  As a result, quite a few villagers committed their land to a timber company, as the deal offered by that company was apparently better than the conditions under the CDM project.</w:t>
      </w:r>
    </w:p>
    <w:p w:rsidR="00351F2C" w:rsidRPr="001358CE" w:rsidRDefault="00351F2C" w:rsidP="0020363F">
      <w:pPr>
        <w:spacing w:after="0" w:line="300" w:lineRule="atLeast"/>
        <w:rPr>
          <w:rFonts w:ascii="Book Antiqua" w:hAnsi="Book Antiqua" w:cs="Arial"/>
          <w:lang w:val="en-US"/>
        </w:rPr>
      </w:pPr>
    </w:p>
    <w:p w:rsidR="00351F2C" w:rsidRPr="001358CE" w:rsidRDefault="00A31E60" w:rsidP="0020363F">
      <w:pPr>
        <w:spacing w:after="0" w:line="300" w:lineRule="atLeast"/>
        <w:jc w:val="both"/>
        <w:rPr>
          <w:rFonts w:ascii="Book Antiqua" w:hAnsi="Book Antiqua" w:cs="Arial"/>
          <w:lang w:val="en-US"/>
        </w:rPr>
      </w:pPr>
      <w:r>
        <w:rPr>
          <w:rFonts w:ascii="Book Antiqua" w:hAnsi="Book Antiqua" w:cs="Arial"/>
          <w:lang w:val="en-US"/>
        </w:rPr>
        <w:t>Effective i</w:t>
      </w:r>
      <w:r w:rsidR="00351F2C" w:rsidRPr="001358CE">
        <w:rPr>
          <w:rFonts w:ascii="Book Antiqua" w:hAnsi="Book Antiqua" w:cs="Arial"/>
          <w:lang w:val="en-US"/>
        </w:rPr>
        <w:t xml:space="preserve">nformation dissemination will be crucial for successful implementation of </w:t>
      </w:r>
      <w:r w:rsidR="00480D3D">
        <w:rPr>
          <w:rFonts w:ascii="Book Antiqua" w:hAnsi="Book Antiqua" w:cs="Arial"/>
          <w:lang w:val="en-US"/>
        </w:rPr>
        <w:t>REDD+</w:t>
      </w:r>
      <w:r w:rsidR="00351F2C" w:rsidRPr="001358CE">
        <w:rPr>
          <w:rFonts w:ascii="Book Antiqua" w:hAnsi="Book Antiqua" w:cs="Arial"/>
          <w:lang w:val="en-US"/>
        </w:rPr>
        <w:t xml:space="preserve"> because </w:t>
      </w:r>
      <w:r w:rsidR="00480D3D">
        <w:rPr>
          <w:rFonts w:ascii="Book Antiqua" w:hAnsi="Book Antiqua" w:cs="Arial"/>
          <w:lang w:val="en-US"/>
        </w:rPr>
        <w:t>REDD+</w:t>
      </w:r>
      <w:r w:rsidR="00351F2C" w:rsidRPr="001358CE">
        <w:rPr>
          <w:rFonts w:ascii="Book Antiqua" w:hAnsi="Book Antiqua" w:cs="Arial"/>
          <w:lang w:val="en-US"/>
        </w:rPr>
        <w:t xml:space="preserve"> will most likely result in different levels payments to households and villages.  This runs against the common practice in </w:t>
      </w:r>
      <w:smartTag w:uri="urn:schemas-microsoft-com:office:smarttags" w:element="country-region">
        <w:smartTag w:uri="urn:schemas-microsoft-com:office:smarttags" w:element="place">
          <w:r w:rsidR="00480D3D">
            <w:rPr>
              <w:rFonts w:ascii="Book Antiqua" w:hAnsi="Book Antiqua" w:cs="Arial"/>
              <w:lang w:val="en-US"/>
            </w:rPr>
            <w:t>Viet Nam</w:t>
          </w:r>
        </w:smartTag>
      </w:smartTag>
      <w:r w:rsidR="00351F2C" w:rsidRPr="001358CE">
        <w:rPr>
          <w:rFonts w:ascii="Book Antiqua" w:hAnsi="Book Antiqua" w:cs="Arial"/>
          <w:lang w:val="en-US"/>
        </w:rPr>
        <w:t xml:space="preserve"> to provide equal payments under the 661 </w:t>
      </w:r>
      <w:r w:rsidR="00480D3D">
        <w:rPr>
          <w:rFonts w:ascii="Book Antiqua" w:hAnsi="Book Antiqua" w:cs="Arial"/>
          <w:lang w:val="en-US"/>
        </w:rPr>
        <w:t>Programme</w:t>
      </w:r>
      <w:r w:rsidR="00351F2C" w:rsidRPr="001358CE">
        <w:rPr>
          <w:rFonts w:ascii="Book Antiqua" w:hAnsi="Book Antiqua" w:cs="Arial"/>
          <w:lang w:val="en-US"/>
        </w:rPr>
        <w:t xml:space="preserve"> and other forestry projects.  Differential levels of payments may easily create tensions and resentment among local people if they do not understand the reasons for </w:t>
      </w:r>
      <w:r>
        <w:rPr>
          <w:rFonts w:ascii="Book Antiqua" w:hAnsi="Book Antiqua" w:cs="Arial"/>
          <w:lang w:val="en-US"/>
        </w:rPr>
        <w:t>the differences</w:t>
      </w:r>
      <w:r w:rsidR="00351F2C" w:rsidRPr="001358CE">
        <w:rPr>
          <w:rFonts w:ascii="Book Antiqua" w:hAnsi="Book Antiqua" w:cs="Arial"/>
          <w:lang w:val="en-US"/>
        </w:rPr>
        <w:t>.  This is illustrated by villagers’ initial reactions to the different levels of payments made under the</w:t>
      </w:r>
      <w:r w:rsidR="001B6D90">
        <w:rPr>
          <w:rFonts w:ascii="Book Antiqua" w:hAnsi="Book Antiqua" w:cs="Arial"/>
          <w:lang w:val="en-US"/>
        </w:rPr>
        <w:t xml:space="preserve"> PFES</w:t>
      </w:r>
      <w:r w:rsidR="00351F2C" w:rsidRPr="001358CE">
        <w:rPr>
          <w:rFonts w:ascii="Book Antiqua" w:hAnsi="Book Antiqua" w:cs="Arial"/>
          <w:lang w:val="en-US"/>
        </w:rPr>
        <w:t xml:space="preserve"> scheme in Lam Dong, as explained to the consultants.  In the scheme, payments depend on the hydrological functions of land, which vary with the kind of forest and slope class.  As a result, households and villages receive different amounts of payments for land located in the same geographical area.  This new practice created significant confusion among villagers, as those did not understand the underlying reasons.  Villagers questioned the practice on the basis that they all contributed the same amount of time and effort for protecting forests.</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A second equity concern commonly voiced by rural people is about the </w:t>
      </w:r>
      <w:r w:rsidRPr="001358CE">
        <w:rPr>
          <w:rFonts w:ascii="Book Antiqua" w:hAnsi="Book Antiqua" w:cs="Arial"/>
          <w:u w:val="single"/>
          <w:lang w:val="en-US"/>
        </w:rPr>
        <w:t>equitable distribution of state support</w:t>
      </w:r>
      <w:r w:rsidRPr="001358CE">
        <w:rPr>
          <w:rFonts w:ascii="Book Antiqua" w:hAnsi="Book Antiqua" w:cs="Arial"/>
          <w:lang w:val="en-US"/>
        </w:rPr>
        <w:t>.  This concern applies to the distribution of support within villages and between regular villages and local elites.  Within villages, concerns over equitable distribution are typically very strong.  For example, villagers in Son La decided to re-organize forest protection contracts among themselves after the first payments had been disbursed.  Very few villagers had been willing to sign contracts initially, as they doubted that payments would actually be disbursed.  Yet after the</w:t>
      </w:r>
      <w:r w:rsidR="00A31E60">
        <w:rPr>
          <w:rFonts w:ascii="Book Antiqua" w:hAnsi="Book Antiqua" w:cs="Arial"/>
          <w:lang w:val="en-US"/>
        </w:rPr>
        <w:t xml:space="preserve"> initial</w:t>
      </w:r>
      <w:r w:rsidRPr="001358CE">
        <w:rPr>
          <w:rFonts w:ascii="Book Antiqua" w:hAnsi="Book Antiqua" w:cs="Arial"/>
          <w:lang w:val="en-US"/>
        </w:rPr>
        <w:t xml:space="preserve"> disbursement, many more villagers wanted to be included in the forest protection contracts.  When the FPU did not want to change the contracts in response, villagers re-organized the contracts </w:t>
      </w:r>
      <w:r w:rsidRPr="001358CE">
        <w:rPr>
          <w:rFonts w:ascii="Book Antiqua" w:hAnsi="Book Antiqua" w:cs="Arial"/>
          <w:lang w:val="en-US"/>
        </w:rPr>
        <w:lastRenderedPageBreak/>
        <w:t>among themselves to achieve an equitable distribution of protection payments (Sikor 2001).</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Rural people have shown strong reactions to the capture of project support by local elites.  In the above-mentioned village </w:t>
      </w:r>
      <w:r w:rsidR="00765C66">
        <w:rPr>
          <w:rFonts w:ascii="Book Antiqua" w:hAnsi="Book Antiqua" w:cs="Arial"/>
          <w:lang w:val="en-US"/>
        </w:rPr>
        <w:t>in</w:t>
      </w:r>
      <w:r w:rsidRPr="001358CE">
        <w:rPr>
          <w:rFonts w:ascii="Book Antiqua" w:hAnsi="Book Antiqua" w:cs="Arial"/>
          <w:lang w:val="en-US"/>
        </w:rPr>
        <w:t xml:space="preserve"> Phu Tho province, villagers sent petitions to local authorities as soon as they found out that the village head had secured all forest protection payments for himself.  They joined forces to openly challenge the village head and denounce his practices with higher-level authorities (To 2007).  In the above-mentioned village next to </w:t>
      </w:r>
      <w:smartTag w:uri="urn:schemas-microsoft-com:office:smarttags" w:element="place">
        <w:smartTag w:uri="urn:schemas-microsoft-com:office:smarttags" w:element="PlaceName">
          <w:r w:rsidRPr="001358CE">
            <w:rPr>
              <w:rFonts w:ascii="Book Antiqua" w:hAnsi="Book Antiqua" w:cs="Arial"/>
              <w:lang w:val="en-US"/>
            </w:rPr>
            <w:t>Ba</w:t>
          </w:r>
        </w:smartTag>
        <w:r w:rsidRPr="001358CE">
          <w:rPr>
            <w:rFonts w:ascii="Book Antiqua" w:hAnsi="Book Antiqua" w:cs="Arial"/>
            <w:lang w:val="en-US"/>
          </w:rPr>
          <w:t xml:space="preserve"> </w:t>
        </w:r>
        <w:smartTag w:uri="urn:schemas-microsoft-com:office:smarttags" w:element="PlaceName">
          <w:r w:rsidRPr="001358CE">
            <w:rPr>
              <w:rFonts w:ascii="Book Antiqua" w:hAnsi="Book Antiqua" w:cs="Arial"/>
              <w:lang w:val="en-US"/>
            </w:rPr>
            <w:t>Vi</w:t>
          </w:r>
        </w:smartTag>
        <w:r w:rsidRPr="001358CE">
          <w:rPr>
            <w:rFonts w:ascii="Book Antiqua" w:hAnsi="Book Antiqua" w:cs="Arial"/>
            <w:lang w:val="en-US"/>
          </w:rPr>
          <w:t xml:space="preserve"> </w:t>
        </w:r>
        <w:smartTag w:uri="urn:schemas-microsoft-com:office:smarttags" w:element="PlaceType">
          <w:r w:rsidRPr="001358CE">
            <w:rPr>
              <w:rFonts w:ascii="Book Antiqua" w:hAnsi="Book Antiqua" w:cs="Arial"/>
              <w:lang w:val="en-US"/>
            </w:rPr>
            <w:t>National Park</w:t>
          </w:r>
        </w:smartTag>
      </w:smartTag>
      <w:r w:rsidRPr="001358CE">
        <w:rPr>
          <w:rFonts w:ascii="Book Antiqua" w:hAnsi="Book Antiqua" w:cs="Arial"/>
          <w:lang w:val="en-US"/>
        </w:rPr>
        <w:t xml:space="preserve">, villagers </w:t>
      </w:r>
      <w:r w:rsidR="00765C66">
        <w:rPr>
          <w:rFonts w:ascii="Book Antiqua" w:hAnsi="Book Antiqua" w:cs="Arial"/>
          <w:lang w:val="en-US"/>
        </w:rPr>
        <w:t>sent</w:t>
      </w:r>
      <w:r w:rsidRPr="001358CE">
        <w:rPr>
          <w:rFonts w:ascii="Book Antiqua" w:hAnsi="Book Antiqua" w:cs="Arial"/>
          <w:lang w:val="en-US"/>
        </w:rPr>
        <w:t xml:space="preserve"> written complaints to various local government agencies and even to MARD.  In their complaints, they requested the government to crackdown on the practices of the local elite (ibid.). </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A third equity concern relates to the </w:t>
      </w:r>
      <w:r w:rsidRPr="001358CE">
        <w:rPr>
          <w:rFonts w:ascii="Book Antiqua" w:hAnsi="Book Antiqua" w:cs="Arial"/>
          <w:u w:val="single"/>
          <w:lang w:val="en-US"/>
        </w:rPr>
        <w:t>equitable sharing of forest resources</w:t>
      </w:r>
      <w:r w:rsidRPr="001358CE">
        <w:rPr>
          <w:rFonts w:ascii="Book Antiqua" w:hAnsi="Book Antiqua" w:cs="Arial"/>
          <w:lang w:val="en-US"/>
        </w:rPr>
        <w:t>.  These concerns address the distribution within villages, between villages, and between villages and outside actors.  Many villages maintain customary forest regulations that provide equal access to local forests.  Where forestland allocation has sought to individualize forestland holdings, villagers have either ignored or openly rejected allocation because of concerns that it may lead to an inequitable distribution of forest resources (timber, land, etc.).  For example, villagers in Dak Lak have maintained the custom of collectively shared access to forests even though those were allocated to individual households or household groups (Sikor and Nguyen 2007; Sikor and Tran 2007).  Villagers in Hoa Binh have ignored individualized allocation by continuing the common use of forestland for shifting cultivation and livestock husbandry (To 2007).</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Rural people have also voiced demands for an equitable distribution of forest resources between villages.  In Dak Lak, a district government could not uphold the allocation of natural forests to one village because it failed to recognize legitimate claims made by people from a neighboring village.  Both villages had used the relevant forest on a customary basis in the past, yet allocation had granted the forest to one village only.  In reaction, the forestland recipients did not want to exclude people from the neighboring village and granted them the right to use the allocated forest (Sikor and Tran 2007).  In Son La, two villages competing over agricultural land called upon a district government to resolve their dispute.  They both demanded control over the land on the basis of different equity claims.  They requested intervention by the district PC as a way to achieve an equitable distribution recognized by all involved parties (Sikor 2006).</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As for the relations between villagers and outside actors, the key issue to local communities remains the attempts of Forestry Companies and PAMBs to exclude them from access to forests.  Villagers throughout the country resent the monopolization of forests by these state entities and connected attempt to stop their customary uses of forest land and resources.  In many localities, Forestry Companies and PAMBs have consequently been unable to enforce the exclusion of villagers from forests in practice or even accommodated villagers’ claims (Sikor 2004; Sikor and Tran 2007).  As long as Forestry Companies and PAMBs hold onto large tracts of forestland and try to exclude local communities from access to forests, particularly to those with standing trees, the conflict between villagers and the state entities will remain a primary cause of </w:t>
      </w:r>
      <w:r w:rsidRPr="001358CE">
        <w:rPr>
          <w:rFonts w:ascii="Book Antiqua" w:hAnsi="Book Antiqua" w:cs="Arial"/>
          <w:lang w:val="en-US"/>
        </w:rPr>
        <w:lastRenderedPageBreak/>
        <w:t>deforestation, forest degradation, the lack of natural forest regeneration, and the failure of plantations (To 2007).</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Village leaders have voiced a related concern about the distribution of forest benefits between villages and the state.  They observe that village leaders are increasingly expected to take over functions previously assumed by local-level government officials.  They face a rising number of responsibilities in forest management and are forced to spend increasing amounts of time and energy on the connected tasks.  For example, local government agencies often rely on village leaders to form groups of households and represent them towards the local government, as illustrated by the P</w:t>
      </w:r>
      <w:r w:rsidR="00765C66">
        <w:rPr>
          <w:rFonts w:ascii="Book Antiqua" w:hAnsi="Book Antiqua" w:cs="Arial"/>
          <w:lang w:val="en-US"/>
        </w:rPr>
        <w:t>F</w:t>
      </w:r>
      <w:r w:rsidRPr="001358CE">
        <w:rPr>
          <w:rFonts w:ascii="Book Antiqua" w:hAnsi="Book Antiqua" w:cs="Arial"/>
          <w:lang w:val="en-US"/>
        </w:rPr>
        <w:t>ES scheme in Lam Dong.  Groups are convenient to local government officials, as they significantly help to reduce the required number of interactions and transactions with payment recipients.  Yet they put a significant burden on the leaders of the groups, in terms of the required time input but also the social relations necessary to sustain group activities.</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Fourth, ethnic minority and forest margin communities demand </w:t>
      </w:r>
      <w:r w:rsidRPr="001358CE">
        <w:rPr>
          <w:rFonts w:ascii="Book Antiqua" w:hAnsi="Book Antiqua" w:cs="Arial"/>
          <w:u w:val="single"/>
          <w:lang w:val="en-US"/>
        </w:rPr>
        <w:t>participation in decision-making</w:t>
      </w:r>
      <w:r w:rsidRPr="001358CE">
        <w:rPr>
          <w:rFonts w:ascii="Book Antiqua" w:hAnsi="Book Antiqua" w:cs="Arial"/>
          <w:lang w:val="en-US"/>
        </w:rPr>
        <w:t xml:space="preserve">.  Villagers want to have a say on decisions that affect their everyday lives.  This is a key lesson learned from the implementation of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’s land allocation </w:t>
      </w:r>
      <w:r w:rsidR="00480D3D">
        <w:rPr>
          <w:rFonts w:ascii="Book Antiqua" w:hAnsi="Book Antiqua" w:cs="Arial"/>
          <w:lang w:val="en-US"/>
        </w:rPr>
        <w:t>programme</w:t>
      </w:r>
      <w:r w:rsidRPr="001358CE">
        <w:rPr>
          <w:rFonts w:ascii="Book Antiqua" w:hAnsi="Book Antiqua" w:cs="Arial"/>
          <w:lang w:val="en-US"/>
        </w:rPr>
        <w:t>.  Its local outcomes often displayed significant discrepancies with national legislation because villagers influenced implementation decisions.  For example, villagers in Son La lobbied a district government not to include wet-rice land in the land use right certificates.  They did not want to have them included because they wanted to have the possibility for reallocations in the future.  At the same time, they agreed to the definition of upland fields in the land certificates because villagers appreciated the additional security of land tenure (Sikor 2004).</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Involving ethnic minority and forest margin communities in decisions about local </w:t>
      </w:r>
      <w:r w:rsidR="00480D3D">
        <w:rPr>
          <w:rFonts w:ascii="Book Antiqua" w:hAnsi="Book Antiqua" w:cs="Arial"/>
          <w:lang w:val="en-US"/>
        </w:rPr>
        <w:t>REDD+</w:t>
      </w:r>
      <w:r w:rsidRPr="001358CE">
        <w:rPr>
          <w:rFonts w:ascii="Book Antiqua" w:hAnsi="Book Antiqua" w:cs="Arial"/>
          <w:lang w:val="en-US"/>
        </w:rPr>
        <w:t xml:space="preserve"> payments will be particularly crucial for the choice of suitable recipients.  Local communities do not hold a uniform preference for the recipient</w:t>
      </w:r>
      <w:r w:rsidRPr="001358CE" w:rsidDel="00D91002">
        <w:rPr>
          <w:rFonts w:ascii="Book Antiqua" w:hAnsi="Book Antiqua" w:cs="Arial"/>
          <w:lang w:val="en-US"/>
        </w:rPr>
        <w:t xml:space="preserve"> </w:t>
      </w:r>
      <w:r w:rsidRPr="001358CE">
        <w:rPr>
          <w:rFonts w:ascii="Book Antiqua" w:hAnsi="Book Antiqua" w:cs="Arial"/>
          <w:lang w:val="en-US"/>
        </w:rPr>
        <w:t xml:space="preserve">of payments.  Instead, people prefer distribution of benefits to village communities in some localities, but to individual households or various kinds of groups in other places. If the local implementation fails to consult villagers about the preferable patterns of benefit distribution and payment recipient, villagers may easily disagree with the chosen recipient as illustrated by experience from forest protection contracts.  Villagers’ reactions to contracts showed that they had different preferences even if they belonged to the same ethnic groups.  For example, Dao communities living next to </w:t>
      </w:r>
      <w:smartTag w:uri="urn:schemas-microsoft-com:office:smarttags" w:element="place">
        <w:smartTag w:uri="urn:schemas-microsoft-com:office:smarttags" w:element="PlaceName">
          <w:r w:rsidRPr="001358CE">
            <w:rPr>
              <w:rFonts w:ascii="Book Antiqua" w:hAnsi="Book Antiqua" w:cs="Arial"/>
              <w:lang w:val="en-US"/>
            </w:rPr>
            <w:t>Ba</w:t>
          </w:r>
        </w:smartTag>
        <w:r w:rsidRPr="001358CE">
          <w:rPr>
            <w:rFonts w:ascii="Book Antiqua" w:hAnsi="Book Antiqua" w:cs="Arial"/>
            <w:lang w:val="en-US"/>
          </w:rPr>
          <w:t xml:space="preserve"> </w:t>
        </w:r>
        <w:smartTag w:uri="urn:schemas-microsoft-com:office:smarttags" w:element="PlaceName">
          <w:r w:rsidRPr="001358CE">
            <w:rPr>
              <w:rFonts w:ascii="Book Antiqua" w:hAnsi="Book Antiqua" w:cs="Arial"/>
              <w:lang w:val="en-US"/>
            </w:rPr>
            <w:t>Vi</w:t>
          </w:r>
        </w:smartTag>
        <w:r w:rsidRPr="001358CE">
          <w:rPr>
            <w:rFonts w:ascii="Book Antiqua" w:hAnsi="Book Antiqua" w:cs="Arial"/>
            <w:lang w:val="en-US"/>
          </w:rPr>
          <w:t xml:space="preserve"> </w:t>
        </w:r>
        <w:smartTag w:uri="urn:schemas-microsoft-com:office:smarttags" w:element="PlaceType">
          <w:r w:rsidRPr="001358CE">
            <w:rPr>
              <w:rFonts w:ascii="Book Antiqua" w:hAnsi="Book Antiqua" w:cs="Arial"/>
              <w:lang w:val="en-US"/>
            </w:rPr>
            <w:t>National Park</w:t>
          </w:r>
        </w:smartTag>
      </w:smartTag>
      <w:r w:rsidRPr="001358CE">
        <w:rPr>
          <w:rFonts w:ascii="Book Antiqua" w:hAnsi="Book Antiqua" w:cs="Arial"/>
          <w:lang w:val="en-US"/>
        </w:rPr>
        <w:t xml:space="preserve"> wanted the land distributed to individual households. In contrast, Dao villagers in Hoa Binh province wanted allocation to their village community (To 2007).</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A fifth equity concern focuses on the </w:t>
      </w:r>
      <w:r w:rsidRPr="001358CE">
        <w:rPr>
          <w:rFonts w:ascii="Book Antiqua" w:hAnsi="Book Antiqua" w:cs="Arial"/>
          <w:u w:val="single"/>
          <w:lang w:val="en-US"/>
        </w:rPr>
        <w:t>distribution of forestland</w:t>
      </w:r>
      <w:r w:rsidRPr="001358CE">
        <w:rPr>
          <w:rFonts w:ascii="Book Antiqua" w:hAnsi="Book Antiqua" w:cs="Arial"/>
          <w:lang w:val="en-US"/>
        </w:rPr>
        <w:t xml:space="preserve">.  Ethnic minority and forest margin communities throughout the country demand the allocation of forestland to them.  Even though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’s </w:t>
      </w:r>
      <w:r w:rsidRPr="000B3E9D">
        <w:rPr>
          <w:rFonts w:ascii="Book Antiqua" w:hAnsi="Book Antiqua" w:cs="Arial"/>
          <w:lang w:val="en-US"/>
        </w:rPr>
        <w:t xml:space="preserve">government has allocated significant areas of forestland to villagers already, Forestry Companies and PAMBs hold on to the majority of forestland (see </w:t>
      </w:r>
      <w:r w:rsidR="000B3E9D" w:rsidRPr="000B3E9D">
        <w:rPr>
          <w:rFonts w:ascii="Book Antiqua" w:hAnsi="Book Antiqua" w:cs="Arial"/>
          <w:lang w:val="en-US"/>
        </w:rPr>
        <w:t>Figure 1.4</w:t>
      </w:r>
      <w:r w:rsidRPr="000B3E9D">
        <w:rPr>
          <w:rFonts w:ascii="Book Antiqua" w:hAnsi="Book Antiqua" w:cs="Arial"/>
          <w:lang w:val="en-US"/>
        </w:rPr>
        <w:t>).  In addition, a large share of the allocated land consists of degraded forest or bare land.  There are approximately 2.5 million ha that are awaiting further allocation as they have been transferred to commune PCs on a temporary basis.</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Villagers express their demands for the redistribution of forestland in various ways.  Some voice their demands openly in meetings with government officials (Sikor et al. 2004; To 2007).  Yet the majority does so by simply ignoring or circumventing the existing distribution of land certificates.  They graze their livestock or open up agricultural fields on the land allocated to Forestry Companies and PAMBs, even though they are not allowed to do so by forest regulations (Sikor 2004; To 2007).  They extract timber and other forest products in an unsustainable manner, as they would not receive the benefits of sustainable management (Sikor and Tran 2007).  In addition, many resent the practice under 661 projects to pay them for the protection of natural forests or reforestation of degraded land but not give them rights to the land.  As much as they may welcome the payments, many villagers do not accept the legal allocation of that land to Forestry Companies and PAMBs.  As a result, they are unlikely to comply with forest regulations as soon as inspections relax or payments stop (Sikor 2001).</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Sixth, villagers holding titles to forestland either collectively or individually call for </w:t>
      </w:r>
      <w:r w:rsidRPr="001358CE">
        <w:rPr>
          <w:rFonts w:ascii="Book Antiqua" w:hAnsi="Book Antiqua" w:cs="Arial"/>
          <w:u w:val="single"/>
          <w:lang w:val="en-US"/>
        </w:rPr>
        <w:t>equitable enforcement of forest regulations</w:t>
      </w:r>
      <w:r w:rsidRPr="001358CE">
        <w:rPr>
          <w:rFonts w:ascii="Book Antiqua" w:hAnsi="Book Antiqua" w:cs="Arial"/>
          <w:lang w:val="en-US"/>
        </w:rPr>
        <w:t xml:space="preserve">.  Where ethnic minority and forest margin communities get forestland allocated, they have often not received the necessary law enforcement support – in contrast to the actions aimed against illegal operations taking place on state-owned forest.  For example, villagers in Dak Lak tried to stop illegal loggers from encroaching on forests recently allocated to them.  Yet they quickly learned that the FPU was not ready to take action in defense of their exclusion rights (Sikor and Tran 2007).  </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Thus, concerns of ethnic minority and forest margin communities over equity bear direct relevance to the disbursement of </w:t>
      </w:r>
      <w:r w:rsidR="00480D3D">
        <w:rPr>
          <w:rFonts w:ascii="Book Antiqua" w:hAnsi="Book Antiqua" w:cs="Arial"/>
          <w:lang w:val="en-US"/>
        </w:rPr>
        <w:t>REDD+</w:t>
      </w:r>
      <w:r w:rsidRPr="001358CE">
        <w:rPr>
          <w:rFonts w:ascii="Book Antiqua" w:hAnsi="Book Antiqua" w:cs="Arial"/>
          <w:lang w:val="en-US"/>
        </w:rPr>
        <w:t xml:space="preserve"> payments. Their concerns suggest that the design of a sub-national finance mechanism for </w:t>
      </w:r>
      <w:r w:rsidR="00480D3D">
        <w:rPr>
          <w:rFonts w:ascii="Book Antiqua" w:hAnsi="Book Antiqua" w:cs="Arial"/>
          <w:lang w:val="en-US"/>
        </w:rPr>
        <w:t>REDD+</w:t>
      </w:r>
      <w:r w:rsidRPr="001358CE">
        <w:rPr>
          <w:rFonts w:ascii="Book Antiqua" w:hAnsi="Book Antiqua" w:cs="Arial"/>
          <w:lang w:val="en-US"/>
        </w:rPr>
        <w:t xml:space="preserve"> payments need to address the following points:</w:t>
      </w:r>
    </w:p>
    <w:p w:rsidR="00351F2C" w:rsidRPr="001358CE" w:rsidRDefault="00351F2C" w:rsidP="008227FD">
      <w:pPr>
        <w:numPr>
          <w:ilvl w:val="0"/>
          <w:numId w:val="110"/>
        </w:numPr>
        <w:tabs>
          <w:tab w:val="clear" w:pos="720"/>
          <w:tab w:val="num" w:pos="360"/>
        </w:tabs>
        <w:spacing w:after="0" w:line="300" w:lineRule="atLeast"/>
        <w:ind w:left="360"/>
        <w:jc w:val="both"/>
        <w:rPr>
          <w:rFonts w:ascii="Book Antiqua" w:hAnsi="Book Antiqua" w:cs="Arial"/>
          <w:lang w:val="en-US"/>
        </w:rPr>
      </w:pPr>
      <w:r w:rsidRPr="001358CE">
        <w:rPr>
          <w:rFonts w:ascii="Book Antiqua" w:hAnsi="Book Antiqua" w:cs="Arial"/>
          <w:lang w:val="en-US"/>
        </w:rPr>
        <w:t>Public access to information and adherence to minimum transparency standards</w:t>
      </w:r>
    </w:p>
    <w:p w:rsidR="00351F2C" w:rsidRPr="001358CE" w:rsidRDefault="00351F2C" w:rsidP="008227FD">
      <w:pPr>
        <w:numPr>
          <w:ilvl w:val="0"/>
          <w:numId w:val="110"/>
        </w:numPr>
        <w:tabs>
          <w:tab w:val="clear" w:pos="720"/>
          <w:tab w:val="num" w:pos="360"/>
        </w:tabs>
        <w:spacing w:after="0" w:line="300" w:lineRule="atLeast"/>
        <w:ind w:left="360"/>
        <w:jc w:val="both"/>
        <w:rPr>
          <w:rFonts w:ascii="Book Antiqua" w:hAnsi="Book Antiqua" w:cs="Arial"/>
          <w:lang w:val="en-US"/>
        </w:rPr>
      </w:pPr>
      <w:r w:rsidRPr="001358CE">
        <w:rPr>
          <w:rFonts w:ascii="Book Antiqua" w:hAnsi="Book Antiqua" w:cs="Arial"/>
          <w:lang w:val="en-US"/>
        </w:rPr>
        <w:t>Equitable distribution of state support</w:t>
      </w:r>
    </w:p>
    <w:p w:rsidR="00351F2C" w:rsidRPr="001358CE" w:rsidRDefault="00351F2C" w:rsidP="008227FD">
      <w:pPr>
        <w:numPr>
          <w:ilvl w:val="0"/>
          <w:numId w:val="110"/>
        </w:numPr>
        <w:tabs>
          <w:tab w:val="clear" w:pos="720"/>
          <w:tab w:val="num" w:pos="360"/>
        </w:tabs>
        <w:spacing w:after="0" w:line="300" w:lineRule="atLeast"/>
        <w:ind w:left="360"/>
        <w:jc w:val="both"/>
        <w:rPr>
          <w:rFonts w:ascii="Book Antiqua" w:hAnsi="Book Antiqua" w:cs="Arial"/>
          <w:lang w:val="en-US"/>
        </w:rPr>
      </w:pPr>
      <w:r w:rsidRPr="001358CE">
        <w:rPr>
          <w:rFonts w:ascii="Book Antiqua" w:hAnsi="Book Antiqua" w:cs="Arial"/>
          <w:lang w:val="en-US"/>
        </w:rPr>
        <w:t xml:space="preserve">Equitable distribution of </w:t>
      </w:r>
      <w:r w:rsidR="00480D3D">
        <w:rPr>
          <w:rFonts w:ascii="Book Antiqua" w:hAnsi="Book Antiqua" w:cs="Arial"/>
          <w:lang w:val="en-US"/>
        </w:rPr>
        <w:t>REDD+</w:t>
      </w:r>
      <w:r w:rsidRPr="001358CE">
        <w:rPr>
          <w:rFonts w:ascii="Book Antiqua" w:hAnsi="Book Antiqua" w:cs="Arial"/>
          <w:lang w:val="en-US"/>
        </w:rPr>
        <w:t xml:space="preserve"> revenues between state and villagers and equitable distribution of </w:t>
      </w:r>
      <w:r w:rsidR="00480D3D">
        <w:rPr>
          <w:rFonts w:ascii="Book Antiqua" w:hAnsi="Book Antiqua" w:cs="Arial"/>
          <w:lang w:val="en-US"/>
        </w:rPr>
        <w:t>REDD+</w:t>
      </w:r>
      <w:r w:rsidRPr="001358CE">
        <w:rPr>
          <w:rFonts w:ascii="Book Antiqua" w:hAnsi="Book Antiqua" w:cs="Arial"/>
          <w:lang w:val="en-US"/>
        </w:rPr>
        <w:t xml:space="preserve"> payments between different kinds of recipients and between social groups</w:t>
      </w:r>
    </w:p>
    <w:p w:rsidR="00351F2C" w:rsidRPr="001358CE" w:rsidRDefault="00351F2C" w:rsidP="008227FD">
      <w:pPr>
        <w:numPr>
          <w:ilvl w:val="0"/>
          <w:numId w:val="110"/>
        </w:numPr>
        <w:tabs>
          <w:tab w:val="clear" w:pos="720"/>
          <w:tab w:val="num" w:pos="360"/>
        </w:tabs>
        <w:spacing w:after="0" w:line="300" w:lineRule="atLeast"/>
        <w:ind w:left="360"/>
        <w:jc w:val="both"/>
        <w:rPr>
          <w:rFonts w:ascii="Book Antiqua" w:hAnsi="Book Antiqua" w:cs="Arial"/>
          <w:lang w:val="en-US"/>
        </w:rPr>
      </w:pPr>
      <w:r w:rsidRPr="001358CE">
        <w:rPr>
          <w:rFonts w:ascii="Book Antiqua" w:hAnsi="Book Antiqua" w:cs="Arial"/>
          <w:lang w:val="en-US"/>
        </w:rPr>
        <w:t>Institutionalization of procedures for community consultation and participation in decision-making</w:t>
      </w:r>
    </w:p>
    <w:p w:rsidR="00351F2C" w:rsidRPr="001358CE" w:rsidRDefault="00351F2C" w:rsidP="008227FD">
      <w:pPr>
        <w:numPr>
          <w:ilvl w:val="0"/>
          <w:numId w:val="110"/>
        </w:numPr>
        <w:tabs>
          <w:tab w:val="clear" w:pos="720"/>
          <w:tab w:val="num" w:pos="360"/>
        </w:tabs>
        <w:spacing w:after="0" w:line="300" w:lineRule="atLeast"/>
        <w:ind w:left="360"/>
        <w:jc w:val="both"/>
        <w:rPr>
          <w:rFonts w:ascii="Book Antiqua" w:hAnsi="Book Antiqua" w:cs="Arial"/>
          <w:lang w:val="en-US"/>
        </w:rPr>
      </w:pPr>
      <w:r w:rsidRPr="001358CE">
        <w:rPr>
          <w:rFonts w:ascii="Book Antiqua" w:hAnsi="Book Antiqua" w:cs="Arial"/>
          <w:lang w:val="en-US"/>
        </w:rPr>
        <w:t>Continuation of forestland allocation</w:t>
      </w:r>
    </w:p>
    <w:p w:rsidR="00351F2C" w:rsidRPr="001358CE" w:rsidRDefault="00351F2C" w:rsidP="008227FD">
      <w:pPr>
        <w:numPr>
          <w:ilvl w:val="0"/>
          <w:numId w:val="110"/>
        </w:numPr>
        <w:tabs>
          <w:tab w:val="clear" w:pos="720"/>
          <w:tab w:val="num" w:pos="360"/>
        </w:tabs>
        <w:spacing w:after="0" w:line="300" w:lineRule="atLeast"/>
        <w:ind w:left="360"/>
        <w:rPr>
          <w:rFonts w:ascii="Book Antiqua" w:hAnsi="Book Antiqua" w:cs="Arial"/>
          <w:lang w:val="en-US"/>
        </w:rPr>
      </w:pPr>
      <w:r w:rsidRPr="001358CE">
        <w:rPr>
          <w:rFonts w:ascii="Book Antiqua" w:hAnsi="Book Antiqua" w:cs="Arial"/>
          <w:lang w:val="en-US"/>
        </w:rPr>
        <w:t>Provision of effective law enforcement in support of villagers’ forest rights</w:t>
      </w:r>
    </w:p>
    <w:p w:rsidR="00351F2C" w:rsidRPr="00445F77" w:rsidRDefault="00351F2C" w:rsidP="0020363F">
      <w:pPr>
        <w:spacing w:after="0" w:line="300" w:lineRule="atLeast"/>
        <w:rPr>
          <w:rFonts w:ascii="Arial" w:hAnsi="Arial" w:cs="Arial"/>
          <w:sz w:val="24"/>
          <w:szCs w:val="24"/>
          <w:lang w:val="en-US"/>
        </w:rPr>
      </w:pPr>
    </w:p>
    <w:p w:rsidR="00351F2C" w:rsidRPr="00445F77" w:rsidRDefault="00351F2C" w:rsidP="00284D0F">
      <w:pPr>
        <w:pStyle w:val="Heading2"/>
        <w:rPr>
          <w:rFonts w:ascii="Arial" w:hAnsi="Arial" w:cs="Arial"/>
          <w:sz w:val="24"/>
          <w:szCs w:val="24"/>
          <w:lang w:val="en-US"/>
        </w:rPr>
      </w:pPr>
      <w:bookmarkStart w:id="437" w:name="_Toc244586214"/>
      <w:bookmarkStart w:id="438" w:name="_Toc252354746"/>
      <w:r w:rsidRPr="00445F77">
        <w:rPr>
          <w:rFonts w:ascii="Arial" w:hAnsi="Arial" w:cs="Arial"/>
          <w:sz w:val="24"/>
          <w:szCs w:val="24"/>
          <w:lang w:val="en-US"/>
        </w:rPr>
        <w:t>6.4 The allocation mechanism</w:t>
      </w:r>
      <w:bookmarkEnd w:id="437"/>
      <w:bookmarkEnd w:id="438"/>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If sub-national </w:t>
      </w:r>
      <w:r w:rsidR="00480D3D">
        <w:rPr>
          <w:rFonts w:ascii="Book Antiqua" w:hAnsi="Book Antiqua" w:cs="Arial"/>
          <w:lang w:val="en-US"/>
        </w:rPr>
        <w:t>REDD+</w:t>
      </w:r>
      <w:r w:rsidRPr="001358CE">
        <w:rPr>
          <w:rFonts w:ascii="Book Antiqua" w:hAnsi="Book Antiqua" w:cs="Arial"/>
          <w:lang w:val="en-US"/>
        </w:rPr>
        <w:t xml:space="preserve"> Funds administer distribution of benefits to forest managers then the question is how they can allocate the available funds across space.  The Funds will have to make choices on what areas of forestland they want to target </w:t>
      </w:r>
      <w:r w:rsidR="00480D3D">
        <w:rPr>
          <w:rFonts w:ascii="Book Antiqua" w:hAnsi="Book Antiqua" w:cs="Arial"/>
          <w:lang w:val="en-US"/>
        </w:rPr>
        <w:t>REDD+</w:t>
      </w:r>
      <w:r w:rsidRPr="001358CE">
        <w:rPr>
          <w:rFonts w:ascii="Book Antiqua" w:hAnsi="Book Antiqua" w:cs="Arial"/>
          <w:lang w:val="en-US"/>
        </w:rPr>
        <w:t xml:space="preserve"> funds.  </w:t>
      </w:r>
    </w:p>
    <w:p w:rsidR="00351F2C" w:rsidRPr="001358CE" w:rsidRDefault="00351F2C" w:rsidP="0020363F">
      <w:pPr>
        <w:spacing w:after="0"/>
        <w:rPr>
          <w:rFonts w:ascii="Book Antiqua" w:hAnsi="Book Antiqua" w:cs="Arial"/>
          <w:lang w:val="en-US"/>
        </w:rPr>
      </w:pPr>
    </w:p>
    <w:p w:rsidR="00351F2C" w:rsidRPr="001358CE" w:rsidRDefault="00351F2C" w:rsidP="00A37267">
      <w:pPr>
        <w:spacing w:after="0" w:line="300" w:lineRule="atLeast"/>
        <w:jc w:val="both"/>
        <w:rPr>
          <w:rFonts w:ascii="Book Antiqua" w:hAnsi="Book Antiqua" w:cs="Arial"/>
          <w:lang w:val="en-US"/>
        </w:rPr>
      </w:pP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 possesses experience with three basic types of allocation mechanisms: administrative allocation through centralized procedures, market allocation involving </w:t>
      </w:r>
      <w:r w:rsidRPr="001358CE">
        <w:rPr>
          <w:rFonts w:ascii="Book Antiqua" w:hAnsi="Book Antiqua" w:cs="Arial"/>
          <w:lang w:val="en-US"/>
        </w:rPr>
        <w:lastRenderedPageBreak/>
        <w:t>non-state project developers, and administrative allocation by sub-national governments (see Table 6.3). Each possesses advantages and disadvantages in relation with the other ones.  Nevertheless, it appears that decentralized administrative allocation is the preferable option, at least in the medium term.  It can build on the experience gained in the pilot</w:t>
      </w:r>
      <w:r w:rsidR="001B6D90">
        <w:rPr>
          <w:rFonts w:ascii="Book Antiqua" w:hAnsi="Book Antiqua" w:cs="Arial"/>
          <w:lang w:val="en-US"/>
        </w:rPr>
        <w:t xml:space="preserve"> PFES</w:t>
      </w:r>
      <w:r w:rsidRPr="001358CE">
        <w:rPr>
          <w:rFonts w:ascii="Book Antiqua" w:hAnsi="Book Antiqua" w:cs="Arial"/>
          <w:lang w:val="en-US"/>
        </w:rPr>
        <w:t xml:space="preserve"> schemes in Son La and Lam Dong, is feasible within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’s larger political economy and avoids the inefficiencies stemming from centralized decision-making procedures.</w:t>
      </w:r>
    </w:p>
    <w:p w:rsidR="00351F2C" w:rsidRPr="00445F77" w:rsidRDefault="00351F2C" w:rsidP="00A37267">
      <w:pPr>
        <w:spacing w:after="0" w:line="300" w:lineRule="atLeast"/>
        <w:rPr>
          <w:rFonts w:ascii="Arial" w:hAnsi="Arial" w:cs="Arial"/>
          <w:sz w:val="24"/>
          <w:szCs w:val="24"/>
          <w:lang w:val="en-US"/>
        </w:rPr>
      </w:pPr>
    </w:p>
    <w:p w:rsidR="00351F2C" w:rsidRPr="001358CE" w:rsidRDefault="00351F2C" w:rsidP="00A37267">
      <w:pPr>
        <w:pStyle w:val="Caption"/>
        <w:spacing w:after="0"/>
        <w:jc w:val="center"/>
        <w:rPr>
          <w:rFonts w:ascii="Book Antiqua" w:hAnsi="Book Antiqua" w:cs="Arial"/>
          <w:sz w:val="22"/>
          <w:szCs w:val="22"/>
          <w:lang w:val="en-US"/>
        </w:rPr>
      </w:pPr>
      <w:r w:rsidRPr="001358CE">
        <w:rPr>
          <w:rFonts w:ascii="Book Antiqua" w:hAnsi="Book Antiqua" w:cs="Arial"/>
          <w:sz w:val="22"/>
          <w:szCs w:val="22"/>
          <w:lang w:val="en-US"/>
        </w:rPr>
        <w:t>Table 6.3: Potential allocation mechanisms</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AAECEE"/>
        <w:tblLook w:val="01E0"/>
      </w:tblPr>
      <w:tblGrid>
        <w:gridCol w:w="3277"/>
        <w:gridCol w:w="1925"/>
        <w:gridCol w:w="1877"/>
        <w:gridCol w:w="1925"/>
      </w:tblGrid>
      <w:tr w:rsidR="00FE38DF" w:rsidRPr="00445F77">
        <w:tc>
          <w:tcPr>
            <w:tcW w:w="3402" w:type="dxa"/>
            <w:shd w:val="clear" w:color="auto" w:fill="95B3D7"/>
          </w:tcPr>
          <w:p w:rsidR="00351F2C" w:rsidRPr="001358CE" w:rsidRDefault="00351F2C" w:rsidP="004D47BB">
            <w:pPr>
              <w:rPr>
                <w:rFonts w:ascii="Book Antiqua" w:hAnsi="Book Antiqua" w:cs="Arial"/>
                <w:sz w:val="20"/>
                <w:szCs w:val="20"/>
                <w:lang w:val="en-US"/>
              </w:rPr>
            </w:pPr>
          </w:p>
        </w:tc>
        <w:tc>
          <w:tcPr>
            <w:tcW w:w="1942" w:type="dxa"/>
            <w:shd w:val="clear" w:color="auto" w:fill="95B3D7"/>
          </w:tcPr>
          <w:p w:rsidR="00351F2C" w:rsidRPr="001358CE" w:rsidRDefault="00351F2C" w:rsidP="00177F3C">
            <w:pPr>
              <w:spacing w:after="0" w:line="240" w:lineRule="auto"/>
              <w:jc w:val="center"/>
              <w:rPr>
                <w:rFonts w:ascii="Book Antiqua" w:hAnsi="Book Antiqua" w:cs="Arial"/>
                <w:b/>
                <w:lang w:val="en-US"/>
              </w:rPr>
            </w:pPr>
            <w:r w:rsidRPr="001358CE">
              <w:rPr>
                <w:rFonts w:ascii="Book Antiqua" w:hAnsi="Book Antiqua" w:cs="Arial"/>
                <w:b/>
                <w:lang w:val="en-US"/>
              </w:rPr>
              <w:t>Centralized</w:t>
            </w:r>
          </w:p>
          <w:p w:rsidR="00351F2C" w:rsidRPr="001358CE" w:rsidRDefault="00351F2C" w:rsidP="00177F3C">
            <w:pPr>
              <w:spacing w:after="0" w:line="240" w:lineRule="auto"/>
              <w:jc w:val="center"/>
              <w:rPr>
                <w:rFonts w:ascii="Book Antiqua" w:hAnsi="Book Antiqua" w:cs="Arial"/>
                <w:b/>
                <w:lang w:val="en-US"/>
              </w:rPr>
            </w:pPr>
            <w:r w:rsidRPr="001358CE">
              <w:rPr>
                <w:rFonts w:ascii="Book Antiqua" w:hAnsi="Book Antiqua" w:cs="Arial"/>
                <w:b/>
                <w:lang w:val="en-US"/>
              </w:rPr>
              <w:t>administrative</w:t>
            </w:r>
          </w:p>
        </w:tc>
        <w:tc>
          <w:tcPr>
            <w:tcW w:w="1942" w:type="dxa"/>
            <w:shd w:val="clear" w:color="auto" w:fill="95B3D7"/>
          </w:tcPr>
          <w:p w:rsidR="00351F2C" w:rsidRPr="001358CE" w:rsidRDefault="00351F2C" w:rsidP="00177F3C">
            <w:pPr>
              <w:spacing w:after="0" w:line="240" w:lineRule="auto"/>
              <w:jc w:val="center"/>
              <w:rPr>
                <w:rFonts w:ascii="Book Antiqua" w:hAnsi="Book Antiqua" w:cs="Arial"/>
                <w:b/>
                <w:lang w:val="en-US"/>
              </w:rPr>
            </w:pPr>
            <w:r w:rsidRPr="001358CE">
              <w:rPr>
                <w:rFonts w:ascii="Book Antiqua" w:hAnsi="Book Antiqua" w:cs="Arial"/>
                <w:b/>
                <w:lang w:val="en-US"/>
              </w:rPr>
              <w:t>Market</w:t>
            </w:r>
          </w:p>
        </w:tc>
        <w:tc>
          <w:tcPr>
            <w:tcW w:w="1942" w:type="dxa"/>
            <w:shd w:val="clear" w:color="auto" w:fill="95B3D7"/>
          </w:tcPr>
          <w:p w:rsidR="00351F2C" w:rsidRPr="001358CE" w:rsidRDefault="00351F2C" w:rsidP="00177F3C">
            <w:pPr>
              <w:spacing w:after="0" w:line="240" w:lineRule="auto"/>
              <w:jc w:val="center"/>
              <w:rPr>
                <w:rFonts w:ascii="Book Antiqua" w:hAnsi="Book Antiqua" w:cs="Arial"/>
                <w:b/>
                <w:lang w:val="en-US"/>
              </w:rPr>
            </w:pPr>
            <w:r w:rsidRPr="001358CE">
              <w:rPr>
                <w:rFonts w:ascii="Book Antiqua" w:hAnsi="Book Antiqua" w:cs="Arial"/>
                <w:b/>
                <w:lang w:val="en-US"/>
              </w:rPr>
              <w:t>Decentralized</w:t>
            </w:r>
          </w:p>
          <w:p w:rsidR="00351F2C" w:rsidRPr="001358CE" w:rsidRDefault="00351F2C" w:rsidP="00177F3C">
            <w:pPr>
              <w:spacing w:after="0" w:line="240" w:lineRule="auto"/>
              <w:jc w:val="center"/>
              <w:rPr>
                <w:rFonts w:ascii="Book Antiqua" w:hAnsi="Book Antiqua" w:cs="Arial"/>
                <w:lang w:val="en-US"/>
              </w:rPr>
            </w:pPr>
            <w:r w:rsidRPr="001358CE">
              <w:rPr>
                <w:rFonts w:ascii="Book Antiqua" w:hAnsi="Book Antiqua" w:cs="Arial"/>
                <w:b/>
                <w:lang w:val="en-US"/>
              </w:rPr>
              <w:t>administrative</w:t>
            </w:r>
          </w:p>
        </w:tc>
      </w:tr>
      <w:tr w:rsidR="00FE38DF" w:rsidRPr="00445F77">
        <w:tc>
          <w:tcPr>
            <w:tcW w:w="3402" w:type="dxa"/>
            <w:shd w:val="clear" w:color="auto" w:fill="95B3D7"/>
          </w:tcPr>
          <w:p w:rsidR="00351F2C" w:rsidRPr="001358CE" w:rsidRDefault="00351F2C" w:rsidP="00373943">
            <w:pPr>
              <w:spacing w:after="0"/>
              <w:rPr>
                <w:rFonts w:ascii="Book Antiqua" w:hAnsi="Book Antiqua" w:cs="Arial"/>
                <w:b/>
                <w:sz w:val="20"/>
                <w:szCs w:val="20"/>
                <w:lang w:val="en-US"/>
              </w:rPr>
            </w:pPr>
            <w:r w:rsidRPr="001358CE">
              <w:rPr>
                <w:rFonts w:ascii="Book Antiqua" w:hAnsi="Book Antiqua" w:cs="Arial"/>
                <w:b/>
                <w:sz w:val="20"/>
                <w:szCs w:val="20"/>
                <w:lang w:val="en-US"/>
              </w:rPr>
              <w:t>Match of allocation outcome with site characteristics</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low</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very high</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high</w:t>
            </w:r>
          </w:p>
        </w:tc>
      </w:tr>
      <w:tr w:rsidR="00FE38DF" w:rsidRPr="00445F77">
        <w:tc>
          <w:tcPr>
            <w:tcW w:w="3402" w:type="dxa"/>
            <w:shd w:val="clear" w:color="auto" w:fill="95B3D7"/>
          </w:tcPr>
          <w:p w:rsidR="00351F2C" w:rsidRPr="001358CE" w:rsidRDefault="00351F2C" w:rsidP="00373943">
            <w:pPr>
              <w:spacing w:after="0"/>
              <w:rPr>
                <w:rFonts w:ascii="Book Antiqua" w:hAnsi="Book Antiqua" w:cs="Arial"/>
                <w:b/>
                <w:sz w:val="20"/>
                <w:szCs w:val="20"/>
                <w:lang w:val="en-US"/>
              </w:rPr>
            </w:pPr>
            <w:r w:rsidRPr="001358CE">
              <w:rPr>
                <w:rFonts w:ascii="Book Antiqua" w:hAnsi="Book Antiqua" w:cs="Arial"/>
                <w:b/>
                <w:sz w:val="20"/>
                <w:szCs w:val="20"/>
                <w:lang w:val="en-US"/>
              </w:rPr>
              <w:t>Efficient use of carbon finance</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very low</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very high</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high</w:t>
            </w:r>
          </w:p>
        </w:tc>
      </w:tr>
      <w:tr w:rsidR="00FE38DF" w:rsidRPr="00445F77">
        <w:tc>
          <w:tcPr>
            <w:tcW w:w="3402" w:type="dxa"/>
            <w:shd w:val="clear" w:color="auto" w:fill="95B3D7"/>
          </w:tcPr>
          <w:p w:rsidR="00351F2C" w:rsidRPr="001358CE" w:rsidRDefault="00351F2C" w:rsidP="00373943">
            <w:pPr>
              <w:spacing w:after="0"/>
              <w:rPr>
                <w:rFonts w:ascii="Book Antiqua" w:hAnsi="Book Antiqua" w:cs="Arial"/>
                <w:b/>
                <w:sz w:val="20"/>
                <w:szCs w:val="20"/>
                <w:lang w:val="en-US"/>
              </w:rPr>
            </w:pPr>
            <w:r w:rsidRPr="001358CE">
              <w:rPr>
                <w:rFonts w:ascii="Book Antiqua" w:hAnsi="Book Antiqua" w:cs="Arial"/>
                <w:b/>
                <w:sz w:val="20"/>
                <w:szCs w:val="20"/>
                <w:lang w:val="en-US"/>
              </w:rPr>
              <w:t>Performance base</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low</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very high</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high</w:t>
            </w:r>
          </w:p>
        </w:tc>
      </w:tr>
      <w:tr w:rsidR="00FE38DF" w:rsidRPr="00445F77">
        <w:tc>
          <w:tcPr>
            <w:tcW w:w="3402" w:type="dxa"/>
            <w:shd w:val="clear" w:color="auto" w:fill="95B3D7"/>
          </w:tcPr>
          <w:p w:rsidR="00351F2C" w:rsidRPr="001358CE" w:rsidRDefault="00351F2C" w:rsidP="00373943">
            <w:pPr>
              <w:spacing w:after="0"/>
              <w:rPr>
                <w:rFonts w:ascii="Book Antiqua" w:hAnsi="Book Antiqua" w:cs="Arial"/>
                <w:b/>
                <w:sz w:val="20"/>
                <w:szCs w:val="20"/>
                <w:lang w:val="en-US"/>
              </w:rPr>
            </w:pPr>
            <w:r w:rsidRPr="001358CE">
              <w:rPr>
                <w:rFonts w:ascii="Book Antiqua" w:hAnsi="Book Antiqua" w:cs="Arial"/>
                <w:b/>
                <w:sz w:val="20"/>
                <w:szCs w:val="20"/>
                <w:lang w:val="en-US"/>
              </w:rPr>
              <w:t>Match with current policy</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high</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very low</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low</w:t>
            </w:r>
          </w:p>
        </w:tc>
      </w:tr>
      <w:tr w:rsidR="00FE38DF" w:rsidRPr="00445F77">
        <w:tc>
          <w:tcPr>
            <w:tcW w:w="3402" w:type="dxa"/>
            <w:shd w:val="clear" w:color="auto" w:fill="95B3D7"/>
          </w:tcPr>
          <w:p w:rsidR="00351F2C" w:rsidRPr="001358CE" w:rsidRDefault="00351F2C" w:rsidP="00373943">
            <w:pPr>
              <w:spacing w:after="0"/>
              <w:rPr>
                <w:rFonts w:ascii="Book Antiqua" w:hAnsi="Book Antiqua" w:cs="Arial"/>
                <w:b/>
                <w:sz w:val="20"/>
                <w:szCs w:val="20"/>
                <w:lang w:val="en-US"/>
              </w:rPr>
            </w:pPr>
            <w:r w:rsidRPr="001358CE">
              <w:rPr>
                <w:rFonts w:ascii="Book Antiqua" w:hAnsi="Book Antiqua" w:cs="Arial"/>
                <w:b/>
                <w:sz w:val="20"/>
                <w:szCs w:val="20"/>
                <w:lang w:val="en-US"/>
              </w:rPr>
              <w:t>Political acceptance (central gov)</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high</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very low</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low</w:t>
            </w:r>
          </w:p>
        </w:tc>
      </w:tr>
      <w:tr w:rsidR="00FE38DF" w:rsidRPr="00445F77">
        <w:tc>
          <w:tcPr>
            <w:tcW w:w="3402" w:type="dxa"/>
            <w:shd w:val="clear" w:color="auto" w:fill="95B3D7"/>
          </w:tcPr>
          <w:p w:rsidR="00351F2C" w:rsidRPr="001358CE" w:rsidRDefault="00351F2C" w:rsidP="00373943">
            <w:pPr>
              <w:spacing w:after="0"/>
              <w:rPr>
                <w:rFonts w:ascii="Book Antiqua" w:hAnsi="Book Antiqua" w:cs="Arial"/>
                <w:b/>
                <w:sz w:val="20"/>
                <w:szCs w:val="20"/>
                <w:lang w:val="en-US"/>
              </w:rPr>
            </w:pPr>
            <w:r w:rsidRPr="001358CE">
              <w:rPr>
                <w:rFonts w:ascii="Book Antiqua" w:hAnsi="Book Antiqua" w:cs="Arial"/>
                <w:b/>
                <w:sz w:val="20"/>
                <w:szCs w:val="20"/>
                <w:lang w:val="en-US"/>
              </w:rPr>
              <w:t>Political acceptance (local gov)</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moderate</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very low</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high</w:t>
            </w:r>
          </w:p>
        </w:tc>
      </w:tr>
      <w:tr w:rsidR="00FE38DF" w:rsidRPr="00445F77">
        <w:tc>
          <w:tcPr>
            <w:tcW w:w="3402" w:type="dxa"/>
            <w:shd w:val="clear" w:color="auto" w:fill="95B3D7"/>
          </w:tcPr>
          <w:p w:rsidR="00351F2C" w:rsidRPr="001358CE" w:rsidRDefault="00351F2C" w:rsidP="00373943">
            <w:pPr>
              <w:spacing w:after="0"/>
              <w:rPr>
                <w:rFonts w:ascii="Book Antiqua" w:hAnsi="Book Antiqua" w:cs="Arial"/>
                <w:b/>
                <w:sz w:val="20"/>
                <w:szCs w:val="20"/>
                <w:lang w:val="en-US"/>
              </w:rPr>
            </w:pPr>
            <w:r w:rsidRPr="001358CE">
              <w:rPr>
                <w:rFonts w:ascii="Book Antiqua" w:hAnsi="Book Antiqua" w:cs="Arial"/>
                <w:b/>
                <w:sz w:val="20"/>
                <w:szCs w:val="20"/>
                <w:lang w:val="en-US"/>
              </w:rPr>
              <w:t>Transparency</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low</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high</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high</w:t>
            </w:r>
          </w:p>
        </w:tc>
      </w:tr>
      <w:tr w:rsidR="00FE38DF" w:rsidRPr="00445F77">
        <w:tc>
          <w:tcPr>
            <w:tcW w:w="3402" w:type="dxa"/>
            <w:shd w:val="clear" w:color="auto" w:fill="95B3D7"/>
          </w:tcPr>
          <w:p w:rsidR="00351F2C" w:rsidRPr="001358CE" w:rsidRDefault="00351F2C" w:rsidP="00373943">
            <w:pPr>
              <w:spacing w:after="0"/>
              <w:rPr>
                <w:rFonts w:ascii="Book Antiqua" w:hAnsi="Book Antiqua" w:cs="Arial"/>
                <w:b/>
                <w:sz w:val="20"/>
                <w:szCs w:val="20"/>
                <w:lang w:val="en-US"/>
              </w:rPr>
            </w:pPr>
            <w:r w:rsidRPr="001358CE">
              <w:rPr>
                <w:rFonts w:ascii="Book Antiqua" w:hAnsi="Book Antiqua" w:cs="Arial"/>
                <w:b/>
                <w:sz w:val="20"/>
                <w:szCs w:val="20"/>
                <w:lang w:val="en-US"/>
              </w:rPr>
              <w:t>Needs for capacity building</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moderate</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very high</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moderate</w:t>
            </w:r>
          </w:p>
        </w:tc>
      </w:tr>
      <w:tr w:rsidR="00FE38DF" w:rsidRPr="00445F77">
        <w:tc>
          <w:tcPr>
            <w:tcW w:w="3402" w:type="dxa"/>
            <w:shd w:val="clear" w:color="auto" w:fill="95B3D7"/>
          </w:tcPr>
          <w:p w:rsidR="00351F2C" w:rsidRPr="001358CE" w:rsidRDefault="00351F2C" w:rsidP="00373943">
            <w:pPr>
              <w:spacing w:after="0"/>
              <w:rPr>
                <w:rFonts w:ascii="Book Antiqua" w:hAnsi="Book Antiqua" w:cs="Arial"/>
                <w:b/>
                <w:sz w:val="20"/>
                <w:szCs w:val="20"/>
                <w:lang w:val="en-US"/>
              </w:rPr>
            </w:pPr>
            <w:r w:rsidRPr="001358CE">
              <w:rPr>
                <w:rFonts w:ascii="Book Antiqua" w:hAnsi="Book Antiqua" w:cs="Arial"/>
                <w:b/>
                <w:sz w:val="20"/>
                <w:szCs w:val="20"/>
                <w:lang w:val="en-US"/>
              </w:rPr>
              <w:t>Transaction costs</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high</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very high</w:t>
            </w:r>
          </w:p>
        </w:tc>
        <w:tc>
          <w:tcPr>
            <w:tcW w:w="1942" w:type="dxa"/>
            <w:shd w:val="clear" w:color="auto" w:fill="DBE5F1"/>
          </w:tcPr>
          <w:p w:rsidR="00351F2C" w:rsidRPr="001358CE" w:rsidRDefault="00351F2C" w:rsidP="003E3CBA">
            <w:pPr>
              <w:numPr>
                <w:ilvl w:val="0"/>
                <w:numId w:val="25"/>
              </w:numPr>
              <w:tabs>
                <w:tab w:val="clear" w:pos="720"/>
                <w:tab w:val="num" w:pos="198"/>
              </w:tabs>
              <w:spacing w:after="0" w:line="240" w:lineRule="auto"/>
              <w:ind w:left="202" w:hanging="245"/>
              <w:rPr>
                <w:rFonts w:ascii="Book Antiqua" w:hAnsi="Book Antiqua" w:cs="Arial"/>
                <w:sz w:val="20"/>
                <w:szCs w:val="20"/>
                <w:lang w:val="en-US"/>
              </w:rPr>
            </w:pPr>
            <w:r w:rsidRPr="001358CE">
              <w:rPr>
                <w:rFonts w:ascii="Book Antiqua" w:hAnsi="Book Antiqua" w:cs="Arial"/>
                <w:sz w:val="20"/>
                <w:szCs w:val="20"/>
                <w:lang w:val="en-US"/>
              </w:rPr>
              <w:t>moderate</w:t>
            </w:r>
          </w:p>
        </w:tc>
      </w:tr>
    </w:tbl>
    <w:p w:rsidR="00351F2C" w:rsidRPr="00445F77" w:rsidRDefault="00351F2C" w:rsidP="004D47BB">
      <w:pPr>
        <w:rPr>
          <w:rFonts w:ascii="Arial" w:hAnsi="Arial" w:cs="Arial"/>
          <w:sz w:val="24"/>
          <w:szCs w:val="24"/>
          <w:lang w:val="en-US"/>
        </w:rPr>
      </w:pPr>
    </w:p>
    <w:p w:rsidR="00351F2C" w:rsidRPr="001358CE" w:rsidRDefault="00C47C3B" w:rsidP="0020363F">
      <w:pPr>
        <w:spacing w:after="0" w:line="300" w:lineRule="atLeast"/>
        <w:jc w:val="both"/>
        <w:rPr>
          <w:rFonts w:ascii="Book Antiqua" w:hAnsi="Book Antiqua" w:cs="Arial"/>
          <w:lang w:val="en-US"/>
        </w:rPr>
      </w:pPr>
      <w:r w:rsidRPr="00C47C3B">
        <w:rPr>
          <w:rFonts w:ascii="Arial" w:hAnsi="Arial" w:cs="Arial"/>
          <w:sz w:val="24"/>
          <w:szCs w:val="24"/>
          <w:lang w:val="en-US"/>
        </w:rPr>
        <w:pict>
          <v:group id="_x0000_s1515" editas="canvas" style="position:absolute;left:0;text-align:left;margin-left:2.25pt;margin-top:422.75pt;width:291.45pt;height:271.75pt;z-index:251639296;mso-position-horizontal-relative:margin;mso-position-vertical-relative:margin" coordorigin="3112,6367" coordsize="4663,4348">
            <o:lock v:ext="edit" aspectratio="t"/>
            <v:shape id="_x0000_s1516" type="#_x0000_t75" style="position:absolute;left:3112;top:6367;width:4663;height:4348" o:preferrelative="f">
              <v:fill o:detectmouseclick="t"/>
              <v:path o:extrusionok="t" o:connecttype="none"/>
              <o:lock v:ext="edit" text="t"/>
            </v:shape>
            <v:shape id="_x0000_s1517" type="#_x0000_t202" style="position:absolute;left:3208;top:6367;width:4471;height:4288" fillcolor="#dbe5f1" strokeweight="1pt">
              <v:imagedata embosscolor="shadow add(51)"/>
              <v:shadow on="t" color="#95b3d7" offset="4pt,4pt" offset2="4pt,4pt"/>
              <v:textbox style="mso-next-textbox:#_x0000_s1517">
                <w:txbxContent>
                  <w:p w:rsidR="00B4351F" w:rsidRDefault="00B4351F">
                    <w:pPr>
                      <w:spacing w:after="60" w:line="240" w:lineRule="auto"/>
                      <w:rPr>
                        <w:sz w:val="20"/>
                        <w:szCs w:val="20"/>
                      </w:rPr>
                    </w:pPr>
                    <w:smartTag w:uri="urn:schemas-microsoft-com:office:smarttags" w:element="address">
                      <w:smartTag w:uri="urn:schemas-microsoft-com:office:smarttags" w:element="Street">
                        <w:r w:rsidRPr="00177F3C">
                          <w:rPr>
                            <w:b/>
                            <w:sz w:val="20"/>
                            <w:szCs w:val="20"/>
                          </w:rPr>
                          <w:t>Box</w:t>
                        </w:r>
                      </w:smartTag>
                      <w:r w:rsidRPr="00177F3C">
                        <w:rPr>
                          <w:b/>
                          <w:sz w:val="20"/>
                          <w:szCs w:val="20"/>
                        </w:rPr>
                        <w:t xml:space="preserve"> </w:t>
                      </w:r>
                      <w:r>
                        <w:rPr>
                          <w:b/>
                          <w:sz w:val="20"/>
                          <w:szCs w:val="20"/>
                        </w:rPr>
                        <w:t>6.</w:t>
                      </w:r>
                      <w:r w:rsidRPr="00177F3C">
                        <w:rPr>
                          <w:b/>
                          <w:sz w:val="20"/>
                          <w:szCs w:val="20"/>
                        </w:rPr>
                        <w:t>2</w:t>
                      </w:r>
                    </w:smartTag>
                    <w:r w:rsidRPr="00177F3C">
                      <w:rPr>
                        <w:b/>
                        <w:sz w:val="20"/>
                        <w:szCs w:val="20"/>
                      </w:rPr>
                      <w:t>:</w:t>
                    </w:r>
                    <w:r w:rsidRPr="00177F3C">
                      <w:rPr>
                        <w:sz w:val="20"/>
                        <w:szCs w:val="20"/>
                      </w:rPr>
                      <w:t xml:space="preserve"> Potential uses of a coefficient for the allocation of REDD funds</w:t>
                    </w:r>
                  </w:p>
                  <w:p w:rsidR="00B4351F" w:rsidRDefault="00B4351F">
                    <w:pPr>
                      <w:spacing w:after="60" w:line="240" w:lineRule="auto"/>
                      <w:jc w:val="both"/>
                      <w:rPr>
                        <w:sz w:val="20"/>
                        <w:szCs w:val="20"/>
                      </w:rPr>
                    </w:pPr>
                    <w:r w:rsidRPr="00177F3C">
                      <w:rPr>
                        <w:sz w:val="20"/>
                        <w:szCs w:val="20"/>
                      </w:rPr>
                      <w:t>One can imagine the operation of district-level REDD Funds in three different districts.  District A includes a protected area with significant biodiversity.  District B is located in a remote area with high poverty levels.  The population in district C is relatively well off, in part due to commercial tree plantations.</w:t>
                    </w:r>
                  </w:p>
                  <w:p w:rsidR="00B4351F" w:rsidRDefault="00B4351F">
                    <w:pPr>
                      <w:spacing w:after="60" w:line="240" w:lineRule="auto"/>
                      <w:jc w:val="both"/>
                      <w:rPr>
                        <w:sz w:val="20"/>
                        <w:szCs w:val="20"/>
                      </w:rPr>
                    </w:pPr>
                    <w:r w:rsidRPr="00177F3C">
                      <w:rPr>
                        <w:sz w:val="20"/>
                        <w:szCs w:val="20"/>
                      </w:rPr>
                      <w:t>The district-level REDD Funds may decide to use different coefficients for the allocation of payments:</w:t>
                    </w:r>
                  </w:p>
                  <w:p w:rsidR="00B4351F" w:rsidRDefault="00B4351F" w:rsidP="003E3CBA">
                    <w:pPr>
                      <w:numPr>
                        <w:ilvl w:val="0"/>
                        <w:numId w:val="27"/>
                      </w:numPr>
                      <w:tabs>
                        <w:tab w:val="clear" w:pos="720"/>
                        <w:tab w:val="num" w:pos="360"/>
                      </w:tabs>
                      <w:spacing w:after="60" w:line="240" w:lineRule="auto"/>
                      <w:ind w:left="360"/>
                      <w:jc w:val="both"/>
                      <w:rPr>
                        <w:sz w:val="20"/>
                        <w:szCs w:val="20"/>
                      </w:rPr>
                    </w:pPr>
                    <w:r w:rsidRPr="00177F3C">
                      <w:rPr>
                        <w:sz w:val="20"/>
                        <w:szCs w:val="20"/>
                      </w:rPr>
                      <w:t>District A promotes the conservation of biodiversity by giving forest located in the protected area a higher coefficient than forest of equal carbon potential located outside the protected area.</w:t>
                    </w:r>
                  </w:p>
                  <w:p w:rsidR="00B4351F" w:rsidRDefault="00B4351F" w:rsidP="003E3CBA">
                    <w:pPr>
                      <w:numPr>
                        <w:ilvl w:val="0"/>
                        <w:numId w:val="27"/>
                      </w:numPr>
                      <w:tabs>
                        <w:tab w:val="clear" w:pos="720"/>
                        <w:tab w:val="num" w:pos="360"/>
                      </w:tabs>
                      <w:spacing w:after="60" w:line="240" w:lineRule="auto"/>
                      <w:ind w:left="360"/>
                      <w:jc w:val="both"/>
                      <w:rPr>
                        <w:sz w:val="20"/>
                        <w:szCs w:val="20"/>
                      </w:rPr>
                    </w:pPr>
                    <w:r w:rsidRPr="00177F3C">
                      <w:rPr>
                        <w:sz w:val="20"/>
                        <w:szCs w:val="20"/>
                      </w:rPr>
                      <w:t>District B incorporates the objective of poverty alleviation by granting payments made to village communities a higher coefficient than those transferred to Forestry Companies for forest with the same carbon potential.</w:t>
                    </w:r>
                  </w:p>
                  <w:p w:rsidR="00B4351F" w:rsidRDefault="00B4351F" w:rsidP="003E3CBA">
                    <w:pPr>
                      <w:numPr>
                        <w:ilvl w:val="0"/>
                        <w:numId w:val="27"/>
                      </w:numPr>
                      <w:tabs>
                        <w:tab w:val="clear" w:pos="720"/>
                        <w:tab w:val="num" w:pos="360"/>
                      </w:tabs>
                      <w:spacing w:after="60" w:line="240" w:lineRule="auto"/>
                      <w:ind w:left="360"/>
                      <w:jc w:val="both"/>
                      <w:rPr>
                        <w:sz w:val="20"/>
                        <w:szCs w:val="20"/>
                      </w:rPr>
                    </w:pPr>
                    <w:r w:rsidRPr="00177F3C">
                      <w:rPr>
                        <w:sz w:val="20"/>
                        <w:szCs w:val="20"/>
                      </w:rPr>
                      <w:t>District C seeks to encourage plantation owners to extend their rotation cycles by exclusively focusing their coefficient on the carbon potential of forests.</w:t>
                    </w:r>
                  </w:p>
                </w:txbxContent>
              </v:textbox>
            </v:shape>
            <w10:wrap type="square" anchorx="margin" anchory="margin"/>
          </v:group>
        </w:pict>
      </w:r>
      <w:r w:rsidR="00351F2C" w:rsidRPr="001358CE">
        <w:rPr>
          <w:rFonts w:ascii="Book Antiqua" w:hAnsi="Book Antiqua" w:cs="Arial"/>
          <w:lang w:val="en-US"/>
        </w:rPr>
        <w:t>The use of a coefficient to differentiate the ‘</w:t>
      </w:r>
      <w:r w:rsidR="00480D3D">
        <w:rPr>
          <w:rFonts w:ascii="Book Antiqua" w:hAnsi="Book Antiqua" w:cs="Arial"/>
          <w:lang w:val="en-US"/>
        </w:rPr>
        <w:t>REDD+</w:t>
      </w:r>
      <w:r w:rsidR="00351F2C" w:rsidRPr="001358CE">
        <w:rPr>
          <w:rFonts w:ascii="Book Antiqua" w:hAnsi="Book Antiqua" w:cs="Arial"/>
          <w:lang w:val="en-US"/>
        </w:rPr>
        <w:t xml:space="preserve"> value’ of different locations opens up special opportunities for sub-national </w:t>
      </w:r>
      <w:r w:rsidR="00480D3D">
        <w:rPr>
          <w:rFonts w:ascii="Book Antiqua" w:hAnsi="Book Antiqua" w:cs="Arial"/>
          <w:lang w:val="en-US"/>
        </w:rPr>
        <w:t>REDD+</w:t>
      </w:r>
      <w:r w:rsidR="00351F2C" w:rsidRPr="001358CE">
        <w:rPr>
          <w:rFonts w:ascii="Book Antiqua" w:hAnsi="Book Antiqua" w:cs="Arial"/>
          <w:lang w:val="en-US"/>
        </w:rPr>
        <w:t xml:space="preserve"> Funds to steer the available finance in the most desirable direction.  They may decide to exclusively focus on the potential of different sites to produce increases in carbon stocks and use carbon criteria for the calculation of applicable coefficients only.  Alternatively, they may choose to consider the production of co-benefits together with increases in carbon stocks.  The use of weighted coefficients would be a practical way to factor attention to the production of co-benefits into the sub-national allocation of </w:t>
      </w:r>
      <w:r w:rsidR="00480D3D">
        <w:rPr>
          <w:rFonts w:ascii="Book Antiqua" w:hAnsi="Book Antiqua" w:cs="Arial"/>
          <w:lang w:val="en-US"/>
        </w:rPr>
        <w:t>REDD+</w:t>
      </w:r>
      <w:r w:rsidR="00351F2C" w:rsidRPr="001358CE">
        <w:rPr>
          <w:rFonts w:ascii="Book Antiqua" w:hAnsi="Book Antiqua" w:cs="Arial"/>
          <w:lang w:val="en-US"/>
        </w:rPr>
        <w:t xml:space="preserve"> funds (see Text Box 6.2).</w:t>
      </w:r>
    </w:p>
    <w:p w:rsidR="00351F2C" w:rsidRPr="001358CE" w:rsidRDefault="00351F2C" w:rsidP="0020363F">
      <w:pPr>
        <w:spacing w:after="0" w:line="300" w:lineRule="atLeast"/>
        <w:jc w:val="both"/>
        <w:rPr>
          <w:rFonts w:ascii="Book Antiqua" w:hAnsi="Book Antiqua" w:cs="Arial"/>
          <w:lang w:val="en-US"/>
        </w:rPr>
      </w:pPr>
    </w:p>
    <w:p w:rsidR="00351F2C" w:rsidRPr="001358CE" w:rsidRDefault="00351F2C" w:rsidP="00A37267">
      <w:pPr>
        <w:spacing w:after="0" w:line="300" w:lineRule="atLeast"/>
        <w:jc w:val="both"/>
        <w:rPr>
          <w:rFonts w:ascii="Book Antiqua" w:hAnsi="Book Antiqua" w:cs="Arial"/>
          <w:lang w:val="en-US"/>
        </w:rPr>
      </w:pPr>
      <w:r w:rsidRPr="001358CE">
        <w:rPr>
          <w:rFonts w:ascii="Book Antiqua" w:hAnsi="Book Antiqua" w:cs="Arial"/>
          <w:lang w:val="en-US"/>
        </w:rPr>
        <w:t xml:space="preserve">The coefficient would then be applied to the area that was under a performance requirement (hectares) and the degree to which the performance requirement was met (100%, 50% and so on). </w:t>
      </w:r>
    </w:p>
    <w:p w:rsidR="00351F2C" w:rsidRPr="00445F77" w:rsidRDefault="00351F2C" w:rsidP="00A37267">
      <w:pPr>
        <w:spacing w:after="0"/>
        <w:rPr>
          <w:rFonts w:ascii="Arial" w:hAnsi="Arial" w:cs="Arial"/>
          <w:sz w:val="24"/>
          <w:szCs w:val="24"/>
          <w:lang w:val="en-US"/>
        </w:rPr>
      </w:pPr>
    </w:p>
    <w:p w:rsidR="00351F2C" w:rsidRPr="00445F77" w:rsidRDefault="00351F2C" w:rsidP="00A37267">
      <w:pPr>
        <w:pStyle w:val="Heading2"/>
        <w:spacing w:before="0" w:after="0"/>
        <w:rPr>
          <w:rFonts w:ascii="Arial" w:hAnsi="Arial" w:cs="Arial"/>
          <w:sz w:val="24"/>
          <w:szCs w:val="24"/>
          <w:lang w:val="en-US"/>
        </w:rPr>
      </w:pPr>
      <w:bookmarkStart w:id="439" w:name="_Toc244586219"/>
      <w:bookmarkStart w:id="440" w:name="_Toc252354747"/>
      <w:r w:rsidRPr="00445F77">
        <w:rPr>
          <w:rFonts w:ascii="Arial" w:hAnsi="Arial" w:cs="Arial"/>
          <w:sz w:val="24"/>
          <w:szCs w:val="24"/>
          <w:lang w:val="en-US"/>
        </w:rPr>
        <w:t>6.5 Linking benefit distribution to performance</w:t>
      </w:r>
      <w:bookmarkEnd w:id="439"/>
      <w:bookmarkEnd w:id="440"/>
    </w:p>
    <w:p w:rsidR="00351F2C" w:rsidRPr="001358CE" w:rsidRDefault="00351F2C" w:rsidP="00A37267">
      <w:pPr>
        <w:spacing w:after="0" w:line="300" w:lineRule="atLeast"/>
        <w:jc w:val="both"/>
        <w:rPr>
          <w:rFonts w:ascii="Book Antiqua" w:hAnsi="Book Antiqua" w:cs="Arial"/>
          <w:lang w:val="en-US"/>
        </w:rPr>
      </w:pPr>
      <w:r w:rsidRPr="001358CE">
        <w:rPr>
          <w:rFonts w:ascii="Book Antiqua" w:hAnsi="Book Antiqua" w:cs="Arial"/>
          <w:lang w:val="en-US"/>
        </w:rPr>
        <w:t xml:space="preserve">The distribution of </w:t>
      </w:r>
      <w:r w:rsidR="00480D3D">
        <w:rPr>
          <w:rFonts w:ascii="Book Antiqua" w:hAnsi="Book Antiqua" w:cs="Arial"/>
          <w:lang w:val="en-US"/>
        </w:rPr>
        <w:t>REDD+</w:t>
      </w:r>
      <w:r w:rsidRPr="001358CE">
        <w:rPr>
          <w:rFonts w:ascii="Book Antiqua" w:hAnsi="Book Antiqua" w:cs="Arial"/>
          <w:lang w:val="en-US"/>
        </w:rPr>
        <w:t xml:space="preserve"> benefits at the sub-national level will have to be linked to actual performance.  This requirement involves two tasks.  First,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 will have to develop a carbon measurement system that combines appropriate measurement techniques with a suitable institutional structure.  The technical aspects of such measurement are not the subject of this report.  The focus here, therefore, is on a suitable institutional structure for the assessment of performance.  Second,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’s sub-national payment distribution mechanism will need to make payments dependent on performance.  This can be achieved not only by making distribution of </w:t>
      </w:r>
      <w:r w:rsidR="00480D3D">
        <w:rPr>
          <w:rFonts w:ascii="Book Antiqua" w:hAnsi="Book Antiqua" w:cs="Arial"/>
          <w:lang w:val="en-US"/>
        </w:rPr>
        <w:t>REDD+</w:t>
      </w:r>
      <w:r w:rsidRPr="001358CE">
        <w:rPr>
          <w:rFonts w:ascii="Book Antiqua" w:hAnsi="Book Antiqua" w:cs="Arial"/>
          <w:lang w:val="en-US"/>
        </w:rPr>
        <w:t xml:space="preserve"> benefits conditional upon measured performance but also by timing </w:t>
      </w:r>
      <w:r w:rsidR="00480D3D">
        <w:rPr>
          <w:rFonts w:ascii="Book Antiqua" w:hAnsi="Book Antiqua" w:cs="Arial"/>
          <w:lang w:val="en-US"/>
        </w:rPr>
        <w:t>REDD+</w:t>
      </w:r>
      <w:r w:rsidRPr="001358CE">
        <w:rPr>
          <w:rFonts w:ascii="Book Antiqua" w:hAnsi="Book Antiqua" w:cs="Arial"/>
          <w:lang w:val="en-US"/>
        </w:rPr>
        <w:t xml:space="preserve"> payments in an appropriate manner.  </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0B3E9D">
        <w:rPr>
          <w:rFonts w:ascii="Book Antiqua" w:hAnsi="Book Antiqua" w:cs="Arial"/>
          <w:lang w:val="en-US"/>
        </w:rPr>
        <w:t>Section</w:t>
      </w:r>
      <w:r w:rsidR="000B3E9D" w:rsidRPr="000B3E9D">
        <w:rPr>
          <w:rFonts w:ascii="Book Antiqua" w:hAnsi="Book Antiqua" w:cs="Arial"/>
          <w:lang w:val="en-US"/>
        </w:rPr>
        <w:t>s 6.1 and 6.2</w:t>
      </w:r>
      <w:r w:rsidRPr="000B3E9D">
        <w:rPr>
          <w:rFonts w:ascii="Book Antiqua" w:hAnsi="Book Antiqua" w:cs="Arial"/>
          <w:lang w:val="en-US"/>
        </w:rPr>
        <w:t xml:space="preserve"> survey</w:t>
      </w:r>
      <w:r w:rsidRPr="001358CE">
        <w:rPr>
          <w:rFonts w:ascii="Book Antiqua" w:hAnsi="Book Antiqua" w:cs="Arial"/>
          <w:lang w:val="en-US"/>
        </w:rPr>
        <w:t xml:space="preserve"> experience from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 and other countries on how payments for ecosystem services can be linked to performance.  It included a brief review of the 661 </w:t>
      </w:r>
      <w:r w:rsidR="00480D3D">
        <w:rPr>
          <w:rFonts w:ascii="Book Antiqua" w:hAnsi="Book Antiqua" w:cs="Arial"/>
          <w:lang w:val="en-US"/>
        </w:rPr>
        <w:t>Programme</w:t>
      </w:r>
      <w:r w:rsidRPr="001358CE">
        <w:rPr>
          <w:rFonts w:ascii="Book Antiqua" w:hAnsi="Book Antiqua" w:cs="Arial"/>
          <w:lang w:val="en-US"/>
        </w:rPr>
        <w:t>, pointing out the lack of enforceable conditionality to the lack of a suitable institutional structure.  It finds a similar problem in the</w:t>
      </w:r>
      <w:r w:rsidR="001B6D90">
        <w:rPr>
          <w:rFonts w:ascii="Book Antiqua" w:hAnsi="Book Antiqua" w:cs="Arial"/>
          <w:lang w:val="en-US"/>
        </w:rPr>
        <w:t xml:space="preserve"> PFES</w:t>
      </w:r>
      <w:r w:rsidRPr="001358CE">
        <w:rPr>
          <w:rFonts w:ascii="Book Antiqua" w:hAnsi="Book Antiqua" w:cs="Arial"/>
          <w:lang w:val="en-US"/>
        </w:rPr>
        <w:t xml:space="preserve"> schemes in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 and other countries.  In contrast, payments in CDM and voluntary carbon market projects are fully based on measured performance, yet they typically require high start-up investments from third parties.  The section finally turns to two reforestation initiatives in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as those apply interesting micro finance approaches that combine attention to the required upfront incentives and resources with a clear link to performance.</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As </w:t>
      </w:r>
      <w:r w:rsidRPr="000B3E9D">
        <w:rPr>
          <w:rFonts w:ascii="Book Antiqua" w:hAnsi="Book Antiqua" w:cs="Arial"/>
          <w:lang w:val="en-US"/>
        </w:rPr>
        <w:t xml:space="preserve">pointed out above (see </w:t>
      </w:r>
      <w:r w:rsidR="000B3E9D" w:rsidRPr="000B3E9D">
        <w:rPr>
          <w:rFonts w:ascii="Book Antiqua" w:hAnsi="Book Antiqua" w:cs="Arial"/>
          <w:lang w:val="en-US"/>
        </w:rPr>
        <w:t>Chapters 2 and 3</w:t>
      </w:r>
      <w:r w:rsidRPr="000B3E9D">
        <w:rPr>
          <w:rFonts w:ascii="Book Antiqua" w:hAnsi="Book Antiqua" w:cs="Arial"/>
          <w:lang w:val="en-US"/>
        </w:rPr>
        <w:t xml:space="preserve">), </w:t>
      </w:r>
      <w:r w:rsidR="000B3E9D">
        <w:rPr>
          <w:rFonts w:ascii="Book Antiqua" w:hAnsi="Book Antiqua" w:cs="Arial"/>
          <w:lang w:val="en-US"/>
        </w:rPr>
        <w:t xml:space="preserve">to a large extent </w:t>
      </w:r>
      <w:r w:rsidR="000B3E9D" w:rsidRPr="001358CE">
        <w:rPr>
          <w:rFonts w:ascii="Book Antiqua" w:hAnsi="Book Antiqua" w:cs="Arial"/>
          <w:lang w:val="en-US"/>
        </w:rPr>
        <w:t>the current land management system</w:t>
      </w:r>
      <w:r w:rsidR="000B3E9D" w:rsidRPr="000B3E9D">
        <w:rPr>
          <w:rFonts w:ascii="Book Antiqua" w:hAnsi="Book Antiqua" w:cs="Arial"/>
          <w:lang w:val="en-US"/>
        </w:rPr>
        <w:t xml:space="preserve"> </w:t>
      </w:r>
      <w:r w:rsidR="000B3E9D">
        <w:rPr>
          <w:rFonts w:ascii="Book Antiqua" w:hAnsi="Book Antiqua" w:cs="Arial"/>
          <w:lang w:val="en-US"/>
        </w:rPr>
        <w:t xml:space="preserve">in </w:t>
      </w:r>
      <w:smartTag w:uri="urn:schemas-microsoft-com:office:smarttags" w:element="country-region">
        <w:smartTag w:uri="urn:schemas-microsoft-com:office:smarttags" w:element="place">
          <w:r w:rsidRPr="000B3E9D">
            <w:rPr>
              <w:rFonts w:ascii="Book Antiqua" w:hAnsi="Book Antiqua" w:cs="Arial"/>
              <w:lang w:val="en-US"/>
            </w:rPr>
            <w:t>Viet Nam</w:t>
          </w:r>
        </w:smartTag>
      </w:smartTag>
      <w:r w:rsidRPr="001358CE">
        <w:rPr>
          <w:rFonts w:ascii="Book Antiqua" w:hAnsi="Book Antiqua" w:cs="Arial"/>
          <w:lang w:val="en-US"/>
        </w:rPr>
        <w:t xml:space="preserve"> relies on narrow legal prescriptions to entice appropriate land use.  This implies that forest managers are paid for management practices which they are obliged to implement by forest regulations anyway (cf. Wunder et al. 2005).  Yet in practice, forest managers often have a choice how they want to use forestland and manage forests.  Paying forest managers for forest conservation, therefore, is justifiable in practice and should be closely tied to performance. National legislation, including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’s forestland classification scheme, needs to provide the required legal framework to do so.</w:t>
      </w:r>
    </w:p>
    <w:p w:rsidR="00351F2C" w:rsidRPr="001358CE" w:rsidRDefault="00351F2C" w:rsidP="0020363F">
      <w:pPr>
        <w:spacing w:after="0" w:line="300" w:lineRule="atLeast"/>
        <w:jc w:val="both"/>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It is clear that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’s future </w:t>
      </w:r>
      <w:r w:rsidR="00480D3D">
        <w:rPr>
          <w:rFonts w:ascii="Book Antiqua" w:hAnsi="Book Antiqua" w:cs="Arial"/>
          <w:lang w:val="en-US"/>
        </w:rPr>
        <w:t>REDD+</w:t>
      </w:r>
      <w:r w:rsidRPr="001358CE">
        <w:rPr>
          <w:rFonts w:ascii="Book Antiqua" w:hAnsi="Book Antiqua" w:cs="Arial"/>
          <w:lang w:val="en-US"/>
        </w:rPr>
        <w:t xml:space="preserve"> </w:t>
      </w:r>
      <w:r w:rsidR="00480D3D">
        <w:rPr>
          <w:rFonts w:ascii="Book Antiqua" w:hAnsi="Book Antiqua" w:cs="Arial"/>
          <w:lang w:val="en-US"/>
        </w:rPr>
        <w:t>Programme</w:t>
      </w:r>
      <w:r w:rsidRPr="001358CE">
        <w:rPr>
          <w:rFonts w:ascii="Book Antiqua" w:hAnsi="Book Antiqua" w:cs="Arial"/>
          <w:lang w:val="en-US"/>
        </w:rPr>
        <w:t xml:space="preserve"> will have to develop new technical and institutional approaches to the measurement of performance.  The technical components of performance measurement are clearly recognized and not the subject of this report.  Institutional aspects have received less attention but are crucial for a measurement system that is sufficiently accurate to indicate actual performance and recognized by the international </w:t>
      </w:r>
      <w:r w:rsidR="00480D3D">
        <w:rPr>
          <w:rFonts w:ascii="Book Antiqua" w:hAnsi="Book Antiqua" w:cs="Arial"/>
          <w:lang w:val="en-US"/>
        </w:rPr>
        <w:t>REDD+</w:t>
      </w:r>
      <w:r w:rsidRPr="001358CE">
        <w:rPr>
          <w:rFonts w:ascii="Book Antiqua" w:hAnsi="Book Antiqua" w:cs="Arial"/>
          <w:lang w:val="en-US"/>
        </w:rPr>
        <w:t xml:space="preserve"> architecture.  The most important step for developing a sound system is to separate the entities that measure performance from those handling payments.  The lack of separation creates a conflict of interest that may lead to systematic bias in measurements and will not be acceptable under the international </w:t>
      </w:r>
      <w:r w:rsidR="00480D3D">
        <w:rPr>
          <w:rFonts w:ascii="Book Antiqua" w:hAnsi="Book Antiqua" w:cs="Arial"/>
          <w:lang w:val="en-US"/>
        </w:rPr>
        <w:t>REDD+</w:t>
      </w:r>
      <w:r w:rsidRPr="001358CE">
        <w:rPr>
          <w:rFonts w:ascii="Book Antiqua" w:hAnsi="Book Antiqua" w:cs="Arial"/>
          <w:lang w:val="en-US"/>
        </w:rPr>
        <w:t xml:space="preserve"> architecture.</w:t>
      </w:r>
    </w:p>
    <w:p w:rsidR="00351F2C" w:rsidRPr="001358CE" w:rsidRDefault="00351F2C" w:rsidP="0020363F">
      <w:pPr>
        <w:spacing w:after="0" w:line="300" w:lineRule="atLeast"/>
        <w:jc w:val="both"/>
        <w:rPr>
          <w:rFonts w:ascii="Book Antiqua" w:hAnsi="Book Antiqua" w:cs="Arial"/>
          <w:lang w:val="en-US"/>
        </w:rPr>
      </w:pPr>
    </w:p>
    <w:p w:rsidR="00351F2C" w:rsidRPr="001358CE" w:rsidRDefault="00480D3D" w:rsidP="0020363F">
      <w:pPr>
        <w:spacing w:after="0" w:line="300" w:lineRule="atLeast"/>
        <w:jc w:val="both"/>
        <w:rPr>
          <w:rFonts w:ascii="Book Antiqua" w:hAnsi="Book Antiqua" w:cs="Arial"/>
          <w:lang w:val="en-US"/>
        </w:rPr>
      </w:pPr>
      <w:r>
        <w:rPr>
          <w:rFonts w:ascii="Book Antiqua" w:hAnsi="Book Antiqua" w:cs="Arial"/>
          <w:lang w:val="en-US"/>
        </w:rPr>
        <w:t>REDD+</w:t>
      </w:r>
      <w:r w:rsidR="00351F2C" w:rsidRPr="001358CE">
        <w:rPr>
          <w:rFonts w:ascii="Book Antiqua" w:hAnsi="Book Antiqua" w:cs="Arial"/>
          <w:lang w:val="en-US"/>
        </w:rPr>
        <w:t xml:space="preserve"> requirements closely parallel those </w:t>
      </w:r>
      <w:r w:rsidR="00830DCC" w:rsidRPr="001358CE">
        <w:rPr>
          <w:rFonts w:ascii="Book Antiqua" w:hAnsi="Book Antiqua" w:cs="Arial"/>
          <w:lang w:val="en-US"/>
        </w:rPr>
        <w:t>of the</w:t>
      </w:r>
      <w:r w:rsidR="00351F2C" w:rsidRPr="001358CE">
        <w:rPr>
          <w:rFonts w:ascii="Book Antiqua" w:hAnsi="Book Antiqua" w:cs="Arial"/>
          <w:lang w:val="en-US"/>
        </w:rPr>
        <w:t xml:space="preserve"> </w:t>
      </w:r>
      <w:r w:rsidR="00830DCC">
        <w:rPr>
          <w:rFonts w:ascii="Book Antiqua" w:hAnsi="Book Antiqua" w:cs="Arial"/>
          <w:lang w:val="en-US"/>
        </w:rPr>
        <w:t>Forest Law Enforcement, Governance, and Trade (</w:t>
      </w:r>
      <w:r w:rsidR="00351F2C" w:rsidRPr="001358CE">
        <w:rPr>
          <w:rFonts w:ascii="Book Antiqua" w:hAnsi="Book Antiqua" w:cs="Arial"/>
          <w:lang w:val="en-US"/>
        </w:rPr>
        <w:t>FLEGT</w:t>
      </w:r>
      <w:r w:rsidR="00830DCC">
        <w:rPr>
          <w:rFonts w:ascii="Book Antiqua" w:hAnsi="Book Antiqua" w:cs="Arial"/>
          <w:lang w:val="en-US"/>
        </w:rPr>
        <w:t>) initiative</w:t>
      </w:r>
      <w:r w:rsidR="00351F2C" w:rsidRPr="001358CE">
        <w:rPr>
          <w:rFonts w:ascii="Book Antiqua" w:hAnsi="Book Antiqua" w:cs="Arial"/>
          <w:lang w:val="en-US"/>
        </w:rPr>
        <w:t xml:space="preserve">. </w:t>
      </w:r>
      <w:smartTag w:uri="urn:schemas-microsoft-com:office:smarttags" w:element="place">
        <w:r w:rsidR="00351F2C" w:rsidRPr="001358CE">
          <w:rPr>
            <w:rFonts w:ascii="Book Antiqua" w:hAnsi="Book Antiqua" w:cs="Arial"/>
            <w:lang w:val="en-US"/>
          </w:rPr>
          <w:t>Forest</w:t>
        </w:r>
      </w:smartTag>
      <w:r w:rsidR="00351F2C" w:rsidRPr="001358CE">
        <w:rPr>
          <w:rFonts w:ascii="Book Antiqua" w:hAnsi="Book Antiqua" w:cs="Arial"/>
          <w:lang w:val="en-US"/>
        </w:rPr>
        <w:t xml:space="preserve"> law enforcement includes a continuum of measures, </w:t>
      </w:r>
      <w:r w:rsidR="00351F2C" w:rsidRPr="001358CE">
        <w:rPr>
          <w:rFonts w:ascii="Book Antiqua" w:hAnsi="Book Antiqua" w:cs="Arial"/>
          <w:lang w:val="en-US"/>
        </w:rPr>
        <w:lastRenderedPageBreak/>
        <w:t xml:space="preserve">from prevention, detection to suppression with aim to protect the forest from violation triggered by illegal practices. If these measures fail to be effectively enforced, the government is unable to monitor and regulate the forest and consequently </w:t>
      </w:r>
      <w:r>
        <w:rPr>
          <w:rFonts w:ascii="Book Antiqua" w:hAnsi="Book Antiqua" w:cs="Arial"/>
          <w:lang w:val="en-US"/>
        </w:rPr>
        <w:t>REDD+</w:t>
      </w:r>
      <w:r w:rsidR="00351F2C" w:rsidRPr="001358CE">
        <w:rPr>
          <w:rFonts w:ascii="Book Antiqua" w:hAnsi="Book Antiqua" w:cs="Arial"/>
          <w:lang w:val="en-US"/>
        </w:rPr>
        <w:t xml:space="preserve"> requirement is not meet. For example, the existing problems of land conversion from the forest to cash crop plantation, stagnation of forest land allocation, illegal timber practices, the huge gap of wood supply for furniture production and export in the country, overlapping and conflicting claims to the forestland and forest resources are barriers to the future of </w:t>
      </w:r>
      <w:r>
        <w:rPr>
          <w:rFonts w:ascii="Book Antiqua" w:hAnsi="Book Antiqua" w:cs="Arial"/>
          <w:lang w:val="en-US"/>
        </w:rPr>
        <w:t>REDD+</w:t>
      </w:r>
      <w:r w:rsidR="00351F2C" w:rsidRPr="001358CE">
        <w:rPr>
          <w:rFonts w:ascii="Book Antiqua" w:hAnsi="Book Antiqua" w:cs="Arial"/>
          <w:lang w:val="en-US"/>
        </w:rPr>
        <w:t xml:space="preserve"> in the Viet Nam. </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 xml:space="preserve"> can draw from a variety of experiences with how payments may be linked to measured performance (</w:t>
      </w:r>
      <w:r w:rsidRPr="00A37267">
        <w:rPr>
          <w:rFonts w:ascii="Book Antiqua" w:hAnsi="Book Antiqua" w:cs="Arial"/>
          <w:lang w:val="en-US"/>
        </w:rPr>
        <w:t>see Table 6.4).</w:t>
      </w:r>
      <w:r w:rsidRPr="001358CE">
        <w:rPr>
          <w:rFonts w:ascii="Book Antiqua" w:hAnsi="Book Antiqua" w:cs="Arial"/>
          <w:lang w:val="en-US"/>
        </w:rPr>
        <w:t xml:space="preserve">  The key issue revealed by the comparison above is that ex post performance-based payments may not provide the ex ante incentives and means required by project developers to improve forest management.  </w:t>
      </w:r>
      <w:smartTag w:uri="urn:schemas-microsoft-com:office:smarttags" w:element="country-region">
        <w:smartTag w:uri="urn:schemas-microsoft-com:office:smarttags" w:element="place">
          <w:r w:rsidRPr="001358CE">
            <w:rPr>
              <w:rFonts w:ascii="Book Antiqua" w:hAnsi="Book Antiqua" w:cs="Arial"/>
              <w:lang w:val="en-US"/>
            </w:rPr>
            <w:t>Viet Nam</w:t>
          </w:r>
        </w:smartTag>
      </w:smartTag>
      <w:r w:rsidRPr="001358CE">
        <w:rPr>
          <w:rFonts w:ascii="Book Antiqua" w:hAnsi="Book Antiqua" w:cs="Arial"/>
          <w:lang w:val="en-US"/>
        </w:rPr>
        <w:t>’s future sub-national finance mechanism needs to balance the need for ex post performance-based rewards with ex ante creation of incentives and possibilities.  An interesting model emerges from the conditional savings books used in KfW-funded reforestation projects.  The savings books provide incentives and means for households to engage in tree planting from the beginning, yet they are also tied to measured performance (even though the latter element may need to be strengthened).  They include a distribution of risk that may be acceptable to households, bank and state agencies.</w:t>
      </w:r>
    </w:p>
    <w:p w:rsidR="00351F2C" w:rsidRPr="00445F77" w:rsidRDefault="00351F2C" w:rsidP="0020363F">
      <w:pPr>
        <w:spacing w:after="0" w:line="300" w:lineRule="atLeast"/>
        <w:rPr>
          <w:rFonts w:ascii="Arial" w:hAnsi="Arial" w:cs="Arial"/>
          <w:sz w:val="24"/>
          <w:szCs w:val="24"/>
          <w:lang w:val="en-US"/>
        </w:rPr>
      </w:pPr>
    </w:p>
    <w:p w:rsidR="00351F2C" w:rsidRPr="001358CE" w:rsidRDefault="00351F2C" w:rsidP="0020363F">
      <w:pPr>
        <w:spacing w:after="0" w:line="240" w:lineRule="auto"/>
        <w:jc w:val="center"/>
        <w:rPr>
          <w:rFonts w:ascii="Book Antiqua" w:hAnsi="Book Antiqua" w:cs="Arial"/>
          <w:lang w:val="en-US"/>
        </w:rPr>
      </w:pPr>
      <w:r w:rsidRPr="001358CE">
        <w:rPr>
          <w:rFonts w:ascii="Book Antiqua" w:hAnsi="Book Antiqua" w:cs="Arial"/>
          <w:b/>
          <w:lang w:val="en-US"/>
        </w:rPr>
        <w:t>Table 6.4: Options for linking payments to performance</w:t>
      </w: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CCFFFF"/>
        <w:tblLook w:val="01E0"/>
      </w:tblPr>
      <w:tblGrid>
        <w:gridCol w:w="2062"/>
        <w:gridCol w:w="1733"/>
        <w:gridCol w:w="1735"/>
        <w:gridCol w:w="1741"/>
        <w:gridCol w:w="1733"/>
      </w:tblGrid>
      <w:tr w:rsidR="00351F2C" w:rsidRPr="00445F77">
        <w:tc>
          <w:tcPr>
            <w:tcW w:w="2098" w:type="dxa"/>
            <w:shd w:val="clear" w:color="auto" w:fill="95B3D7"/>
          </w:tcPr>
          <w:p w:rsidR="00351F2C" w:rsidRPr="001358CE" w:rsidRDefault="00351F2C" w:rsidP="004D47BB">
            <w:pPr>
              <w:jc w:val="center"/>
              <w:rPr>
                <w:rFonts w:ascii="Book Antiqua" w:hAnsi="Book Antiqua" w:cs="Arial"/>
                <w:b/>
                <w:sz w:val="20"/>
                <w:szCs w:val="20"/>
                <w:lang w:val="en-US"/>
              </w:rPr>
            </w:pPr>
          </w:p>
        </w:tc>
        <w:tc>
          <w:tcPr>
            <w:tcW w:w="1758" w:type="dxa"/>
            <w:shd w:val="clear" w:color="auto" w:fill="95B3D7"/>
          </w:tcPr>
          <w:p w:rsidR="00351F2C" w:rsidRPr="001358CE" w:rsidRDefault="00351F2C" w:rsidP="00177F3C">
            <w:pPr>
              <w:spacing w:after="0" w:line="240" w:lineRule="auto"/>
              <w:jc w:val="center"/>
              <w:rPr>
                <w:rFonts w:ascii="Book Antiqua" w:hAnsi="Book Antiqua" w:cs="Arial"/>
                <w:b/>
                <w:lang w:val="en-US"/>
              </w:rPr>
            </w:pPr>
            <w:r w:rsidRPr="001358CE">
              <w:rPr>
                <w:rFonts w:ascii="Book Antiqua" w:hAnsi="Book Antiqua" w:cs="Arial"/>
                <w:b/>
                <w:lang w:val="en-US"/>
              </w:rPr>
              <w:t>Ex post payments</w:t>
            </w:r>
          </w:p>
        </w:tc>
        <w:tc>
          <w:tcPr>
            <w:tcW w:w="1758" w:type="dxa"/>
            <w:shd w:val="clear" w:color="auto" w:fill="95B3D7"/>
          </w:tcPr>
          <w:p w:rsidR="00351F2C" w:rsidRPr="001358CE" w:rsidRDefault="00351F2C" w:rsidP="00177F3C">
            <w:pPr>
              <w:spacing w:after="0" w:line="240" w:lineRule="auto"/>
              <w:jc w:val="center"/>
              <w:rPr>
                <w:rFonts w:ascii="Book Antiqua" w:hAnsi="Book Antiqua" w:cs="Arial"/>
                <w:b/>
                <w:lang w:val="en-US"/>
              </w:rPr>
            </w:pPr>
            <w:r w:rsidRPr="001358CE">
              <w:rPr>
                <w:rFonts w:ascii="Book Antiqua" w:hAnsi="Book Antiqua" w:cs="Arial"/>
                <w:b/>
                <w:lang w:val="en-US"/>
              </w:rPr>
              <w:t>Ex ante payments</w:t>
            </w:r>
          </w:p>
        </w:tc>
        <w:tc>
          <w:tcPr>
            <w:tcW w:w="1758" w:type="dxa"/>
            <w:shd w:val="clear" w:color="auto" w:fill="95B3D7"/>
          </w:tcPr>
          <w:p w:rsidR="00351F2C" w:rsidRPr="001358CE" w:rsidRDefault="00351F2C" w:rsidP="00177F3C">
            <w:pPr>
              <w:spacing w:after="0" w:line="240" w:lineRule="auto"/>
              <w:jc w:val="center"/>
              <w:rPr>
                <w:rFonts w:ascii="Book Antiqua" w:hAnsi="Book Antiqua" w:cs="Arial"/>
                <w:b/>
                <w:lang w:val="en-US"/>
              </w:rPr>
            </w:pPr>
            <w:r w:rsidRPr="001358CE">
              <w:rPr>
                <w:rFonts w:ascii="Book Antiqua" w:hAnsi="Book Antiqua" w:cs="Arial"/>
                <w:b/>
                <w:lang w:val="en-US"/>
              </w:rPr>
              <w:t>Conditional savings books</w:t>
            </w:r>
          </w:p>
        </w:tc>
        <w:tc>
          <w:tcPr>
            <w:tcW w:w="1758" w:type="dxa"/>
            <w:shd w:val="clear" w:color="auto" w:fill="95B3D7"/>
          </w:tcPr>
          <w:p w:rsidR="00351F2C" w:rsidRPr="001358CE" w:rsidRDefault="00351F2C" w:rsidP="00177F3C">
            <w:pPr>
              <w:spacing w:after="0" w:line="240" w:lineRule="auto"/>
              <w:jc w:val="center"/>
              <w:rPr>
                <w:rFonts w:ascii="Book Antiqua" w:hAnsi="Book Antiqua" w:cs="Arial"/>
                <w:b/>
                <w:lang w:val="en-US"/>
              </w:rPr>
            </w:pPr>
            <w:r w:rsidRPr="001358CE">
              <w:rPr>
                <w:rFonts w:ascii="Book Antiqua" w:hAnsi="Book Antiqua" w:cs="Arial"/>
                <w:b/>
                <w:lang w:val="en-US"/>
              </w:rPr>
              <w:t>Loans with ex post payments</w:t>
            </w:r>
          </w:p>
        </w:tc>
      </w:tr>
      <w:tr w:rsidR="00351F2C" w:rsidRPr="00445F77">
        <w:tc>
          <w:tcPr>
            <w:tcW w:w="2098" w:type="dxa"/>
            <w:shd w:val="clear" w:color="auto" w:fill="95B3D7"/>
          </w:tcPr>
          <w:p w:rsidR="00351F2C" w:rsidRPr="001358CE" w:rsidRDefault="00351F2C" w:rsidP="00177F3C">
            <w:pPr>
              <w:spacing w:after="0" w:line="240" w:lineRule="auto"/>
              <w:rPr>
                <w:rFonts w:ascii="Book Antiqua" w:hAnsi="Book Antiqua" w:cs="Arial"/>
                <w:b/>
                <w:bCs/>
                <w:sz w:val="20"/>
                <w:szCs w:val="20"/>
                <w:lang w:val="en-US"/>
              </w:rPr>
            </w:pPr>
            <w:r w:rsidRPr="001358CE">
              <w:rPr>
                <w:rFonts w:ascii="Book Antiqua" w:hAnsi="Book Antiqua" w:cs="Arial"/>
                <w:b/>
                <w:bCs/>
                <w:sz w:val="20"/>
                <w:szCs w:val="20"/>
                <w:lang w:val="en-US"/>
              </w:rPr>
              <w:t>Performance base</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very high</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very low</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high</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very high</w:t>
            </w:r>
          </w:p>
        </w:tc>
      </w:tr>
      <w:tr w:rsidR="00351F2C" w:rsidRPr="00445F77">
        <w:tc>
          <w:tcPr>
            <w:tcW w:w="2098" w:type="dxa"/>
            <w:shd w:val="clear" w:color="auto" w:fill="95B3D7"/>
          </w:tcPr>
          <w:p w:rsidR="00351F2C" w:rsidRPr="001358CE" w:rsidRDefault="00351F2C" w:rsidP="00177F3C">
            <w:pPr>
              <w:spacing w:after="0" w:line="240" w:lineRule="auto"/>
              <w:rPr>
                <w:rFonts w:ascii="Book Antiqua" w:hAnsi="Book Antiqua" w:cs="Arial"/>
                <w:b/>
                <w:bCs/>
                <w:sz w:val="20"/>
                <w:szCs w:val="20"/>
                <w:lang w:val="en-US"/>
              </w:rPr>
            </w:pPr>
            <w:r w:rsidRPr="001358CE">
              <w:rPr>
                <w:rFonts w:ascii="Book Antiqua" w:hAnsi="Book Antiqua" w:cs="Arial"/>
                <w:b/>
                <w:bCs/>
                <w:sz w:val="20"/>
                <w:szCs w:val="20"/>
                <w:lang w:val="en-US"/>
              </w:rPr>
              <w:t>Upfront means &amp; incentives</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none</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very high</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high</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very high</w:t>
            </w:r>
          </w:p>
        </w:tc>
      </w:tr>
      <w:tr w:rsidR="00351F2C" w:rsidRPr="00445F77">
        <w:tc>
          <w:tcPr>
            <w:tcW w:w="2098" w:type="dxa"/>
            <w:shd w:val="clear" w:color="auto" w:fill="95B3D7"/>
          </w:tcPr>
          <w:p w:rsidR="00351F2C" w:rsidRPr="001358CE" w:rsidRDefault="00351F2C" w:rsidP="00177F3C">
            <w:pPr>
              <w:spacing w:after="0" w:line="240" w:lineRule="auto"/>
              <w:rPr>
                <w:rFonts w:ascii="Book Antiqua" w:hAnsi="Book Antiqua" w:cs="Arial"/>
                <w:b/>
                <w:bCs/>
                <w:sz w:val="20"/>
                <w:szCs w:val="20"/>
                <w:lang w:val="en-US"/>
              </w:rPr>
            </w:pPr>
            <w:r w:rsidRPr="001358CE">
              <w:rPr>
                <w:rFonts w:ascii="Book Antiqua" w:hAnsi="Book Antiqua" w:cs="Arial"/>
                <w:b/>
                <w:bCs/>
                <w:sz w:val="20"/>
                <w:szCs w:val="20"/>
                <w:lang w:val="en-US"/>
              </w:rPr>
              <w:t>Distribution of risk</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recipients only</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mostly government</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recipients and government</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recipients only</w:t>
            </w:r>
          </w:p>
        </w:tc>
      </w:tr>
      <w:tr w:rsidR="00351F2C" w:rsidRPr="00445F77">
        <w:tc>
          <w:tcPr>
            <w:tcW w:w="2098" w:type="dxa"/>
            <w:shd w:val="clear" w:color="auto" w:fill="95B3D7"/>
          </w:tcPr>
          <w:p w:rsidR="00351F2C" w:rsidRPr="001358CE" w:rsidRDefault="00351F2C" w:rsidP="00177F3C">
            <w:pPr>
              <w:spacing w:after="0" w:line="240" w:lineRule="auto"/>
              <w:rPr>
                <w:rFonts w:ascii="Book Antiqua" w:hAnsi="Book Antiqua" w:cs="Arial"/>
                <w:b/>
                <w:bCs/>
                <w:sz w:val="20"/>
                <w:szCs w:val="20"/>
                <w:lang w:val="en-US"/>
              </w:rPr>
            </w:pPr>
            <w:r w:rsidRPr="001358CE">
              <w:rPr>
                <w:rFonts w:ascii="Book Antiqua" w:hAnsi="Book Antiqua" w:cs="Arial"/>
                <w:b/>
                <w:bCs/>
                <w:sz w:val="20"/>
                <w:szCs w:val="20"/>
                <w:lang w:val="en-US"/>
              </w:rPr>
              <w:t>Political acceptance</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low</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very high</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high</w:t>
            </w:r>
          </w:p>
        </w:tc>
        <w:tc>
          <w:tcPr>
            <w:tcW w:w="1758" w:type="dxa"/>
            <w:shd w:val="clear" w:color="auto" w:fill="DBE5F1"/>
          </w:tcPr>
          <w:p w:rsidR="00351F2C" w:rsidRPr="001358CE" w:rsidRDefault="00351F2C" w:rsidP="003E3CBA">
            <w:pPr>
              <w:numPr>
                <w:ilvl w:val="0"/>
                <w:numId w:val="26"/>
              </w:numPr>
              <w:tabs>
                <w:tab w:val="clear" w:pos="720"/>
                <w:tab w:val="num" w:pos="182"/>
              </w:tabs>
              <w:spacing w:after="0" w:line="240" w:lineRule="auto"/>
              <w:ind w:left="182" w:hanging="178"/>
              <w:rPr>
                <w:rFonts w:ascii="Book Antiqua" w:hAnsi="Book Antiqua" w:cs="Arial"/>
                <w:sz w:val="20"/>
                <w:szCs w:val="20"/>
                <w:lang w:val="en-US"/>
              </w:rPr>
            </w:pPr>
            <w:r w:rsidRPr="001358CE">
              <w:rPr>
                <w:rFonts w:ascii="Book Antiqua" w:hAnsi="Book Antiqua" w:cs="Arial"/>
                <w:sz w:val="20"/>
                <w:szCs w:val="20"/>
                <w:lang w:val="en-US"/>
              </w:rPr>
              <w:t>low</w:t>
            </w:r>
          </w:p>
        </w:tc>
      </w:tr>
    </w:tbl>
    <w:p w:rsidR="00351F2C" w:rsidRPr="00445F77" w:rsidRDefault="00351F2C" w:rsidP="00A37267">
      <w:pPr>
        <w:spacing w:after="0"/>
        <w:rPr>
          <w:rFonts w:ascii="Arial" w:hAnsi="Arial" w:cs="Arial"/>
          <w:b/>
          <w:bCs/>
          <w:sz w:val="24"/>
          <w:szCs w:val="24"/>
          <w:lang w:val="en-US"/>
        </w:rPr>
      </w:pPr>
    </w:p>
    <w:p w:rsidR="00351F2C" w:rsidRPr="00445F77" w:rsidRDefault="00351F2C" w:rsidP="00A37267">
      <w:pPr>
        <w:pStyle w:val="Heading2"/>
        <w:spacing w:before="0" w:after="0"/>
        <w:rPr>
          <w:rFonts w:ascii="Arial" w:hAnsi="Arial" w:cs="Arial"/>
          <w:sz w:val="24"/>
          <w:szCs w:val="24"/>
          <w:lang w:val="en-US"/>
        </w:rPr>
      </w:pPr>
      <w:bookmarkStart w:id="441" w:name="_Toc244586226"/>
      <w:bookmarkStart w:id="442" w:name="_Toc252354748"/>
      <w:r w:rsidRPr="00445F77">
        <w:rPr>
          <w:rFonts w:ascii="Arial" w:hAnsi="Arial" w:cs="Arial"/>
          <w:sz w:val="24"/>
          <w:szCs w:val="24"/>
          <w:lang w:val="en-US"/>
        </w:rPr>
        <w:t>6.6 Issues and Recommendations</w:t>
      </w:r>
      <w:bookmarkEnd w:id="441"/>
      <w:bookmarkEnd w:id="442"/>
    </w:p>
    <w:p w:rsidR="00351F2C" w:rsidRPr="001358CE" w:rsidRDefault="00351F2C" w:rsidP="00A37267">
      <w:pPr>
        <w:spacing w:after="0" w:line="300" w:lineRule="atLeast"/>
        <w:rPr>
          <w:rFonts w:ascii="Book Antiqua" w:hAnsi="Book Antiqua" w:cs="Arial"/>
          <w:lang w:val="en-US"/>
        </w:rPr>
      </w:pPr>
      <w:r w:rsidRPr="001358CE">
        <w:rPr>
          <w:rFonts w:ascii="Book Antiqua" w:hAnsi="Book Antiqua" w:cs="Arial"/>
          <w:lang w:val="en-US"/>
        </w:rPr>
        <w:t>This chapter has identified five key issues that need attention by the GoV:</w:t>
      </w:r>
    </w:p>
    <w:p w:rsidR="00351F2C" w:rsidRPr="001358CE" w:rsidRDefault="00351F2C" w:rsidP="00A37267">
      <w:pPr>
        <w:spacing w:after="0" w:line="300" w:lineRule="atLeast"/>
        <w:jc w:val="both"/>
        <w:rPr>
          <w:rFonts w:ascii="Book Antiqua" w:hAnsi="Book Antiqua" w:cs="Arial"/>
          <w:lang w:val="en-US"/>
        </w:rPr>
      </w:pPr>
    </w:p>
    <w:p w:rsidR="00351F2C" w:rsidRPr="001358CE" w:rsidRDefault="00A37267" w:rsidP="008227FD">
      <w:pPr>
        <w:numPr>
          <w:ilvl w:val="0"/>
          <w:numId w:val="118"/>
        </w:numPr>
        <w:tabs>
          <w:tab w:val="clear" w:pos="720"/>
          <w:tab w:val="num" w:pos="360"/>
        </w:tabs>
        <w:spacing w:after="0" w:line="300" w:lineRule="atLeast"/>
        <w:ind w:left="360"/>
        <w:jc w:val="both"/>
        <w:rPr>
          <w:rFonts w:ascii="Book Antiqua" w:hAnsi="Book Antiqua" w:cs="Arial"/>
          <w:lang w:val="en-US"/>
        </w:rPr>
      </w:pPr>
      <w:r>
        <w:rPr>
          <w:rFonts w:ascii="Book Antiqua" w:hAnsi="Book Antiqua" w:cs="Arial"/>
          <w:lang w:val="en-US"/>
        </w:rPr>
        <w:t>T</w:t>
      </w:r>
      <w:r w:rsidR="00351F2C" w:rsidRPr="001358CE">
        <w:rPr>
          <w:rFonts w:ascii="Book Antiqua" w:hAnsi="Book Antiqua" w:cs="Arial"/>
          <w:lang w:val="en-US"/>
        </w:rPr>
        <w:t xml:space="preserve">he types of forestland owners eligible to receive </w:t>
      </w:r>
      <w:r w:rsidR="00480D3D">
        <w:rPr>
          <w:rFonts w:ascii="Book Antiqua" w:hAnsi="Book Antiqua" w:cs="Arial"/>
          <w:lang w:val="en-US"/>
        </w:rPr>
        <w:t>REDD+</w:t>
      </w:r>
      <w:r w:rsidR="00351F2C" w:rsidRPr="001358CE">
        <w:rPr>
          <w:rFonts w:ascii="Book Antiqua" w:hAnsi="Book Antiqua" w:cs="Arial"/>
          <w:lang w:val="en-US"/>
        </w:rPr>
        <w:t xml:space="preserve"> benefits</w:t>
      </w:r>
    </w:p>
    <w:p w:rsidR="00351F2C" w:rsidRPr="001358CE" w:rsidRDefault="00A37267" w:rsidP="008227FD">
      <w:pPr>
        <w:numPr>
          <w:ilvl w:val="0"/>
          <w:numId w:val="118"/>
        </w:numPr>
        <w:tabs>
          <w:tab w:val="clear" w:pos="720"/>
          <w:tab w:val="num" w:pos="360"/>
        </w:tabs>
        <w:spacing w:after="0" w:line="300" w:lineRule="atLeast"/>
        <w:ind w:left="360"/>
        <w:jc w:val="both"/>
        <w:rPr>
          <w:rFonts w:ascii="Book Antiqua" w:hAnsi="Book Antiqua" w:cs="Arial"/>
          <w:lang w:val="en-US"/>
        </w:rPr>
      </w:pPr>
      <w:r>
        <w:rPr>
          <w:rFonts w:ascii="Book Antiqua" w:hAnsi="Book Antiqua" w:cs="Arial"/>
          <w:lang w:val="en-US"/>
        </w:rPr>
        <w:t>P</w:t>
      </w:r>
      <w:r w:rsidR="00351F2C" w:rsidRPr="001358CE">
        <w:rPr>
          <w:rFonts w:ascii="Book Antiqua" w:hAnsi="Book Antiqua" w:cs="Arial"/>
          <w:lang w:val="en-US"/>
        </w:rPr>
        <w:t xml:space="preserve">rinciples for the distribution of </w:t>
      </w:r>
      <w:r w:rsidR="00480D3D">
        <w:rPr>
          <w:rFonts w:ascii="Book Antiqua" w:hAnsi="Book Antiqua" w:cs="Arial"/>
          <w:lang w:val="en-US"/>
        </w:rPr>
        <w:t>REDD+</w:t>
      </w:r>
      <w:r w:rsidR="00351F2C" w:rsidRPr="001358CE">
        <w:rPr>
          <w:rFonts w:ascii="Book Antiqua" w:hAnsi="Book Antiqua" w:cs="Arial"/>
          <w:lang w:val="en-US"/>
        </w:rPr>
        <w:t xml:space="preserve"> benefits at the sub-national level</w:t>
      </w:r>
    </w:p>
    <w:p w:rsidR="00351F2C" w:rsidRPr="001358CE" w:rsidRDefault="00605C77" w:rsidP="008227FD">
      <w:pPr>
        <w:numPr>
          <w:ilvl w:val="0"/>
          <w:numId w:val="118"/>
        </w:numPr>
        <w:tabs>
          <w:tab w:val="clear" w:pos="720"/>
          <w:tab w:val="num" w:pos="360"/>
        </w:tabs>
        <w:spacing w:after="0" w:line="300" w:lineRule="atLeast"/>
        <w:ind w:left="360"/>
        <w:jc w:val="both"/>
        <w:rPr>
          <w:rFonts w:ascii="Book Antiqua" w:hAnsi="Book Antiqua" w:cs="Arial"/>
          <w:lang w:val="en-US"/>
        </w:rPr>
      </w:pPr>
      <w:r>
        <w:rPr>
          <w:rFonts w:ascii="Book Antiqua" w:hAnsi="Book Antiqua" w:cs="Arial"/>
          <w:lang w:val="en-US"/>
        </w:rPr>
        <w:t>T</w:t>
      </w:r>
      <w:r w:rsidR="00351F2C" w:rsidRPr="001358CE">
        <w:rPr>
          <w:rFonts w:ascii="Book Antiqua" w:hAnsi="Book Antiqua" w:cs="Arial"/>
          <w:lang w:val="en-US"/>
        </w:rPr>
        <w:t xml:space="preserve">he balance between a distribution of benefits </w:t>
      </w:r>
      <w:r w:rsidR="00351F2C" w:rsidRPr="001358CE">
        <w:rPr>
          <w:rFonts w:ascii="Book Antiqua" w:hAnsi="Book Antiqua" w:cs="Arial"/>
          <w:i/>
          <w:lang w:val="en-US"/>
        </w:rPr>
        <w:t>ex post</w:t>
      </w:r>
      <w:r w:rsidR="00351F2C" w:rsidRPr="001358CE">
        <w:rPr>
          <w:rFonts w:ascii="Book Antiqua" w:hAnsi="Book Antiqua" w:cs="Arial"/>
          <w:lang w:val="en-US"/>
        </w:rPr>
        <w:t xml:space="preserve"> and the provision of resources and incentives upfront</w:t>
      </w:r>
    </w:p>
    <w:p w:rsidR="00351F2C" w:rsidRPr="001358CE" w:rsidRDefault="00605C77" w:rsidP="008227FD">
      <w:pPr>
        <w:numPr>
          <w:ilvl w:val="0"/>
          <w:numId w:val="118"/>
        </w:numPr>
        <w:tabs>
          <w:tab w:val="clear" w:pos="720"/>
          <w:tab w:val="num" w:pos="360"/>
        </w:tabs>
        <w:spacing w:after="0" w:line="300" w:lineRule="atLeast"/>
        <w:ind w:left="360"/>
        <w:jc w:val="both"/>
        <w:rPr>
          <w:rFonts w:ascii="Book Antiqua" w:hAnsi="Book Antiqua" w:cs="Arial"/>
          <w:lang w:val="en-US"/>
        </w:rPr>
      </w:pPr>
      <w:r>
        <w:rPr>
          <w:rFonts w:ascii="Book Antiqua" w:hAnsi="Book Antiqua" w:cs="Arial"/>
          <w:lang w:val="en-US"/>
        </w:rPr>
        <w:t>T</w:t>
      </w:r>
      <w:r w:rsidR="00351F2C" w:rsidRPr="001358CE">
        <w:rPr>
          <w:rFonts w:ascii="Book Antiqua" w:hAnsi="Book Antiqua" w:cs="Arial"/>
          <w:lang w:val="en-US"/>
        </w:rPr>
        <w:t>he law enforcement required for performance-based distribution</w:t>
      </w:r>
    </w:p>
    <w:p w:rsidR="00351F2C" w:rsidRPr="001358CE" w:rsidRDefault="00605C77" w:rsidP="008227FD">
      <w:pPr>
        <w:numPr>
          <w:ilvl w:val="0"/>
          <w:numId w:val="118"/>
        </w:numPr>
        <w:tabs>
          <w:tab w:val="clear" w:pos="720"/>
          <w:tab w:val="num" w:pos="360"/>
        </w:tabs>
        <w:spacing w:after="0" w:line="300" w:lineRule="atLeast"/>
        <w:ind w:left="360"/>
        <w:jc w:val="both"/>
        <w:rPr>
          <w:rFonts w:ascii="Book Antiqua" w:hAnsi="Book Antiqua" w:cs="Arial"/>
          <w:lang w:val="en-US"/>
        </w:rPr>
      </w:pPr>
      <w:r>
        <w:rPr>
          <w:rFonts w:ascii="Book Antiqua" w:hAnsi="Book Antiqua" w:cs="Arial"/>
          <w:lang w:val="en-US"/>
        </w:rPr>
        <w:t>C</w:t>
      </w:r>
      <w:r w:rsidR="00351F2C" w:rsidRPr="001358CE">
        <w:rPr>
          <w:rFonts w:ascii="Book Antiqua" w:hAnsi="Book Antiqua" w:cs="Arial"/>
          <w:lang w:val="en-US"/>
        </w:rPr>
        <w:t>ritical elements of an institutional structure facilitating performance-based distribution</w:t>
      </w:r>
    </w:p>
    <w:p w:rsidR="00351F2C" w:rsidRPr="001358CE" w:rsidRDefault="00351F2C" w:rsidP="0020363F">
      <w:pPr>
        <w:spacing w:after="0" w:line="300" w:lineRule="atLeast"/>
        <w:rPr>
          <w:rFonts w:ascii="Book Antiqua" w:hAnsi="Book Antiqua" w:cs="Arial"/>
          <w:lang w:val="en-US"/>
        </w:rPr>
      </w:pPr>
    </w:p>
    <w:p w:rsidR="00351F2C" w:rsidRPr="001358CE" w:rsidRDefault="00351F2C" w:rsidP="0020363F">
      <w:pPr>
        <w:spacing w:after="0" w:line="300" w:lineRule="atLeast"/>
        <w:jc w:val="both"/>
        <w:rPr>
          <w:rFonts w:ascii="Book Antiqua" w:hAnsi="Book Antiqua" w:cs="Arial"/>
          <w:lang w:val="en-US"/>
        </w:rPr>
      </w:pPr>
      <w:r w:rsidRPr="001358CE">
        <w:rPr>
          <w:rFonts w:ascii="Book Antiqua" w:hAnsi="Book Antiqua" w:cs="Arial"/>
          <w:lang w:val="en-US"/>
        </w:rPr>
        <w:t xml:space="preserve">This section revisits each briefly, synthesizing the issue, available options, recommendations and required actions.  In addition, it highlights the need for a facilitated learning process on </w:t>
      </w:r>
      <w:r w:rsidR="00480D3D">
        <w:rPr>
          <w:rFonts w:ascii="Book Antiqua" w:hAnsi="Book Antiqua" w:cs="Arial"/>
          <w:lang w:val="en-US"/>
        </w:rPr>
        <w:t>REDD+</w:t>
      </w:r>
      <w:r w:rsidRPr="001358CE">
        <w:rPr>
          <w:rFonts w:ascii="Book Antiqua" w:hAnsi="Book Antiqua" w:cs="Arial"/>
          <w:lang w:val="en-US"/>
        </w:rPr>
        <w:t xml:space="preserve"> involving key stakeholders inside and outside the GoV. The summary of the section is presented in </w:t>
      </w:r>
      <w:r w:rsidRPr="00605C77">
        <w:rPr>
          <w:rFonts w:ascii="Book Antiqua" w:hAnsi="Book Antiqua" w:cs="Arial"/>
          <w:lang w:val="en-US"/>
        </w:rPr>
        <w:t>the Table 6.5.</w:t>
      </w:r>
    </w:p>
    <w:p w:rsidR="00351F2C" w:rsidRPr="00445F77" w:rsidRDefault="00351F2C" w:rsidP="0020363F">
      <w:pPr>
        <w:spacing w:after="0" w:line="300" w:lineRule="atLeast"/>
        <w:rPr>
          <w:rFonts w:ascii="Arial" w:hAnsi="Arial" w:cs="Arial"/>
          <w:sz w:val="24"/>
          <w:szCs w:val="24"/>
          <w:lang w:val="en-US"/>
        </w:rPr>
      </w:pPr>
    </w:p>
    <w:p w:rsidR="00351F2C" w:rsidRPr="001358CE" w:rsidRDefault="00351F2C" w:rsidP="0020363F">
      <w:pPr>
        <w:spacing w:after="0" w:line="240" w:lineRule="auto"/>
        <w:jc w:val="center"/>
        <w:rPr>
          <w:rFonts w:ascii="Book Antiqua" w:hAnsi="Book Antiqua" w:cs="Arial"/>
          <w:b/>
          <w:lang w:val="en-US"/>
        </w:rPr>
      </w:pPr>
      <w:r w:rsidRPr="001358CE">
        <w:rPr>
          <w:rFonts w:ascii="Book Antiqua" w:hAnsi="Book Antiqua" w:cs="Arial"/>
          <w:b/>
          <w:bCs/>
          <w:lang w:val="en-US"/>
        </w:rPr>
        <w:lastRenderedPageBreak/>
        <w:t>Table 6.5.</w:t>
      </w:r>
      <w:r w:rsidRPr="001358CE">
        <w:rPr>
          <w:rFonts w:ascii="Book Antiqua" w:hAnsi="Book Antiqua" w:cs="Arial"/>
          <w:b/>
          <w:lang w:val="en-US"/>
        </w:rPr>
        <w:t xml:space="preserve"> Summary of recommendations for </w:t>
      </w:r>
      <w:smartTag w:uri="urn:schemas-microsoft-com:office:smarttags" w:element="country-region">
        <w:smartTag w:uri="urn:schemas-microsoft-com:office:smarttags" w:element="place">
          <w:r w:rsidRPr="001358CE">
            <w:rPr>
              <w:rFonts w:ascii="Book Antiqua" w:hAnsi="Book Antiqua" w:cs="Arial"/>
              <w:b/>
              <w:lang w:val="en-US"/>
            </w:rPr>
            <w:t>Viet Nam</w:t>
          </w:r>
        </w:smartTag>
      </w:smartTag>
      <w:r w:rsidRPr="001358CE">
        <w:rPr>
          <w:rFonts w:ascii="Book Antiqua" w:hAnsi="Book Antiqua" w:cs="Arial"/>
          <w:b/>
          <w:lang w:val="en-US"/>
        </w:rPr>
        <w:t xml:space="preserve">’s </w:t>
      </w:r>
      <w:r w:rsidR="00480D3D">
        <w:rPr>
          <w:rFonts w:ascii="Book Antiqua" w:hAnsi="Book Antiqua" w:cs="Arial"/>
          <w:b/>
          <w:lang w:val="en-US"/>
        </w:rPr>
        <w:t>REDD+</w:t>
      </w:r>
      <w:r w:rsidRPr="001358CE">
        <w:rPr>
          <w:rFonts w:ascii="Book Antiqua" w:hAnsi="Book Antiqua" w:cs="Arial"/>
          <w:b/>
          <w:lang w:val="en-US"/>
        </w:rPr>
        <w:t xml:space="preserve"> benefit distribution structure</w:t>
      </w:r>
    </w:p>
    <w:tbl>
      <w:tblPr>
        <w:tblW w:w="928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tblPr>
      <w:tblGrid>
        <w:gridCol w:w="1713"/>
        <w:gridCol w:w="1893"/>
        <w:gridCol w:w="1782"/>
        <w:gridCol w:w="2005"/>
        <w:gridCol w:w="1894"/>
      </w:tblGrid>
      <w:tr w:rsidR="00351F2C" w:rsidRPr="00445F77">
        <w:tc>
          <w:tcPr>
            <w:tcW w:w="1713" w:type="dxa"/>
            <w:shd w:val="clear" w:color="auto" w:fill="95B3D7"/>
          </w:tcPr>
          <w:p w:rsidR="00351F2C" w:rsidRPr="001358CE" w:rsidRDefault="00351F2C" w:rsidP="00177F3C">
            <w:pPr>
              <w:spacing w:after="0" w:line="240" w:lineRule="auto"/>
              <w:jc w:val="center"/>
              <w:rPr>
                <w:rFonts w:ascii="Book Antiqua" w:hAnsi="Book Antiqua" w:cs="Arial"/>
                <w:b/>
                <w:bCs/>
                <w:sz w:val="21"/>
                <w:szCs w:val="21"/>
                <w:lang w:val="en-US"/>
              </w:rPr>
            </w:pPr>
            <w:r w:rsidRPr="001358CE">
              <w:rPr>
                <w:rFonts w:ascii="Book Antiqua" w:hAnsi="Book Antiqua" w:cs="Arial"/>
                <w:b/>
                <w:bCs/>
                <w:sz w:val="21"/>
                <w:szCs w:val="21"/>
                <w:lang w:val="en-US"/>
              </w:rPr>
              <w:t>Policy issues</w:t>
            </w:r>
          </w:p>
        </w:tc>
        <w:tc>
          <w:tcPr>
            <w:tcW w:w="1893" w:type="dxa"/>
            <w:shd w:val="clear" w:color="auto" w:fill="95B3D7"/>
          </w:tcPr>
          <w:p w:rsidR="00351F2C" w:rsidRPr="001358CE" w:rsidRDefault="00351F2C" w:rsidP="00177F3C">
            <w:pPr>
              <w:spacing w:after="0" w:line="240" w:lineRule="auto"/>
              <w:jc w:val="center"/>
              <w:rPr>
                <w:rFonts w:ascii="Book Antiqua" w:hAnsi="Book Antiqua" w:cs="Arial"/>
                <w:b/>
                <w:bCs/>
                <w:sz w:val="21"/>
                <w:szCs w:val="21"/>
                <w:lang w:val="en-US"/>
              </w:rPr>
            </w:pPr>
            <w:r w:rsidRPr="001358CE">
              <w:rPr>
                <w:rFonts w:ascii="Book Antiqua" w:hAnsi="Book Antiqua" w:cs="Arial"/>
                <w:b/>
                <w:bCs/>
                <w:sz w:val="21"/>
                <w:szCs w:val="21"/>
                <w:lang w:val="en-US"/>
              </w:rPr>
              <w:t>Problems/ Constraints</w:t>
            </w:r>
          </w:p>
        </w:tc>
        <w:tc>
          <w:tcPr>
            <w:tcW w:w="1782" w:type="dxa"/>
            <w:shd w:val="clear" w:color="auto" w:fill="95B3D7"/>
          </w:tcPr>
          <w:p w:rsidR="00351F2C" w:rsidRPr="001358CE" w:rsidRDefault="00351F2C" w:rsidP="00177F3C">
            <w:pPr>
              <w:spacing w:after="0" w:line="240" w:lineRule="auto"/>
              <w:jc w:val="center"/>
              <w:rPr>
                <w:rFonts w:ascii="Book Antiqua" w:hAnsi="Book Antiqua" w:cs="Arial"/>
                <w:b/>
                <w:bCs/>
                <w:sz w:val="21"/>
                <w:szCs w:val="21"/>
                <w:lang w:val="en-US"/>
              </w:rPr>
            </w:pPr>
            <w:r w:rsidRPr="001358CE">
              <w:rPr>
                <w:rFonts w:ascii="Book Antiqua" w:hAnsi="Book Antiqua" w:cs="Arial"/>
                <w:b/>
                <w:bCs/>
                <w:sz w:val="21"/>
                <w:szCs w:val="21"/>
                <w:lang w:val="en-US"/>
              </w:rPr>
              <w:t>Policy options</w:t>
            </w:r>
          </w:p>
        </w:tc>
        <w:tc>
          <w:tcPr>
            <w:tcW w:w="2005" w:type="dxa"/>
            <w:shd w:val="clear" w:color="auto" w:fill="95B3D7"/>
          </w:tcPr>
          <w:p w:rsidR="00351F2C" w:rsidRPr="001358CE" w:rsidRDefault="00351F2C" w:rsidP="00177F3C">
            <w:pPr>
              <w:spacing w:after="0" w:line="240" w:lineRule="auto"/>
              <w:jc w:val="center"/>
              <w:rPr>
                <w:rFonts w:ascii="Book Antiqua" w:hAnsi="Book Antiqua" w:cs="Arial"/>
                <w:b/>
                <w:bCs/>
                <w:sz w:val="21"/>
                <w:szCs w:val="21"/>
                <w:lang w:val="en-US"/>
              </w:rPr>
            </w:pPr>
            <w:r w:rsidRPr="001358CE">
              <w:rPr>
                <w:rFonts w:ascii="Book Antiqua" w:hAnsi="Book Antiqua" w:cs="Arial"/>
                <w:b/>
                <w:bCs/>
                <w:sz w:val="21"/>
                <w:szCs w:val="21"/>
                <w:lang w:val="en-US"/>
              </w:rPr>
              <w:t>Recommendations</w:t>
            </w:r>
          </w:p>
        </w:tc>
        <w:tc>
          <w:tcPr>
            <w:tcW w:w="1894" w:type="dxa"/>
            <w:shd w:val="clear" w:color="auto" w:fill="95B3D7"/>
          </w:tcPr>
          <w:p w:rsidR="00351F2C" w:rsidRPr="001358CE" w:rsidRDefault="00351F2C" w:rsidP="00177F3C">
            <w:pPr>
              <w:spacing w:after="0" w:line="240" w:lineRule="auto"/>
              <w:jc w:val="center"/>
              <w:rPr>
                <w:rFonts w:ascii="Book Antiqua" w:hAnsi="Book Antiqua" w:cs="Arial"/>
                <w:b/>
                <w:bCs/>
                <w:sz w:val="21"/>
                <w:szCs w:val="21"/>
                <w:lang w:val="en-US"/>
              </w:rPr>
            </w:pPr>
            <w:r w:rsidRPr="001358CE">
              <w:rPr>
                <w:rFonts w:ascii="Book Antiqua" w:hAnsi="Book Antiqua" w:cs="Arial"/>
                <w:b/>
                <w:bCs/>
                <w:sz w:val="21"/>
                <w:szCs w:val="21"/>
                <w:lang w:val="en-US"/>
              </w:rPr>
              <w:t>Required actions</w:t>
            </w:r>
          </w:p>
        </w:tc>
      </w:tr>
      <w:tr w:rsidR="00351F2C" w:rsidRPr="00445F77">
        <w:tc>
          <w:tcPr>
            <w:tcW w:w="1713" w:type="dxa"/>
            <w:shd w:val="clear" w:color="auto" w:fill="95B3D7"/>
          </w:tcPr>
          <w:p w:rsidR="00351F2C" w:rsidRPr="007223AA" w:rsidRDefault="00351F2C" w:rsidP="00177F3C">
            <w:pPr>
              <w:spacing w:after="0" w:line="240" w:lineRule="auto"/>
              <w:rPr>
                <w:rFonts w:ascii="Book Antiqua" w:hAnsi="Book Antiqua" w:cs="Arial"/>
                <w:b/>
                <w:bCs/>
                <w:sz w:val="20"/>
                <w:szCs w:val="20"/>
                <w:lang w:val="en-US"/>
              </w:rPr>
            </w:pPr>
            <w:smartTag w:uri="urn:schemas-microsoft-com:office:smarttags" w:element="place">
              <w:r w:rsidRPr="007223AA">
                <w:rPr>
                  <w:rFonts w:ascii="Book Antiqua" w:hAnsi="Book Antiqua" w:cs="Arial"/>
                  <w:b/>
                  <w:bCs/>
                  <w:sz w:val="20"/>
                  <w:szCs w:val="20"/>
                  <w:lang w:val="en-US"/>
                </w:rPr>
                <w:t>Forest</w:t>
              </w:r>
            </w:smartTag>
            <w:r w:rsidRPr="007223AA">
              <w:rPr>
                <w:rFonts w:ascii="Book Antiqua" w:hAnsi="Book Antiqua" w:cs="Arial"/>
                <w:b/>
                <w:bCs/>
                <w:sz w:val="20"/>
                <w:szCs w:val="20"/>
                <w:lang w:val="en-US"/>
              </w:rPr>
              <w:t xml:space="preserve"> owners eligible to </w:t>
            </w:r>
            <w:r w:rsidR="00480D3D">
              <w:rPr>
                <w:rFonts w:ascii="Book Antiqua" w:hAnsi="Book Antiqua" w:cs="Arial"/>
                <w:b/>
                <w:bCs/>
                <w:sz w:val="20"/>
                <w:szCs w:val="20"/>
                <w:lang w:val="en-US"/>
              </w:rPr>
              <w:t>REDD+</w:t>
            </w:r>
            <w:r w:rsidRPr="007223AA">
              <w:rPr>
                <w:rFonts w:ascii="Book Antiqua" w:hAnsi="Book Antiqua" w:cs="Arial"/>
                <w:b/>
                <w:bCs/>
                <w:sz w:val="20"/>
                <w:szCs w:val="20"/>
                <w:lang w:val="en-US"/>
              </w:rPr>
              <w:t xml:space="preserve"> benefits</w:t>
            </w:r>
          </w:p>
        </w:tc>
        <w:tc>
          <w:tcPr>
            <w:tcW w:w="1893"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Most of payments currently channeled to </w:t>
            </w:r>
            <w:r w:rsidR="003A6A8D">
              <w:rPr>
                <w:rFonts w:ascii="Book Antiqua" w:hAnsi="Book Antiqua" w:cs="Arial"/>
                <w:sz w:val="20"/>
                <w:szCs w:val="20"/>
                <w:lang w:val="en-US"/>
              </w:rPr>
              <w:t>SOC</w:t>
            </w:r>
            <w:r w:rsidRPr="007223AA">
              <w:rPr>
                <w:rFonts w:ascii="Book Antiqua" w:hAnsi="Book Antiqua" w:cs="Arial"/>
                <w:sz w:val="20"/>
                <w:szCs w:val="20"/>
                <w:lang w:val="en-US"/>
              </w:rPr>
              <w:t xml:space="preserve">s, PAMBs, households, but groups/communities maybe potential recipients  </w:t>
            </w:r>
          </w:p>
        </w:tc>
        <w:tc>
          <w:tcPr>
            <w:tcW w:w="1782"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(i) GoV maintains the same way; (ii) creates legal framework for community to participate; (iii) prioritizes community </w:t>
            </w:r>
          </w:p>
        </w:tc>
        <w:tc>
          <w:tcPr>
            <w:tcW w:w="2005"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 GoV creates a level of playing field for community </w:t>
            </w:r>
          </w:p>
        </w:tc>
        <w:tc>
          <w:tcPr>
            <w:tcW w:w="1894"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(i) Independent evaluations of CFM to be used for formulation of enabling legislation; (ii) Piloting community-based </w:t>
            </w:r>
            <w:r w:rsidR="00480D3D">
              <w:rPr>
                <w:rFonts w:ascii="Book Antiqua" w:hAnsi="Book Antiqua" w:cs="Arial"/>
                <w:sz w:val="20"/>
                <w:szCs w:val="20"/>
                <w:lang w:val="en-US"/>
              </w:rPr>
              <w:t>REDD+</w:t>
            </w:r>
            <w:r w:rsidRPr="007223AA">
              <w:rPr>
                <w:rFonts w:ascii="Book Antiqua" w:hAnsi="Book Antiqua" w:cs="Arial"/>
                <w:sz w:val="20"/>
                <w:szCs w:val="20"/>
                <w:lang w:val="en-US"/>
              </w:rPr>
              <w:t xml:space="preserve">   </w:t>
            </w:r>
          </w:p>
        </w:tc>
      </w:tr>
      <w:tr w:rsidR="00351F2C" w:rsidRPr="00445F77">
        <w:tc>
          <w:tcPr>
            <w:tcW w:w="1713" w:type="dxa"/>
            <w:shd w:val="clear" w:color="auto" w:fill="95B3D7"/>
          </w:tcPr>
          <w:p w:rsidR="00351F2C" w:rsidRPr="007223AA" w:rsidRDefault="00351F2C" w:rsidP="00177F3C">
            <w:pPr>
              <w:spacing w:after="0" w:line="240" w:lineRule="auto"/>
              <w:rPr>
                <w:rFonts w:ascii="Book Antiqua" w:hAnsi="Book Antiqua" w:cs="Arial"/>
                <w:b/>
                <w:bCs/>
                <w:sz w:val="20"/>
                <w:szCs w:val="20"/>
                <w:lang w:val="en-US"/>
              </w:rPr>
            </w:pPr>
            <w:r w:rsidRPr="007223AA">
              <w:rPr>
                <w:rFonts w:ascii="Book Antiqua" w:hAnsi="Book Antiqua" w:cs="Arial"/>
                <w:b/>
                <w:bCs/>
                <w:sz w:val="20"/>
                <w:szCs w:val="20"/>
                <w:lang w:val="en-US"/>
              </w:rPr>
              <w:t xml:space="preserve">Principle of distribution of </w:t>
            </w:r>
            <w:r w:rsidR="00480D3D">
              <w:rPr>
                <w:rFonts w:ascii="Book Antiqua" w:hAnsi="Book Antiqua" w:cs="Arial"/>
                <w:b/>
                <w:bCs/>
                <w:sz w:val="20"/>
                <w:szCs w:val="20"/>
                <w:lang w:val="en-US"/>
              </w:rPr>
              <w:t>REDD+</w:t>
            </w:r>
            <w:r w:rsidRPr="007223AA">
              <w:rPr>
                <w:rFonts w:ascii="Book Antiqua" w:hAnsi="Book Antiqua" w:cs="Arial"/>
                <w:b/>
                <w:bCs/>
                <w:sz w:val="20"/>
                <w:szCs w:val="20"/>
                <w:lang w:val="en-US"/>
              </w:rPr>
              <w:t xml:space="preserve"> benefits</w:t>
            </w:r>
          </w:p>
        </w:tc>
        <w:tc>
          <w:tcPr>
            <w:tcW w:w="1893"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Inefficiencies in budget allocation owing to centralized administrative procedures</w:t>
            </w:r>
          </w:p>
        </w:tc>
        <w:tc>
          <w:tcPr>
            <w:tcW w:w="1782"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(i) GoV defines </w:t>
            </w:r>
            <w:r w:rsidR="00480D3D">
              <w:rPr>
                <w:rFonts w:ascii="Book Antiqua" w:hAnsi="Book Antiqua" w:cs="Arial"/>
                <w:sz w:val="20"/>
                <w:szCs w:val="20"/>
                <w:lang w:val="en-US"/>
              </w:rPr>
              <w:t>REDD+</w:t>
            </w:r>
            <w:r w:rsidRPr="007223AA">
              <w:rPr>
                <w:rFonts w:ascii="Book Antiqua" w:hAnsi="Book Antiqua" w:cs="Arial"/>
                <w:sz w:val="20"/>
                <w:szCs w:val="20"/>
                <w:lang w:val="en-US"/>
              </w:rPr>
              <w:t xml:space="preserve"> payments at national level; (ii) creates enabling framework for sub-national </w:t>
            </w:r>
            <w:r w:rsidR="00480D3D">
              <w:rPr>
                <w:rFonts w:ascii="Book Antiqua" w:hAnsi="Book Antiqua" w:cs="Arial"/>
                <w:sz w:val="20"/>
                <w:szCs w:val="20"/>
                <w:lang w:val="en-US"/>
              </w:rPr>
              <w:t>REDD+</w:t>
            </w:r>
            <w:r w:rsidRPr="007223AA">
              <w:rPr>
                <w:rFonts w:ascii="Book Antiqua" w:hAnsi="Book Antiqua" w:cs="Arial"/>
                <w:sz w:val="20"/>
                <w:szCs w:val="20"/>
                <w:lang w:val="en-US"/>
              </w:rPr>
              <w:t xml:space="preserve"> funds; (iii) transfer payment decisions to sub-national funds</w:t>
            </w:r>
          </w:p>
        </w:tc>
        <w:tc>
          <w:tcPr>
            <w:tcW w:w="2005"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GoV creates enabling framework for sub-national funds. </w:t>
            </w:r>
          </w:p>
        </w:tc>
        <w:tc>
          <w:tcPr>
            <w:tcW w:w="1894"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External evaluations of</w:t>
            </w:r>
            <w:r w:rsidR="001B6D90">
              <w:rPr>
                <w:rFonts w:ascii="Book Antiqua" w:hAnsi="Book Antiqua" w:cs="Arial"/>
                <w:sz w:val="20"/>
                <w:szCs w:val="20"/>
                <w:lang w:val="en-US"/>
              </w:rPr>
              <w:t xml:space="preserve"> PFES</w:t>
            </w:r>
            <w:r w:rsidRPr="007223AA">
              <w:rPr>
                <w:rFonts w:ascii="Book Antiqua" w:hAnsi="Book Antiqua" w:cs="Arial"/>
                <w:sz w:val="20"/>
                <w:szCs w:val="20"/>
                <w:lang w:val="en-US"/>
              </w:rPr>
              <w:t xml:space="preserve"> schemes to serve as foundation for formulating enabling framework </w:t>
            </w:r>
          </w:p>
        </w:tc>
      </w:tr>
      <w:tr w:rsidR="00351F2C" w:rsidRPr="00445F77">
        <w:tc>
          <w:tcPr>
            <w:tcW w:w="1713" w:type="dxa"/>
            <w:shd w:val="clear" w:color="auto" w:fill="95B3D7"/>
          </w:tcPr>
          <w:p w:rsidR="00351F2C" w:rsidRPr="007223AA" w:rsidRDefault="00351F2C" w:rsidP="00177F3C">
            <w:pPr>
              <w:spacing w:after="0" w:line="240" w:lineRule="auto"/>
              <w:rPr>
                <w:rFonts w:ascii="Book Antiqua" w:hAnsi="Book Antiqua" w:cs="Arial"/>
                <w:b/>
                <w:bCs/>
                <w:sz w:val="20"/>
                <w:szCs w:val="20"/>
                <w:lang w:val="en-US"/>
              </w:rPr>
            </w:pPr>
            <w:r w:rsidRPr="007223AA">
              <w:rPr>
                <w:rFonts w:ascii="Book Antiqua" w:hAnsi="Book Antiqua" w:cs="Arial"/>
                <w:b/>
                <w:bCs/>
                <w:sz w:val="20"/>
                <w:szCs w:val="20"/>
                <w:lang w:val="en-US"/>
              </w:rPr>
              <w:t>Balance ex post payment with upfront resources and incentives</w:t>
            </w:r>
          </w:p>
        </w:tc>
        <w:tc>
          <w:tcPr>
            <w:tcW w:w="1893"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Carbon finance is determined based on performance. But upfront incentives and resources required for forest management  </w:t>
            </w:r>
          </w:p>
        </w:tc>
        <w:tc>
          <w:tcPr>
            <w:tcW w:w="1782"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(i) GoV makes all payments ex post; (ii) disburses benefits upfront and payment is conditional; (iii) combines ex post and upfront incentive and resources  </w:t>
            </w:r>
          </w:p>
        </w:tc>
        <w:tc>
          <w:tcPr>
            <w:tcW w:w="2005"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Combine ex post with the provision of upfront incentives and resources  </w:t>
            </w:r>
          </w:p>
        </w:tc>
        <w:tc>
          <w:tcPr>
            <w:tcW w:w="1894"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Review existing microfinance in forestry to inform the design of microfinance approach to provide the upfront and incentive. Explore other potential financial sources</w:t>
            </w:r>
          </w:p>
        </w:tc>
      </w:tr>
      <w:tr w:rsidR="00351F2C" w:rsidRPr="00445F77">
        <w:tc>
          <w:tcPr>
            <w:tcW w:w="1713" w:type="dxa"/>
            <w:shd w:val="clear" w:color="auto" w:fill="95B3D7"/>
          </w:tcPr>
          <w:p w:rsidR="00351F2C" w:rsidRPr="007223AA" w:rsidRDefault="00351F2C" w:rsidP="00177F3C">
            <w:pPr>
              <w:spacing w:after="0" w:line="240" w:lineRule="auto"/>
              <w:rPr>
                <w:rFonts w:ascii="Book Antiqua" w:hAnsi="Book Antiqua" w:cs="Arial"/>
                <w:b/>
                <w:bCs/>
                <w:sz w:val="20"/>
                <w:szCs w:val="20"/>
                <w:lang w:val="en-US"/>
              </w:rPr>
            </w:pPr>
            <w:r w:rsidRPr="007223AA">
              <w:rPr>
                <w:rFonts w:ascii="Book Antiqua" w:hAnsi="Book Antiqua" w:cs="Arial"/>
                <w:b/>
                <w:bCs/>
                <w:sz w:val="20"/>
                <w:szCs w:val="20"/>
                <w:lang w:val="en-US"/>
              </w:rPr>
              <w:t xml:space="preserve">Law enforcement </w:t>
            </w:r>
          </w:p>
        </w:tc>
        <w:tc>
          <w:tcPr>
            <w:tcW w:w="1893"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Weak law enforcement. Local households and communities don’t require adequate legal support</w:t>
            </w:r>
          </w:p>
        </w:tc>
        <w:tc>
          <w:tcPr>
            <w:tcW w:w="1782"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(i) GoV makes the recipients liable to non-performance; (ii) waives the liability of payment recipients; (iii) develops effective law enforcement  </w:t>
            </w:r>
          </w:p>
        </w:tc>
        <w:tc>
          <w:tcPr>
            <w:tcW w:w="2005"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GoV develops operational structures for effective law enforcement </w:t>
            </w:r>
          </w:p>
        </w:tc>
        <w:tc>
          <w:tcPr>
            <w:tcW w:w="1894"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Community-based law enforcement should be built in regulations; capacity building for officials</w:t>
            </w:r>
          </w:p>
        </w:tc>
      </w:tr>
      <w:tr w:rsidR="00351F2C" w:rsidRPr="00445F77">
        <w:tc>
          <w:tcPr>
            <w:tcW w:w="1713" w:type="dxa"/>
            <w:shd w:val="clear" w:color="auto" w:fill="95B3D7"/>
          </w:tcPr>
          <w:p w:rsidR="00351F2C" w:rsidRPr="007223AA" w:rsidRDefault="00351F2C" w:rsidP="00177F3C">
            <w:pPr>
              <w:spacing w:after="0" w:line="240" w:lineRule="auto"/>
              <w:rPr>
                <w:rFonts w:ascii="Book Antiqua" w:hAnsi="Book Antiqua" w:cs="Arial"/>
                <w:b/>
                <w:bCs/>
                <w:sz w:val="20"/>
                <w:szCs w:val="20"/>
                <w:lang w:val="en-US"/>
              </w:rPr>
            </w:pPr>
            <w:r w:rsidRPr="007223AA">
              <w:rPr>
                <w:rFonts w:ascii="Book Antiqua" w:hAnsi="Book Antiqua" w:cs="Arial"/>
                <w:b/>
                <w:bCs/>
                <w:sz w:val="20"/>
                <w:szCs w:val="20"/>
                <w:lang w:val="en-US"/>
              </w:rPr>
              <w:t>Critical elements of institutional structure</w:t>
            </w:r>
          </w:p>
        </w:tc>
        <w:tc>
          <w:tcPr>
            <w:tcW w:w="1893"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The structure needs check and balance systems. Focus on single institution is not effective for allocation </w:t>
            </w:r>
          </w:p>
        </w:tc>
        <w:tc>
          <w:tcPr>
            <w:tcW w:w="1782"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 xml:space="preserve">(i) GoV enables district FPUs to receive payments and has other agency checked them; (ii) mandates district </w:t>
            </w:r>
            <w:r w:rsidRPr="007223AA">
              <w:rPr>
                <w:rFonts w:ascii="Book Antiqua" w:hAnsi="Book Antiqua" w:cs="Arial"/>
                <w:sz w:val="20"/>
                <w:szCs w:val="20"/>
                <w:lang w:val="en-US"/>
              </w:rPr>
              <w:lastRenderedPageBreak/>
              <w:t>FPUs to monitor and enforce payment compliance</w:t>
            </w:r>
          </w:p>
        </w:tc>
        <w:tc>
          <w:tcPr>
            <w:tcW w:w="2005"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lastRenderedPageBreak/>
              <w:t xml:space="preserve">GoV mandates district FPUs to monitor and enforce payment recipients’ compliance </w:t>
            </w:r>
          </w:p>
        </w:tc>
        <w:tc>
          <w:tcPr>
            <w:tcW w:w="1894" w:type="dxa"/>
            <w:shd w:val="clear" w:color="auto" w:fill="DBE5F1"/>
          </w:tcPr>
          <w:p w:rsidR="00351F2C" w:rsidRPr="007223AA" w:rsidRDefault="00351F2C" w:rsidP="00177F3C">
            <w:pPr>
              <w:spacing w:after="0" w:line="240" w:lineRule="auto"/>
              <w:rPr>
                <w:rFonts w:ascii="Book Antiqua" w:hAnsi="Book Antiqua" w:cs="Arial"/>
                <w:sz w:val="20"/>
                <w:szCs w:val="20"/>
                <w:lang w:val="en-US"/>
              </w:rPr>
            </w:pPr>
            <w:r w:rsidRPr="007223AA">
              <w:rPr>
                <w:rFonts w:ascii="Book Antiqua" w:hAnsi="Book Antiqua" w:cs="Arial"/>
                <w:sz w:val="20"/>
                <w:szCs w:val="20"/>
                <w:lang w:val="en-US"/>
              </w:rPr>
              <w:t>Assessment of institutional structures of</w:t>
            </w:r>
            <w:r w:rsidR="001B6D90">
              <w:rPr>
                <w:rFonts w:ascii="Book Antiqua" w:hAnsi="Book Antiqua" w:cs="Arial"/>
                <w:sz w:val="20"/>
                <w:szCs w:val="20"/>
                <w:lang w:val="en-US"/>
              </w:rPr>
              <w:t xml:space="preserve"> PFES</w:t>
            </w:r>
            <w:r w:rsidRPr="007223AA">
              <w:rPr>
                <w:rFonts w:ascii="Book Antiqua" w:hAnsi="Book Antiqua" w:cs="Arial"/>
                <w:sz w:val="20"/>
                <w:szCs w:val="20"/>
                <w:lang w:val="en-US"/>
              </w:rPr>
              <w:t xml:space="preserve"> schemes in Son La and Lam Dong, of 661 </w:t>
            </w:r>
            <w:r w:rsidR="00480D3D">
              <w:rPr>
                <w:rFonts w:ascii="Book Antiqua" w:hAnsi="Book Antiqua" w:cs="Arial"/>
                <w:sz w:val="20"/>
                <w:szCs w:val="20"/>
                <w:lang w:val="en-US"/>
              </w:rPr>
              <w:t>Programme</w:t>
            </w:r>
            <w:r w:rsidRPr="007223AA">
              <w:rPr>
                <w:rFonts w:ascii="Book Antiqua" w:hAnsi="Book Antiqua" w:cs="Arial"/>
                <w:sz w:val="20"/>
                <w:szCs w:val="20"/>
                <w:lang w:val="en-US"/>
              </w:rPr>
              <w:t xml:space="preserve"> to use for inform the </w:t>
            </w:r>
            <w:r w:rsidRPr="007223AA">
              <w:rPr>
                <w:rFonts w:ascii="Book Antiqua" w:hAnsi="Book Antiqua" w:cs="Arial"/>
                <w:sz w:val="20"/>
                <w:szCs w:val="20"/>
                <w:lang w:val="en-US"/>
              </w:rPr>
              <w:lastRenderedPageBreak/>
              <w:t xml:space="preserve">institutional design sub-national </w:t>
            </w:r>
            <w:r w:rsidR="00480D3D">
              <w:rPr>
                <w:rFonts w:ascii="Book Antiqua" w:hAnsi="Book Antiqua" w:cs="Arial"/>
                <w:sz w:val="20"/>
                <w:szCs w:val="20"/>
                <w:lang w:val="en-US"/>
              </w:rPr>
              <w:t>REDD+</w:t>
            </w:r>
            <w:r w:rsidRPr="007223AA">
              <w:rPr>
                <w:rFonts w:ascii="Book Antiqua" w:hAnsi="Book Antiqua" w:cs="Arial"/>
                <w:sz w:val="20"/>
                <w:szCs w:val="20"/>
                <w:lang w:val="en-US"/>
              </w:rPr>
              <w:t xml:space="preserve"> scheme  </w:t>
            </w:r>
          </w:p>
        </w:tc>
      </w:tr>
    </w:tbl>
    <w:p w:rsidR="00351F2C" w:rsidRPr="00445F77" w:rsidRDefault="00351F2C" w:rsidP="00605C77">
      <w:pPr>
        <w:spacing w:after="0"/>
        <w:rPr>
          <w:rFonts w:ascii="Arial" w:hAnsi="Arial" w:cs="Arial"/>
          <w:sz w:val="24"/>
          <w:szCs w:val="24"/>
          <w:lang w:val="en-US"/>
        </w:rPr>
      </w:pPr>
    </w:p>
    <w:p w:rsidR="00351F2C" w:rsidRPr="00445F77" w:rsidRDefault="00351F2C" w:rsidP="0020363F">
      <w:pPr>
        <w:spacing w:after="0" w:line="300" w:lineRule="atLeast"/>
        <w:jc w:val="both"/>
        <w:rPr>
          <w:rFonts w:ascii="Arial" w:hAnsi="Arial" w:cs="Arial"/>
          <w:sz w:val="24"/>
          <w:szCs w:val="24"/>
          <w:lang w:val="en-US"/>
        </w:rPr>
      </w:pPr>
    </w:p>
    <w:p w:rsidR="00351F2C" w:rsidRPr="00445F77" w:rsidRDefault="00351F2C" w:rsidP="00605C77">
      <w:pPr>
        <w:pStyle w:val="Heading3"/>
        <w:spacing w:before="0" w:after="0"/>
        <w:rPr>
          <w:rFonts w:ascii="Arial" w:hAnsi="Arial" w:cs="Arial"/>
          <w:bCs w:val="0"/>
          <w:lang w:val="en-US"/>
        </w:rPr>
      </w:pPr>
      <w:bookmarkStart w:id="443" w:name="_Toc244586229"/>
      <w:bookmarkStart w:id="444" w:name="_Toc249079580"/>
      <w:r w:rsidRPr="00445F77">
        <w:rPr>
          <w:rFonts w:ascii="Arial" w:hAnsi="Arial" w:cs="Arial"/>
          <w:bCs w:val="0"/>
          <w:lang w:val="en-US"/>
        </w:rPr>
        <w:t>The balance between a distribution of benefits ex post and the provision of resources and incentives upfront</w:t>
      </w:r>
      <w:bookmarkEnd w:id="443"/>
      <w:bookmarkEnd w:id="444"/>
    </w:p>
    <w:p w:rsidR="00351F2C" w:rsidRPr="007223AA" w:rsidRDefault="00351F2C" w:rsidP="00605C77">
      <w:pPr>
        <w:spacing w:after="0" w:line="300" w:lineRule="exact"/>
        <w:jc w:val="both"/>
        <w:rPr>
          <w:rFonts w:ascii="Book Antiqua" w:hAnsi="Book Antiqua" w:cs="Arial"/>
          <w:lang w:val="en-US"/>
        </w:rPr>
      </w:pPr>
      <w:smartTag w:uri="urn:schemas-microsoft-com:office:smarttags" w:element="country-region">
        <w:smartTag w:uri="urn:schemas-microsoft-com:office:smarttags" w:element="place">
          <w:r w:rsidRPr="007223AA">
            <w:rPr>
              <w:rFonts w:ascii="Book Antiqua" w:hAnsi="Book Antiqua" w:cs="Arial"/>
              <w:lang w:val="en-US"/>
            </w:rPr>
            <w:t>Viet Nam</w:t>
          </w:r>
        </w:smartTag>
      </w:smartTag>
      <w:r w:rsidRPr="007223AA">
        <w:rPr>
          <w:rFonts w:ascii="Book Antiqua" w:hAnsi="Book Antiqua" w:cs="Arial"/>
          <w:lang w:val="en-US"/>
        </w:rPr>
        <w:t xml:space="preserve"> will only receive </w:t>
      </w:r>
      <w:r w:rsidR="00480D3D">
        <w:rPr>
          <w:rFonts w:ascii="Book Antiqua" w:hAnsi="Book Antiqua" w:cs="Arial"/>
          <w:lang w:val="en-US"/>
        </w:rPr>
        <w:t>REDD+</w:t>
      </w:r>
      <w:r w:rsidRPr="007223AA">
        <w:rPr>
          <w:rFonts w:ascii="Book Antiqua" w:hAnsi="Book Antiqua" w:cs="Arial"/>
          <w:lang w:val="en-US"/>
        </w:rPr>
        <w:t xml:space="preserve"> finance from the international community if it can demonstrate appropriate performance.  Moreover, payments by the international community are most likely to take place </w:t>
      </w:r>
      <w:r w:rsidRPr="007223AA">
        <w:rPr>
          <w:rFonts w:ascii="Book Antiqua" w:hAnsi="Book Antiqua" w:cs="Arial"/>
          <w:i/>
          <w:lang w:val="en-US"/>
        </w:rPr>
        <w:t>ex post</w:t>
      </w:r>
      <w:r w:rsidRPr="007223AA">
        <w:rPr>
          <w:rFonts w:ascii="Book Antiqua" w:hAnsi="Book Antiqua" w:cs="Arial"/>
          <w:lang w:val="en-US"/>
        </w:rPr>
        <w:t xml:space="preserve">, that is, after the performance has been measured and verified.  As a result, </w:t>
      </w:r>
      <w:r w:rsidRPr="007223AA">
        <w:rPr>
          <w:rFonts w:ascii="Book Antiqua" w:hAnsi="Book Antiqua" w:cs="Arial"/>
          <w:u w:val="single"/>
          <w:lang w:val="en-US"/>
        </w:rPr>
        <w:t xml:space="preserve">the distribution of </w:t>
      </w:r>
      <w:r w:rsidR="00480D3D">
        <w:rPr>
          <w:rFonts w:ascii="Book Antiqua" w:hAnsi="Book Antiqua" w:cs="Arial"/>
          <w:u w:val="single"/>
          <w:lang w:val="en-US"/>
        </w:rPr>
        <w:t>REDD+</w:t>
      </w:r>
      <w:r w:rsidRPr="007223AA">
        <w:rPr>
          <w:rFonts w:ascii="Book Antiqua" w:hAnsi="Book Antiqua" w:cs="Arial"/>
          <w:u w:val="single"/>
          <w:lang w:val="en-US"/>
        </w:rPr>
        <w:t xml:space="preserve"> benefits will need to take place </w:t>
      </w:r>
      <w:r w:rsidRPr="007223AA">
        <w:rPr>
          <w:rFonts w:ascii="Book Antiqua" w:hAnsi="Book Antiqua" w:cs="Arial"/>
          <w:i/>
          <w:u w:val="single"/>
          <w:lang w:val="en-US"/>
        </w:rPr>
        <w:t>ex post</w:t>
      </w:r>
      <w:r w:rsidRPr="007223AA">
        <w:rPr>
          <w:rFonts w:ascii="Book Antiqua" w:hAnsi="Book Antiqua" w:cs="Arial"/>
          <w:lang w:val="en-US"/>
        </w:rPr>
        <w:t xml:space="preserve">, even at the sub-national level.  Sub-national </w:t>
      </w:r>
      <w:r w:rsidR="00480D3D">
        <w:rPr>
          <w:rFonts w:ascii="Book Antiqua" w:hAnsi="Book Antiqua" w:cs="Arial"/>
          <w:lang w:val="en-US"/>
        </w:rPr>
        <w:t>REDD+</w:t>
      </w:r>
      <w:r w:rsidRPr="007223AA">
        <w:rPr>
          <w:rFonts w:ascii="Book Antiqua" w:hAnsi="Book Antiqua" w:cs="Arial"/>
          <w:lang w:val="en-US"/>
        </w:rPr>
        <w:t xml:space="preserve"> Funds will release </w:t>
      </w:r>
      <w:r w:rsidR="00480D3D">
        <w:rPr>
          <w:rFonts w:ascii="Book Antiqua" w:hAnsi="Book Antiqua" w:cs="Arial"/>
          <w:lang w:val="en-US"/>
        </w:rPr>
        <w:t>REDD+</w:t>
      </w:r>
      <w:r w:rsidRPr="007223AA">
        <w:rPr>
          <w:rFonts w:ascii="Book Antiqua" w:hAnsi="Book Antiqua" w:cs="Arial"/>
          <w:lang w:val="en-US"/>
        </w:rPr>
        <w:t xml:space="preserve"> benefits to recipients only after their performance has been measured and verified.  The introduction of </w:t>
      </w:r>
      <w:r w:rsidRPr="007223AA">
        <w:rPr>
          <w:rFonts w:ascii="Book Antiqua" w:hAnsi="Book Antiqua" w:cs="Arial"/>
          <w:i/>
          <w:lang w:val="en-US"/>
        </w:rPr>
        <w:t>ex post</w:t>
      </w:r>
      <w:r w:rsidRPr="007223AA">
        <w:rPr>
          <w:rFonts w:ascii="Book Antiqua" w:hAnsi="Book Antiqua" w:cs="Arial"/>
          <w:lang w:val="en-US"/>
        </w:rPr>
        <w:t xml:space="preserve"> payments could build on initial experiences gained under the Lam Dong and Son La</w:t>
      </w:r>
      <w:r w:rsidR="001B6D90">
        <w:rPr>
          <w:rFonts w:ascii="Book Antiqua" w:hAnsi="Book Antiqua" w:cs="Arial"/>
          <w:lang w:val="en-US"/>
        </w:rPr>
        <w:t xml:space="preserve"> PFES</w:t>
      </w:r>
      <w:r w:rsidRPr="007223AA">
        <w:rPr>
          <w:rFonts w:ascii="Book Antiqua" w:hAnsi="Book Antiqua" w:cs="Arial"/>
          <w:lang w:val="en-US"/>
        </w:rPr>
        <w:t xml:space="preserve"> schemes, which include inspections of contracted forests and the possibility to withhold payments in the case of non-compliance with contractual obligations.  Nevertheless, </w:t>
      </w:r>
      <w:r w:rsidRPr="007223AA">
        <w:rPr>
          <w:rFonts w:ascii="Book Antiqua" w:hAnsi="Book Antiqua" w:cs="Arial"/>
          <w:i/>
          <w:lang w:val="en-US"/>
        </w:rPr>
        <w:t>ex post</w:t>
      </w:r>
      <w:r w:rsidRPr="007223AA">
        <w:rPr>
          <w:rFonts w:ascii="Book Antiqua" w:hAnsi="Book Antiqua" w:cs="Arial"/>
          <w:lang w:val="en-US"/>
        </w:rPr>
        <w:t xml:space="preserve"> payments present a radical challenge to the GoV, as they imply a radical break with past practice.</w:t>
      </w:r>
    </w:p>
    <w:p w:rsidR="00351F2C" w:rsidRPr="007223AA" w:rsidRDefault="00351F2C" w:rsidP="00F05F95">
      <w:pPr>
        <w:spacing w:after="0" w:line="300" w:lineRule="exact"/>
        <w:jc w:val="both"/>
        <w:rPr>
          <w:rFonts w:ascii="Book Antiqua" w:hAnsi="Book Antiqua" w:cs="Arial"/>
          <w:lang w:val="en-US"/>
        </w:rPr>
      </w:pPr>
    </w:p>
    <w:p w:rsidR="00351F2C" w:rsidRPr="007223AA" w:rsidRDefault="00351F2C" w:rsidP="00F05F95">
      <w:pPr>
        <w:spacing w:after="0" w:line="300" w:lineRule="exact"/>
        <w:jc w:val="both"/>
        <w:rPr>
          <w:rFonts w:ascii="Book Antiqua" w:hAnsi="Book Antiqua" w:cs="Arial"/>
          <w:lang w:val="en-US"/>
        </w:rPr>
      </w:pPr>
      <w:r w:rsidRPr="007223AA">
        <w:rPr>
          <w:rFonts w:ascii="Book Antiqua" w:hAnsi="Book Antiqua" w:cs="Arial"/>
          <w:lang w:val="en-US"/>
        </w:rPr>
        <w:t xml:space="preserve">At the same time, the GoV may want to </w:t>
      </w:r>
      <w:r w:rsidRPr="007223AA">
        <w:rPr>
          <w:rFonts w:ascii="Book Antiqua" w:hAnsi="Book Antiqua" w:cs="Arial"/>
          <w:u w:val="single"/>
          <w:lang w:val="en-US"/>
        </w:rPr>
        <w:t xml:space="preserve">combine the distribution of benefits </w:t>
      </w:r>
      <w:r w:rsidRPr="007223AA">
        <w:rPr>
          <w:rFonts w:ascii="Book Antiqua" w:hAnsi="Book Antiqua" w:cs="Arial"/>
          <w:i/>
          <w:u w:val="single"/>
          <w:lang w:val="en-US"/>
        </w:rPr>
        <w:t xml:space="preserve">ex post </w:t>
      </w:r>
      <w:r w:rsidRPr="007223AA">
        <w:rPr>
          <w:rFonts w:ascii="Book Antiqua" w:hAnsi="Book Antiqua" w:cs="Arial"/>
          <w:u w:val="single"/>
          <w:lang w:val="en-US"/>
        </w:rPr>
        <w:t xml:space="preserve"> with the provision of incentives and resources upfront</w:t>
      </w:r>
      <w:r w:rsidRPr="007223AA">
        <w:rPr>
          <w:rFonts w:ascii="Book Antiqua" w:hAnsi="Book Antiqua" w:cs="Arial"/>
          <w:lang w:val="en-US"/>
        </w:rPr>
        <w:t xml:space="preserve">.  </w:t>
      </w:r>
      <w:smartTag w:uri="urn:schemas-microsoft-com:office:smarttags" w:element="country-region">
        <w:smartTag w:uri="urn:schemas-microsoft-com:office:smarttags" w:element="place">
          <w:r w:rsidRPr="007223AA">
            <w:rPr>
              <w:rFonts w:ascii="Book Antiqua" w:hAnsi="Book Antiqua" w:cs="Arial"/>
              <w:lang w:val="en-US"/>
            </w:rPr>
            <w:t>Viet Nam</w:t>
          </w:r>
        </w:smartTag>
      </w:smartTag>
      <w:r w:rsidRPr="007223AA">
        <w:rPr>
          <w:rFonts w:ascii="Book Antiqua" w:hAnsi="Book Antiqua" w:cs="Arial"/>
          <w:lang w:val="en-US"/>
        </w:rPr>
        <w:t xml:space="preserve">’s experience with the use of micro finance approaches for reforestation indicates how that can be done.  The establishment of conditional savings books would allow sub-national </w:t>
      </w:r>
      <w:r w:rsidR="00480D3D">
        <w:rPr>
          <w:rFonts w:ascii="Book Antiqua" w:hAnsi="Book Antiqua" w:cs="Arial"/>
          <w:lang w:val="en-US"/>
        </w:rPr>
        <w:t>REDD+</w:t>
      </w:r>
      <w:r w:rsidRPr="007223AA">
        <w:rPr>
          <w:rFonts w:ascii="Book Antiqua" w:hAnsi="Book Antiqua" w:cs="Arial"/>
          <w:lang w:val="en-US"/>
        </w:rPr>
        <w:t xml:space="preserve"> funds to create strong upfront</w:t>
      </w:r>
      <w:r w:rsidRPr="007223AA">
        <w:rPr>
          <w:rFonts w:ascii="Book Antiqua" w:hAnsi="Book Antiqua" w:cs="Arial"/>
          <w:i/>
          <w:lang w:val="en-US"/>
        </w:rPr>
        <w:t xml:space="preserve"> </w:t>
      </w:r>
      <w:r w:rsidRPr="007223AA">
        <w:rPr>
          <w:rFonts w:ascii="Book Antiqua" w:hAnsi="Book Antiqua" w:cs="Arial"/>
          <w:lang w:val="en-US"/>
        </w:rPr>
        <w:t xml:space="preserve">incentives and provide forest managers with the means to improve forest conservation, while simultaneously maintaining the principle of </w:t>
      </w:r>
      <w:r w:rsidRPr="007223AA">
        <w:rPr>
          <w:rFonts w:ascii="Book Antiqua" w:hAnsi="Book Antiqua" w:cs="Arial"/>
          <w:i/>
          <w:lang w:val="en-US"/>
        </w:rPr>
        <w:t>ex post</w:t>
      </w:r>
      <w:r w:rsidRPr="007223AA">
        <w:rPr>
          <w:rFonts w:ascii="Book Antiqua" w:hAnsi="Book Antiqua" w:cs="Arial"/>
          <w:lang w:val="en-US"/>
        </w:rPr>
        <w:t xml:space="preserve"> payments.  The GoV could grant sub-national </w:t>
      </w:r>
      <w:r w:rsidR="00480D3D">
        <w:rPr>
          <w:rFonts w:ascii="Book Antiqua" w:hAnsi="Book Antiqua" w:cs="Arial"/>
          <w:lang w:val="en-US"/>
        </w:rPr>
        <w:t>REDD+</w:t>
      </w:r>
      <w:r w:rsidRPr="007223AA">
        <w:rPr>
          <w:rFonts w:ascii="Book Antiqua" w:hAnsi="Book Antiqua" w:cs="Arial"/>
          <w:lang w:val="en-US"/>
        </w:rPr>
        <w:t xml:space="preserve"> Funds such a possibility by making the necessary arrangements with the Bank for Social Policies similar to those under the KfW projects.  A national arrangement would allow sub-national </w:t>
      </w:r>
      <w:r w:rsidR="00480D3D">
        <w:rPr>
          <w:rFonts w:ascii="Book Antiqua" w:hAnsi="Book Antiqua" w:cs="Arial"/>
          <w:lang w:val="en-US"/>
        </w:rPr>
        <w:t>REDD+</w:t>
      </w:r>
      <w:r w:rsidRPr="007223AA">
        <w:rPr>
          <w:rFonts w:ascii="Book Antiqua" w:hAnsi="Book Antiqua" w:cs="Arial"/>
          <w:lang w:val="en-US"/>
        </w:rPr>
        <w:t xml:space="preserve"> Funds to apply for a credit line on the basis of expected future </w:t>
      </w:r>
      <w:r w:rsidR="00480D3D">
        <w:rPr>
          <w:rFonts w:ascii="Book Antiqua" w:hAnsi="Book Antiqua" w:cs="Arial"/>
          <w:lang w:val="en-US"/>
        </w:rPr>
        <w:t>REDD+</w:t>
      </w:r>
      <w:r w:rsidRPr="007223AA">
        <w:rPr>
          <w:rFonts w:ascii="Book Antiqua" w:hAnsi="Book Antiqua" w:cs="Arial"/>
          <w:lang w:val="en-US"/>
        </w:rPr>
        <w:t xml:space="preserve"> payments.  The Funds could then use the credit line to offer the opening of conditional savings books to prospective payment recipients with the Bank for Social Policies.  It would then be up to forest managers to decide if they wanted to take advantage of the offer or wait for the disbursement of payments </w:t>
      </w:r>
      <w:r w:rsidRPr="007223AA">
        <w:rPr>
          <w:rFonts w:ascii="Book Antiqua" w:hAnsi="Book Antiqua" w:cs="Arial"/>
          <w:i/>
          <w:lang w:val="en-US"/>
        </w:rPr>
        <w:t>ex post</w:t>
      </w:r>
      <w:r w:rsidRPr="007223AA">
        <w:rPr>
          <w:rFonts w:ascii="Book Antiqua" w:hAnsi="Book Antiqua" w:cs="Arial"/>
          <w:lang w:val="en-US"/>
        </w:rPr>
        <w:t xml:space="preserve">.  The necessary bridging funds could come from the government budget, which already provides a large volume of loans to forest managers under the 661 </w:t>
      </w:r>
      <w:r w:rsidR="00480D3D">
        <w:rPr>
          <w:rFonts w:ascii="Book Antiqua" w:hAnsi="Book Antiqua" w:cs="Arial"/>
          <w:lang w:val="en-US"/>
        </w:rPr>
        <w:t>Programme</w:t>
      </w:r>
      <w:r w:rsidRPr="007223AA">
        <w:rPr>
          <w:rFonts w:ascii="Book Antiqua" w:hAnsi="Book Antiqua" w:cs="Arial"/>
          <w:lang w:val="en-US"/>
        </w:rPr>
        <w:t>, or ODA.</w:t>
      </w:r>
    </w:p>
    <w:p w:rsidR="00351F2C" w:rsidRPr="007223AA" w:rsidRDefault="00351F2C" w:rsidP="00F05F95">
      <w:pPr>
        <w:spacing w:after="0" w:line="300" w:lineRule="exact"/>
        <w:jc w:val="both"/>
        <w:rPr>
          <w:rFonts w:ascii="Book Antiqua" w:hAnsi="Book Antiqua" w:cs="Arial"/>
          <w:lang w:val="en-US"/>
        </w:rPr>
      </w:pPr>
    </w:p>
    <w:p w:rsidR="00351F2C" w:rsidRPr="007223AA" w:rsidRDefault="00351F2C" w:rsidP="00F05F95">
      <w:pPr>
        <w:spacing w:after="0" w:line="300" w:lineRule="exact"/>
        <w:jc w:val="both"/>
        <w:rPr>
          <w:rFonts w:ascii="Book Antiqua" w:hAnsi="Book Antiqua" w:cs="Arial"/>
          <w:lang w:val="en-US"/>
        </w:rPr>
      </w:pPr>
      <w:r w:rsidRPr="007223AA">
        <w:rPr>
          <w:rFonts w:ascii="Book Antiqua" w:hAnsi="Book Antiqua" w:cs="Arial"/>
          <w:lang w:val="en-US"/>
        </w:rPr>
        <w:t xml:space="preserve">The conditional savings books would need to be backed up by </w:t>
      </w:r>
      <w:r w:rsidRPr="007223AA">
        <w:rPr>
          <w:rFonts w:ascii="Book Antiqua" w:hAnsi="Book Antiqua" w:cs="Arial"/>
          <w:u w:val="single"/>
          <w:lang w:val="en-US"/>
        </w:rPr>
        <w:t>carefully calibrated risk management</w:t>
      </w:r>
      <w:r w:rsidRPr="007223AA">
        <w:rPr>
          <w:rFonts w:ascii="Book Antiqua" w:hAnsi="Book Antiqua" w:cs="Arial"/>
          <w:lang w:val="en-US"/>
        </w:rPr>
        <w:t xml:space="preserve">.  Its overarching principle would be that risks are shared between forest managers, the Bank for Social Policies, sub-national </w:t>
      </w:r>
      <w:r w:rsidR="00480D3D">
        <w:rPr>
          <w:rFonts w:ascii="Book Antiqua" w:hAnsi="Book Antiqua" w:cs="Arial"/>
          <w:lang w:val="en-US"/>
        </w:rPr>
        <w:t>REDD+</w:t>
      </w:r>
      <w:r w:rsidRPr="007223AA">
        <w:rPr>
          <w:rFonts w:ascii="Book Antiqua" w:hAnsi="Book Antiqua" w:cs="Arial"/>
          <w:lang w:val="en-US"/>
        </w:rPr>
        <w:t xml:space="preserve"> Funds and the national </w:t>
      </w:r>
      <w:r w:rsidR="00480D3D">
        <w:rPr>
          <w:rFonts w:ascii="Book Antiqua" w:hAnsi="Book Antiqua" w:cs="Arial"/>
          <w:lang w:val="en-US"/>
        </w:rPr>
        <w:t>REDD+</w:t>
      </w:r>
      <w:r w:rsidRPr="007223AA">
        <w:rPr>
          <w:rFonts w:ascii="Book Antiqua" w:hAnsi="Book Antiqua" w:cs="Arial"/>
          <w:lang w:val="en-US"/>
        </w:rPr>
        <w:t xml:space="preserve"> Fund.  Such risk-sharing can be supported by the use of an insurance premium on savings books and the establishment of a national </w:t>
      </w:r>
      <w:r w:rsidR="00480D3D">
        <w:rPr>
          <w:rFonts w:ascii="Book Antiqua" w:hAnsi="Book Antiqua" w:cs="Arial"/>
          <w:lang w:val="en-US"/>
        </w:rPr>
        <w:t>REDD+</w:t>
      </w:r>
      <w:r w:rsidRPr="007223AA">
        <w:rPr>
          <w:rFonts w:ascii="Book Antiqua" w:hAnsi="Book Antiqua" w:cs="Arial"/>
          <w:lang w:val="en-US"/>
        </w:rPr>
        <w:t xml:space="preserve"> insurance.  The distribution would need to vary with the kinds of risk, differentiating between damages caused by forest managers’ negligence (e.g., lack of patrolling) and those caused by factors outside forest managers’ control (e.g., large-scale forest fires).  The risk management would have to be closely tied to the law enforcement measures discussed above.</w:t>
      </w:r>
    </w:p>
    <w:p w:rsidR="00351F2C" w:rsidRPr="00445F77" w:rsidRDefault="00351F2C" w:rsidP="00F05F95">
      <w:pPr>
        <w:spacing w:after="0" w:line="300" w:lineRule="exact"/>
        <w:jc w:val="both"/>
        <w:rPr>
          <w:rFonts w:ascii="Arial" w:hAnsi="Arial" w:cs="Arial"/>
          <w:sz w:val="24"/>
          <w:szCs w:val="24"/>
        </w:rPr>
      </w:pPr>
    </w:p>
    <w:tbl>
      <w:tblPr>
        <w:tblW w:w="5000" w:type="pct"/>
        <w:jc w:val="right"/>
        <w:tblBorders>
          <w:insideH w:val="single" w:sz="24" w:space="0" w:color="FFFFFF"/>
          <w:insideV w:val="single" w:sz="24" w:space="0" w:color="FFFFFF"/>
        </w:tblBorders>
        <w:tblLook w:val="04A0"/>
      </w:tblPr>
      <w:tblGrid>
        <w:gridCol w:w="1729"/>
        <w:gridCol w:w="7275"/>
      </w:tblGrid>
      <w:tr w:rsidR="00351F2C" w:rsidRPr="00445F77">
        <w:trPr>
          <w:tblHeader/>
          <w:jc w:val="right"/>
        </w:trPr>
        <w:tc>
          <w:tcPr>
            <w:tcW w:w="5000" w:type="pct"/>
            <w:gridSpan w:val="2"/>
            <w:tcBorders>
              <w:top w:val="single" w:sz="24" w:space="0" w:color="FFFFFF"/>
              <w:bottom w:val="single" w:sz="24" w:space="0" w:color="FFFFFF"/>
            </w:tcBorders>
            <w:shd w:val="clear" w:color="auto" w:fill="76923C"/>
            <w:vAlign w:val="center"/>
          </w:tcPr>
          <w:p w:rsidR="00351F2C" w:rsidRPr="007223AA" w:rsidRDefault="00351F2C" w:rsidP="00A256CB">
            <w:pPr>
              <w:spacing w:after="0" w:line="240" w:lineRule="auto"/>
              <w:jc w:val="center"/>
              <w:rPr>
                <w:rFonts w:ascii="Book Antiqua" w:hAnsi="Book Antiqua" w:cs="Arial"/>
                <w:b/>
                <w:color w:val="FFFFFF"/>
                <w:sz w:val="24"/>
                <w:szCs w:val="24"/>
              </w:rPr>
            </w:pPr>
            <w:r w:rsidRPr="007223AA">
              <w:rPr>
                <w:rFonts w:ascii="Book Antiqua" w:hAnsi="Book Antiqua" w:cs="Arial"/>
                <w:b/>
                <w:color w:val="FFFFFF"/>
                <w:sz w:val="24"/>
                <w:szCs w:val="24"/>
              </w:rPr>
              <w:t>POLICY DECISION</w:t>
            </w:r>
            <w:r w:rsidR="00605C77">
              <w:rPr>
                <w:rFonts w:ascii="Book Antiqua" w:hAnsi="Book Antiqua" w:cs="Arial"/>
                <w:b/>
                <w:color w:val="FFFFFF"/>
                <w:sz w:val="24"/>
                <w:szCs w:val="24"/>
              </w:rPr>
              <w:t xml:space="preserve"> 6.</w:t>
            </w:r>
            <w:r w:rsidR="006772CC">
              <w:rPr>
                <w:rFonts w:ascii="Book Antiqua" w:hAnsi="Book Antiqua" w:cs="Arial"/>
                <w:b/>
                <w:color w:val="FFFFFF"/>
                <w:sz w:val="24"/>
                <w:szCs w:val="24"/>
              </w:rPr>
              <w:t>1</w:t>
            </w:r>
          </w:p>
          <w:p w:rsidR="00351F2C" w:rsidRPr="00445F77" w:rsidRDefault="00351F2C" w:rsidP="00A256CB">
            <w:pPr>
              <w:spacing w:after="0" w:line="240" w:lineRule="auto"/>
              <w:jc w:val="center"/>
              <w:rPr>
                <w:rFonts w:ascii="Arial" w:hAnsi="Arial" w:cs="Arial"/>
                <w:b/>
                <w:color w:val="FFFFFF"/>
                <w:sz w:val="24"/>
                <w:szCs w:val="24"/>
              </w:rPr>
            </w:pPr>
            <w:r w:rsidRPr="007223AA">
              <w:rPr>
                <w:rFonts w:ascii="Book Antiqua" w:hAnsi="Book Antiqua" w:cs="Arial"/>
                <w:b/>
                <w:color w:val="FFFFFF"/>
                <w:sz w:val="24"/>
                <w:szCs w:val="24"/>
              </w:rPr>
              <w:t xml:space="preserve">Balancing performance-based payments </w:t>
            </w:r>
            <w:r w:rsidRPr="007223AA">
              <w:rPr>
                <w:rFonts w:ascii="Book Antiqua" w:hAnsi="Book Antiqua" w:cs="Arial"/>
                <w:b/>
                <w:i/>
                <w:color w:val="FFFFFF"/>
                <w:sz w:val="24"/>
                <w:szCs w:val="24"/>
              </w:rPr>
              <w:t>ex post</w:t>
            </w:r>
            <w:r w:rsidRPr="007223AA">
              <w:rPr>
                <w:rFonts w:ascii="Book Antiqua" w:hAnsi="Book Antiqua" w:cs="Arial"/>
                <w:b/>
                <w:color w:val="FFFFFF"/>
                <w:sz w:val="24"/>
                <w:szCs w:val="24"/>
              </w:rPr>
              <w:t xml:space="preserve"> with the provision of upfront resources and incentives</w:t>
            </w:r>
          </w:p>
        </w:tc>
      </w:tr>
      <w:tr w:rsidR="00A605C9" w:rsidRPr="00445F77">
        <w:trPr>
          <w:jc w:val="right"/>
        </w:trPr>
        <w:tc>
          <w:tcPr>
            <w:tcW w:w="960" w:type="pct"/>
            <w:tcBorders>
              <w:top w:val="single" w:sz="24" w:space="0" w:color="FFFFFF"/>
              <w:bottom w:val="single" w:sz="8" w:space="0" w:color="FFFFFF"/>
            </w:tcBorders>
            <w:shd w:val="clear" w:color="auto" w:fill="C2D69B"/>
            <w:vAlign w:val="center"/>
          </w:tcPr>
          <w:p w:rsidR="00A605C9" w:rsidRPr="00EC1298" w:rsidRDefault="00A605C9" w:rsidP="00795634">
            <w:pPr>
              <w:spacing w:after="0" w:line="240" w:lineRule="auto"/>
              <w:rPr>
                <w:rFonts w:ascii="Book Antiqua" w:hAnsi="Book Antiqua" w:cs="Arial"/>
              </w:rPr>
            </w:pPr>
            <w:r w:rsidRPr="00EC1298">
              <w:rPr>
                <w:rFonts w:ascii="Book Antiqua" w:hAnsi="Book Antiqua" w:cs="Arial"/>
              </w:rPr>
              <w:t>Issue to be addressed</w:t>
            </w:r>
          </w:p>
        </w:tc>
        <w:tc>
          <w:tcPr>
            <w:tcW w:w="4040" w:type="pct"/>
            <w:tcBorders>
              <w:top w:val="single" w:sz="24" w:space="0" w:color="FFFFFF"/>
              <w:bottom w:val="single" w:sz="8" w:space="0" w:color="FFFFFF"/>
            </w:tcBorders>
            <w:shd w:val="clear" w:color="auto" w:fill="D6E3BC"/>
            <w:vAlign w:val="center"/>
          </w:tcPr>
          <w:p w:rsidR="00A605C9" w:rsidRPr="003C0FC0" w:rsidRDefault="00A605C9" w:rsidP="003561C4">
            <w:pPr>
              <w:spacing w:after="0" w:line="240" w:lineRule="auto"/>
              <w:jc w:val="both"/>
              <w:rPr>
                <w:rFonts w:ascii="Book Antiqua" w:hAnsi="Book Antiqua" w:cs="Arial"/>
              </w:rPr>
            </w:pPr>
            <w:smartTag w:uri="urn:schemas-microsoft-com:office:smarttags" w:element="country-region">
              <w:smartTag w:uri="urn:schemas-microsoft-com:office:smarttags" w:element="place">
                <w:r w:rsidRPr="003C0FC0">
                  <w:rPr>
                    <w:rFonts w:ascii="Book Antiqua" w:hAnsi="Book Antiqua" w:cs="Arial"/>
                  </w:rPr>
                  <w:t>Viet Nam</w:t>
                </w:r>
              </w:smartTag>
            </w:smartTag>
            <w:r w:rsidRPr="003C0FC0">
              <w:rPr>
                <w:rFonts w:ascii="Book Antiqua" w:hAnsi="Book Antiqua" w:cs="Arial"/>
              </w:rPr>
              <w:t xml:space="preserve"> will receive international carbon finance on the basis of actual performance, that is, after the performance has been measured and verified.  Performance measurement and verification is unlikely to take place on an annual basis and perhaps every five years only.  Yet forest managers require upfront incentives and resources to engage in carbon-enhancing forest management.</w:t>
            </w:r>
          </w:p>
        </w:tc>
      </w:tr>
      <w:tr w:rsidR="00A605C9" w:rsidRPr="00445F77">
        <w:trPr>
          <w:jc w:val="right"/>
        </w:trPr>
        <w:tc>
          <w:tcPr>
            <w:tcW w:w="960" w:type="pct"/>
            <w:tcBorders>
              <w:top w:val="single" w:sz="8" w:space="0" w:color="FFFFFF"/>
              <w:bottom w:val="single" w:sz="8" w:space="0" w:color="FFFFFF"/>
            </w:tcBorders>
            <w:shd w:val="clear" w:color="auto" w:fill="C2D69B"/>
            <w:vAlign w:val="center"/>
          </w:tcPr>
          <w:p w:rsidR="00A605C9" w:rsidRPr="00EC1298" w:rsidRDefault="00A605C9" w:rsidP="00795634">
            <w:pPr>
              <w:spacing w:after="0" w:line="240" w:lineRule="auto"/>
              <w:rPr>
                <w:rFonts w:ascii="Book Antiqua" w:hAnsi="Book Antiqua" w:cs="Arial"/>
              </w:rPr>
            </w:pPr>
            <w:r w:rsidRPr="00EC1298">
              <w:rPr>
                <w:rFonts w:ascii="Book Antiqua" w:hAnsi="Book Antiqua" w:cs="Arial"/>
              </w:rPr>
              <w:t>Options</w:t>
            </w:r>
          </w:p>
        </w:tc>
        <w:tc>
          <w:tcPr>
            <w:tcW w:w="4040" w:type="pct"/>
            <w:tcBorders>
              <w:top w:val="single" w:sz="8" w:space="0" w:color="FFFFFF"/>
              <w:bottom w:val="single" w:sz="8" w:space="0" w:color="FFFFFF"/>
            </w:tcBorders>
            <w:shd w:val="clear" w:color="auto" w:fill="D6E3BC"/>
            <w:vAlign w:val="center"/>
          </w:tcPr>
          <w:p w:rsidR="00A605C9" w:rsidRPr="00A605C9" w:rsidRDefault="00A605C9" w:rsidP="008227FD">
            <w:pPr>
              <w:pStyle w:val="ListParagraph"/>
              <w:numPr>
                <w:ilvl w:val="0"/>
                <w:numId w:val="147"/>
              </w:numPr>
              <w:spacing w:after="0" w:line="240" w:lineRule="auto"/>
              <w:ind w:left="219" w:hanging="270"/>
              <w:jc w:val="both"/>
              <w:rPr>
                <w:rFonts w:ascii="Book Antiqua" w:hAnsi="Book Antiqua" w:cs="Arial"/>
              </w:rPr>
            </w:pPr>
            <w:r w:rsidRPr="00A605C9">
              <w:rPr>
                <w:rFonts w:ascii="Book Antiqua" w:hAnsi="Book Antiqua" w:cs="Arial"/>
              </w:rPr>
              <w:t xml:space="preserve">GoV makes all REDD+ payments to recipients </w:t>
            </w:r>
            <w:r w:rsidRPr="00A605C9">
              <w:rPr>
                <w:rFonts w:ascii="Book Antiqua" w:hAnsi="Book Antiqua" w:cs="Arial"/>
                <w:i/>
              </w:rPr>
              <w:t>ex post</w:t>
            </w:r>
            <w:r w:rsidRPr="00A605C9">
              <w:rPr>
                <w:rFonts w:ascii="Book Antiqua" w:hAnsi="Book Antiqua" w:cs="Arial"/>
              </w:rPr>
              <w:t>, that is, after performance has been measured and verified.</w:t>
            </w:r>
          </w:p>
          <w:p w:rsidR="00A605C9" w:rsidRPr="00A605C9" w:rsidRDefault="00A605C9" w:rsidP="008227FD">
            <w:pPr>
              <w:pStyle w:val="ListParagraph"/>
              <w:numPr>
                <w:ilvl w:val="0"/>
                <w:numId w:val="147"/>
              </w:numPr>
              <w:spacing w:after="0" w:line="240" w:lineRule="auto"/>
              <w:ind w:left="219" w:hanging="270"/>
              <w:jc w:val="both"/>
              <w:rPr>
                <w:rFonts w:ascii="Book Antiqua" w:hAnsi="Book Antiqua" w:cs="Arial"/>
              </w:rPr>
            </w:pPr>
            <w:r w:rsidRPr="00A605C9">
              <w:rPr>
                <w:rFonts w:ascii="Book Antiqua" w:hAnsi="Book Antiqua" w:cs="Arial"/>
              </w:rPr>
              <w:t>GoV disburses REDD+ payments upfront and makes them conditional upon verified performance.</w:t>
            </w:r>
          </w:p>
          <w:p w:rsidR="00A605C9" w:rsidRPr="00A605C9" w:rsidRDefault="00A605C9" w:rsidP="008227FD">
            <w:pPr>
              <w:pStyle w:val="ListParagraph"/>
              <w:numPr>
                <w:ilvl w:val="0"/>
                <w:numId w:val="147"/>
              </w:numPr>
              <w:spacing w:after="0" w:line="240" w:lineRule="auto"/>
              <w:ind w:left="219" w:hanging="270"/>
              <w:jc w:val="both"/>
              <w:rPr>
                <w:rFonts w:ascii="Book Antiqua" w:hAnsi="Book Antiqua" w:cs="Arial"/>
              </w:rPr>
            </w:pPr>
            <w:r w:rsidRPr="00A605C9">
              <w:rPr>
                <w:rFonts w:ascii="Book Antiqua" w:hAnsi="Book Antiqua" w:cs="Arial"/>
              </w:rPr>
              <w:t xml:space="preserve">GoV combines </w:t>
            </w:r>
            <w:r w:rsidRPr="00A605C9">
              <w:rPr>
                <w:rFonts w:ascii="Book Antiqua" w:hAnsi="Book Antiqua" w:cs="Arial"/>
                <w:i/>
              </w:rPr>
              <w:t xml:space="preserve">ex post </w:t>
            </w:r>
            <w:r w:rsidRPr="00A605C9">
              <w:rPr>
                <w:rFonts w:ascii="Book Antiqua" w:hAnsi="Book Antiqua" w:cs="Arial"/>
              </w:rPr>
              <w:t>payments with the provision of upfront incentives and resources through the establishment of conditional savings books</w:t>
            </w:r>
          </w:p>
        </w:tc>
      </w:tr>
      <w:tr w:rsidR="00A605C9" w:rsidRPr="00445F77">
        <w:trPr>
          <w:jc w:val="right"/>
        </w:trPr>
        <w:tc>
          <w:tcPr>
            <w:tcW w:w="960" w:type="pct"/>
            <w:tcBorders>
              <w:top w:val="single" w:sz="8" w:space="0" w:color="FFFFFF"/>
              <w:bottom w:val="single" w:sz="8" w:space="0" w:color="FFFFFF"/>
            </w:tcBorders>
            <w:shd w:val="clear" w:color="auto" w:fill="C2D69B"/>
            <w:vAlign w:val="center"/>
          </w:tcPr>
          <w:p w:rsidR="00A605C9" w:rsidRPr="00EC1298" w:rsidRDefault="00A605C9" w:rsidP="00795634">
            <w:pPr>
              <w:spacing w:after="0" w:line="240" w:lineRule="auto"/>
              <w:rPr>
                <w:rFonts w:ascii="Book Antiqua" w:hAnsi="Book Antiqua" w:cs="Arial"/>
              </w:rPr>
            </w:pPr>
            <w:r w:rsidRPr="00EC1298">
              <w:rPr>
                <w:rFonts w:ascii="Book Antiqua" w:hAnsi="Book Antiqua" w:cs="Arial"/>
              </w:rPr>
              <w:t>Recommended principle or policy to be adopted</w:t>
            </w:r>
          </w:p>
        </w:tc>
        <w:tc>
          <w:tcPr>
            <w:tcW w:w="4040" w:type="pct"/>
            <w:tcBorders>
              <w:top w:val="single" w:sz="8" w:space="0" w:color="FFFFFF"/>
              <w:bottom w:val="single" w:sz="8" w:space="0" w:color="FFFFFF"/>
            </w:tcBorders>
            <w:shd w:val="clear" w:color="auto" w:fill="D6E3BC"/>
            <w:vAlign w:val="center"/>
          </w:tcPr>
          <w:p w:rsidR="00A605C9" w:rsidRPr="003C0FC0" w:rsidRDefault="00A605C9" w:rsidP="003561C4">
            <w:pPr>
              <w:spacing w:after="0" w:line="240" w:lineRule="auto"/>
              <w:jc w:val="both"/>
              <w:rPr>
                <w:rFonts w:ascii="Book Antiqua" w:hAnsi="Book Antiqua" w:cs="Arial"/>
              </w:rPr>
            </w:pPr>
            <w:r w:rsidRPr="003C0FC0">
              <w:rPr>
                <w:rFonts w:ascii="Book Antiqua" w:hAnsi="Book Antiqua" w:cs="Arial"/>
              </w:rPr>
              <w:t xml:space="preserve">The GoV should combine </w:t>
            </w:r>
            <w:r w:rsidRPr="003C0FC0">
              <w:rPr>
                <w:rFonts w:ascii="Book Antiqua" w:hAnsi="Book Antiqua" w:cs="Arial"/>
                <w:i/>
              </w:rPr>
              <w:t>ex post</w:t>
            </w:r>
            <w:r w:rsidRPr="003C0FC0">
              <w:rPr>
                <w:rFonts w:ascii="Book Antiqua" w:hAnsi="Book Antiqua" w:cs="Arial"/>
              </w:rPr>
              <w:t xml:space="preserve"> payments with the provision of upfront incentives and resources.  </w:t>
            </w:r>
            <w:smartTag w:uri="urn:schemas-microsoft-com:office:smarttags" w:element="country-region">
              <w:smartTag w:uri="urn:schemas-microsoft-com:office:smarttags" w:element="place">
                <w:r w:rsidRPr="003C0FC0">
                  <w:rPr>
                    <w:rFonts w:ascii="Book Antiqua" w:hAnsi="Book Antiqua" w:cs="Arial"/>
                  </w:rPr>
                  <w:t>Viet Nam</w:t>
                </w:r>
              </w:smartTag>
            </w:smartTag>
            <w:r w:rsidRPr="003C0FC0">
              <w:rPr>
                <w:rFonts w:ascii="Book Antiqua" w:hAnsi="Book Antiqua" w:cs="Arial"/>
              </w:rPr>
              <w:t>’s existing experience with the use of conditional savings books in forestry suggests that they provide a suitable means to balance the requirements of a credible performance base with the needs of forest managers.</w:t>
            </w:r>
          </w:p>
        </w:tc>
      </w:tr>
      <w:tr w:rsidR="00A605C9" w:rsidRPr="00445F77">
        <w:trPr>
          <w:jc w:val="right"/>
        </w:trPr>
        <w:tc>
          <w:tcPr>
            <w:tcW w:w="960" w:type="pct"/>
            <w:tcBorders>
              <w:top w:val="single" w:sz="8" w:space="0" w:color="FFFFFF"/>
              <w:bottom w:val="single" w:sz="8" w:space="0" w:color="FFFFFF"/>
            </w:tcBorders>
            <w:shd w:val="clear" w:color="auto" w:fill="C2D69B"/>
            <w:vAlign w:val="center"/>
          </w:tcPr>
          <w:p w:rsidR="00A605C9" w:rsidRPr="00EC1298" w:rsidRDefault="00A605C9" w:rsidP="00795634">
            <w:pPr>
              <w:spacing w:after="0" w:line="240" w:lineRule="auto"/>
              <w:rPr>
                <w:rFonts w:ascii="Book Antiqua" w:hAnsi="Book Antiqua" w:cs="Arial"/>
              </w:rPr>
            </w:pPr>
            <w:r>
              <w:rPr>
                <w:rFonts w:ascii="Book Antiqua" w:hAnsi="Book Antiqua" w:cs="Arial"/>
              </w:rPr>
              <w:t>Actions required to confirm policy option</w:t>
            </w:r>
          </w:p>
        </w:tc>
        <w:tc>
          <w:tcPr>
            <w:tcW w:w="4040" w:type="pct"/>
            <w:tcBorders>
              <w:top w:val="single" w:sz="8" w:space="0" w:color="FFFFFF"/>
              <w:bottom w:val="single" w:sz="8" w:space="0" w:color="FFFFFF"/>
            </w:tcBorders>
            <w:shd w:val="clear" w:color="auto" w:fill="D6E3BC"/>
            <w:vAlign w:val="center"/>
          </w:tcPr>
          <w:p w:rsidR="00A605C9" w:rsidRPr="00052753" w:rsidRDefault="00A605C9" w:rsidP="003561C4">
            <w:pPr>
              <w:spacing w:after="0" w:line="240" w:lineRule="auto"/>
              <w:jc w:val="both"/>
              <w:rPr>
                <w:rFonts w:ascii="Book Antiqua" w:hAnsi="Book Antiqua" w:cs="Arial"/>
              </w:rPr>
            </w:pPr>
            <w:r w:rsidRPr="00052753">
              <w:rPr>
                <w:rFonts w:ascii="Book Antiqua" w:hAnsi="Book Antiqua"/>
              </w:rPr>
              <w:t>There is an urgent need to review existing experiences with the use of micro finance approaches in the forestry sector.  The review would inform the design of a suitable microfinance approach to provide upfront resources and incentives under REDD</w:t>
            </w:r>
            <w:r>
              <w:rPr>
                <w:rFonts w:ascii="Book Antiqua" w:hAnsi="Book Antiqua"/>
              </w:rPr>
              <w:t>+</w:t>
            </w:r>
            <w:r w:rsidRPr="00052753">
              <w:rPr>
                <w:rFonts w:ascii="Book Antiqua" w:hAnsi="Book Antiqua"/>
              </w:rPr>
              <w:t>.  In addition, work is needed on potential sources of bridging funding, including government budget and ODA.</w:t>
            </w:r>
          </w:p>
        </w:tc>
      </w:tr>
    </w:tbl>
    <w:p w:rsidR="00351F2C" w:rsidRPr="00445F77" w:rsidRDefault="00351F2C" w:rsidP="00F05F95">
      <w:pPr>
        <w:spacing w:after="0" w:line="300" w:lineRule="exact"/>
        <w:jc w:val="both"/>
        <w:rPr>
          <w:rFonts w:ascii="Arial" w:hAnsi="Arial" w:cs="Arial"/>
          <w:sz w:val="24"/>
          <w:szCs w:val="24"/>
        </w:rPr>
      </w:pPr>
    </w:p>
    <w:p w:rsidR="00351F2C" w:rsidRPr="00445F77" w:rsidRDefault="00351F2C" w:rsidP="008F6D17">
      <w:pPr>
        <w:pStyle w:val="Heading3"/>
        <w:spacing w:before="0" w:after="0"/>
        <w:rPr>
          <w:rFonts w:ascii="Arial" w:hAnsi="Arial" w:cs="Arial"/>
          <w:bCs w:val="0"/>
          <w:lang w:val="en-US"/>
        </w:rPr>
      </w:pPr>
      <w:bookmarkStart w:id="445" w:name="_Toc244586230"/>
      <w:bookmarkStart w:id="446" w:name="_Toc249079581"/>
      <w:r w:rsidRPr="00445F77">
        <w:rPr>
          <w:rFonts w:ascii="Arial" w:hAnsi="Arial" w:cs="Arial"/>
          <w:bCs w:val="0"/>
          <w:lang w:val="en-US"/>
        </w:rPr>
        <w:t>The law enforcement required for a performance-based distribution</w:t>
      </w:r>
      <w:bookmarkEnd w:id="445"/>
      <w:bookmarkEnd w:id="446"/>
    </w:p>
    <w:p w:rsidR="00351F2C" w:rsidRPr="007223AA" w:rsidRDefault="00351F2C" w:rsidP="008F6D17">
      <w:pPr>
        <w:spacing w:after="0" w:line="300" w:lineRule="exact"/>
        <w:jc w:val="both"/>
        <w:rPr>
          <w:rFonts w:ascii="Book Antiqua" w:hAnsi="Book Antiqua" w:cs="Arial"/>
          <w:lang w:val="en-US"/>
        </w:rPr>
      </w:pPr>
      <w:r w:rsidRPr="007223AA">
        <w:rPr>
          <w:rFonts w:ascii="Book Antiqua" w:hAnsi="Book Antiqua" w:cs="Arial"/>
          <w:lang w:val="en-US"/>
        </w:rPr>
        <w:t xml:space="preserve">Linking the distribution of </w:t>
      </w:r>
      <w:r w:rsidR="00480D3D">
        <w:rPr>
          <w:rFonts w:ascii="Book Antiqua" w:hAnsi="Book Antiqua" w:cs="Arial"/>
          <w:lang w:val="en-US"/>
        </w:rPr>
        <w:t>REDD+</w:t>
      </w:r>
      <w:r w:rsidRPr="007223AA">
        <w:rPr>
          <w:rFonts w:ascii="Book Antiqua" w:hAnsi="Book Antiqua" w:cs="Arial"/>
          <w:lang w:val="en-US"/>
        </w:rPr>
        <w:t xml:space="preserve"> benefits to performance requires effective law enforcement support for forest managers.  </w:t>
      </w:r>
      <w:smartTag w:uri="urn:schemas-microsoft-com:office:smarttags" w:element="place">
        <w:r w:rsidRPr="007223AA">
          <w:rPr>
            <w:rFonts w:ascii="Book Antiqua" w:hAnsi="Book Antiqua" w:cs="Arial"/>
            <w:lang w:val="en-US"/>
          </w:rPr>
          <w:t>Forest</w:t>
        </w:r>
      </w:smartTag>
      <w:r w:rsidRPr="007223AA">
        <w:rPr>
          <w:rFonts w:ascii="Book Antiqua" w:hAnsi="Book Antiqua" w:cs="Arial"/>
          <w:lang w:val="en-US"/>
        </w:rPr>
        <w:t xml:space="preserve"> managers can only be held liable for non-performance if they are able to exclude other people and stop encroachment.  As soon as forest managers are unable to exercise their right to exclude others, the performance base is lost, or at least significantly weakened.</w:t>
      </w:r>
    </w:p>
    <w:p w:rsidR="00351F2C" w:rsidRPr="007223AA" w:rsidRDefault="00351F2C" w:rsidP="00F05F95">
      <w:pPr>
        <w:spacing w:after="0" w:line="300" w:lineRule="exact"/>
        <w:rPr>
          <w:rFonts w:ascii="Book Antiqua" w:hAnsi="Book Antiqua" w:cs="Arial"/>
          <w:lang w:val="en-US"/>
        </w:rPr>
      </w:pPr>
    </w:p>
    <w:p w:rsidR="00351F2C" w:rsidRDefault="00351F2C" w:rsidP="00F05F95">
      <w:pPr>
        <w:spacing w:after="0" w:line="300" w:lineRule="exact"/>
        <w:jc w:val="both"/>
        <w:rPr>
          <w:rFonts w:ascii="Book Antiqua" w:hAnsi="Book Antiqua" w:cs="Arial"/>
          <w:lang w:val="en-US"/>
        </w:rPr>
      </w:pPr>
      <w:r w:rsidRPr="007223AA">
        <w:rPr>
          <w:rFonts w:ascii="Book Antiqua" w:hAnsi="Book Antiqua" w:cs="Arial"/>
          <w:lang w:val="en-US"/>
        </w:rPr>
        <w:t xml:space="preserve">The future distribution of </w:t>
      </w:r>
      <w:r w:rsidR="00480D3D">
        <w:rPr>
          <w:rFonts w:ascii="Book Antiqua" w:hAnsi="Book Antiqua" w:cs="Arial"/>
          <w:lang w:val="en-US"/>
        </w:rPr>
        <w:t>REDD+</w:t>
      </w:r>
      <w:r w:rsidRPr="007223AA">
        <w:rPr>
          <w:rFonts w:ascii="Book Antiqua" w:hAnsi="Book Antiqua" w:cs="Arial"/>
          <w:lang w:val="en-US"/>
        </w:rPr>
        <w:t xml:space="preserve"> benefits can only be based on performance if </w:t>
      </w:r>
      <w:smartTag w:uri="urn:schemas-microsoft-com:office:smarttags" w:element="country-region">
        <w:smartTag w:uri="urn:schemas-microsoft-com:office:smarttags" w:element="place">
          <w:r w:rsidRPr="007223AA">
            <w:rPr>
              <w:rFonts w:ascii="Book Antiqua" w:hAnsi="Book Antiqua" w:cs="Arial"/>
              <w:lang w:val="en-US"/>
            </w:rPr>
            <w:t>Viet Nam</w:t>
          </w:r>
        </w:smartTag>
      </w:smartTag>
      <w:r w:rsidRPr="007223AA">
        <w:rPr>
          <w:rFonts w:ascii="Book Antiqua" w:hAnsi="Book Antiqua" w:cs="Arial"/>
          <w:lang w:val="en-US"/>
        </w:rPr>
        <w:t xml:space="preserve"> finds effective ways to </w:t>
      </w:r>
      <w:r w:rsidRPr="007223AA">
        <w:rPr>
          <w:rFonts w:ascii="Book Antiqua" w:hAnsi="Book Antiqua" w:cs="Arial"/>
          <w:u w:val="single"/>
          <w:lang w:val="en-US"/>
        </w:rPr>
        <w:t>enforce the exclusion rights of payment recipients</w:t>
      </w:r>
      <w:r w:rsidRPr="007223AA">
        <w:rPr>
          <w:rFonts w:ascii="Book Antiqua" w:hAnsi="Book Antiqua" w:cs="Arial"/>
          <w:lang w:val="en-US"/>
        </w:rPr>
        <w:t>.  As indicated by work on FLEG, current forest law enforcement often targets villagers and other people at the end of illegal logging chains.  There is an urgent need to reorient law enforcement to target the actors at higher levels of illegal operations and to enforce forest managers’ exclusion rights.  Effective law enforcement will have to combine activities undertaken by FPUs with higher-level operational capacities, such as a central forest inspectorate with a hotline for reports about abuses of power by lower-level units.</w:t>
      </w:r>
    </w:p>
    <w:p w:rsidR="0092792E" w:rsidRPr="007223AA" w:rsidRDefault="0092792E" w:rsidP="00F05F95">
      <w:pPr>
        <w:spacing w:after="0" w:line="300" w:lineRule="exact"/>
        <w:jc w:val="both"/>
        <w:rPr>
          <w:rFonts w:ascii="Book Antiqua" w:hAnsi="Book Antiqua" w:cs="Arial"/>
          <w:lang w:val="en-US"/>
        </w:rPr>
      </w:pPr>
    </w:p>
    <w:p w:rsidR="00351F2C" w:rsidRPr="00445F77" w:rsidRDefault="00351F2C" w:rsidP="00F05F95">
      <w:pPr>
        <w:spacing w:after="0" w:line="300" w:lineRule="exact"/>
        <w:jc w:val="both"/>
        <w:rPr>
          <w:rFonts w:ascii="Arial" w:hAnsi="Arial" w:cs="Arial"/>
          <w:sz w:val="24"/>
          <w:szCs w:val="24"/>
        </w:rPr>
      </w:pPr>
    </w:p>
    <w:tbl>
      <w:tblPr>
        <w:tblW w:w="5000" w:type="pct"/>
        <w:jc w:val="right"/>
        <w:tblBorders>
          <w:insideH w:val="single" w:sz="24" w:space="0" w:color="FFFFFF"/>
          <w:insideV w:val="single" w:sz="24" w:space="0" w:color="FFFFFF"/>
        </w:tblBorders>
        <w:tblLook w:val="00A0"/>
      </w:tblPr>
      <w:tblGrid>
        <w:gridCol w:w="1729"/>
        <w:gridCol w:w="7275"/>
      </w:tblGrid>
      <w:tr w:rsidR="00351F2C" w:rsidRPr="00445F77">
        <w:trPr>
          <w:tblHeader/>
          <w:jc w:val="right"/>
        </w:trPr>
        <w:tc>
          <w:tcPr>
            <w:tcW w:w="5000" w:type="pct"/>
            <w:gridSpan w:val="2"/>
            <w:tcBorders>
              <w:top w:val="single" w:sz="24" w:space="0" w:color="FFFFFF"/>
              <w:bottom w:val="single" w:sz="24" w:space="0" w:color="FFFFFF"/>
            </w:tcBorders>
            <w:shd w:val="clear" w:color="auto" w:fill="76923C"/>
            <w:vAlign w:val="center"/>
          </w:tcPr>
          <w:p w:rsidR="00351F2C" w:rsidRPr="007223AA" w:rsidRDefault="00351F2C" w:rsidP="00A256CB">
            <w:pPr>
              <w:spacing w:after="0" w:line="240" w:lineRule="auto"/>
              <w:jc w:val="center"/>
              <w:rPr>
                <w:rFonts w:ascii="Book Antiqua" w:hAnsi="Book Antiqua" w:cs="Arial"/>
                <w:b/>
                <w:color w:val="FFFFFF"/>
                <w:sz w:val="24"/>
                <w:szCs w:val="24"/>
              </w:rPr>
            </w:pPr>
            <w:r w:rsidRPr="007223AA">
              <w:rPr>
                <w:rFonts w:ascii="Book Antiqua" w:hAnsi="Book Antiqua" w:cs="Arial"/>
                <w:b/>
                <w:color w:val="FFFFFF"/>
                <w:sz w:val="24"/>
                <w:szCs w:val="24"/>
              </w:rPr>
              <w:lastRenderedPageBreak/>
              <w:t xml:space="preserve">POLICY DECISION </w:t>
            </w:r>
            <w:r w:rsidR="00605C77">
              <w:rPr>
                <w:rFonts w:ascii="Book Antiqua" w:hAnsi="Book Antiqua" w:cs="Arial"/>
                <w:b/>
                <w:color w:val="FFFFFF"/>
                <w:sz w:val="24"/>
                <w:szCs w:val="24"/>
              </w:rPr>
              <w:t>6.</w:t>
            </w:r>
            <w:r w:rsidR="006772CC">
              <w:rPr>
                <w:rFonts w:ascii="Book Antiqua" w:hAnsi="Book Antiqua" w:cs="Arial"/>
                <w:b/>
                <w:color w:val="FFFFFF"/>
                <w:sz w:val="24"/>
                <w:szCs w:val="24"/>
              </w:rPr>
              <w:t>2</w:t>
            </w:r>
          </w:p>
          <w:p w:rsidR="00351F2C" w:rsidRPr="00445F77" w:rsidRDefault="00351F2C" w:rsidP="00A256CB">
            <w:pPr>
              <w:spacing w:after="0" w:line="240" w:lineRule="auto"/>
              <w:jc w:val="center"/>
              <w:rPr>
                <w:rFonts w:ascii="Arial" w:hAnsi="Arial" w:cs="Arial"/>
                <w:b/>
                <w:color w:val="FFFFFF"/>
                <w:sz w:val="24"/>
                <w:szCs w:val="24"/>
              </w:rPr>
            </w:pPr>
            <w:r w:rsidRPr="007223AA">
              <w:rPr>
                <w:rFonts w:ascii="Book Antiqua" w:hAnsi="Book Antiqua" w:cs="Arial"/>
                <w:b/>
                <w:color w:val="FFFFFF"/>
                <w:sz w:val="24"/>
                <w:szCs w:val="24"/>
              </w:rPr>
              <w:t>Strengthened law enforcement for a performance-based distribution</w:t>
            </w:r>
          </w:p>
        </w:tc>
      </w:tr>
      <w:tr w:rsidR="00351F2C" w:rsidRPr="00445F77">
        <w:trPr>
          <w:jc w:val="right"/>
        </w:trPr>
        <w:tc>
          <w:tcPr>
            <w:tcW w:w="960" w:type="pct"/>
            <w:tcBorders>
              <w:top w:val="single" w:sz="24" w:space="0" w:color="FFFFFF"/>
              <w:bottom w:val="single" w:sz="8" w:space="0" w:color="FFFFFF"/>
              <w:right w:val="single" w:sz="24" w:space="0" w:color="FFFFFF"/>
            </w:tcBorders>
            <w:shd w:val="clear" w:color="auto" w:fill="C2D69B"/>
            <w:vAlign w:val="center"/>
          </w:tcPr>
          <w:p w:rsidR="00351F2C" w:rsidRPr="007223AA" w:rsidRDefault="00351F2C" w:rsidP="00A256CB">
            <w:pPr>
              <w:spacing w:after="0" w:line="240" w:lineRule="auto"/>
              <w:rPr>
                <w:rFonts w:ascii="Book Antiqua" w:hAnsi="Book Antiqua" w:cs="Arial"/>
              </w:rPr>
            </w:pPr>
            <w:r w:rsidRPr="007223AA">
              <w:rPr>
                <w:rFonts w:ascii="Book Antiqua" w:hAnsi="Book Antiqua" w:cs="Arial"/>
              </w:rPr>
              <w:t>Issue to be addressed</w:t>
            </w:r>
          </w:p>
        </w:tc>
        <w:tc>
          <w:tcPr>
            <w:tcW w:w="4040" w:type="pct"/>
            <w:tcBorders>
              <w:top w:val="single" w:sz="24" w:space="0" w:color="FFFFFF"/>
              <w:left w:val="single" w:sz="24" w:space="0" w:color="FFFFFF"/>
              <w:bottom w:val="single" w:sz="8" w:space="0" w:color="FFFFFF"/>
            </w:tcBorders>
            <w:shd w:val="clear" w:color="auto" w:fill="D6E3BC"/>
            <w:vAlign w:val="center"/>
          </w:tcPr>
          <w:p w:rsidR="00351F2C" w:rsidRPr="007223AA" w:rsidRDefault="00351F2C" w:rsidP="00A256CB">
            <w:pPr>
              <w:spacing w:after="0" w:line="240" w:lineRule="auto"/>
              <w:jc w:val="both"/>
              <w:rPr>
                <w:rFonts w:ascii="Book Antiqua" w:hAnsi="Book Antiqua" w:cs="Arial"/>
              </w:rPr>
            </w:pPr>
            <w:r w:rsidRPr="007223AA">
              <w:rPr>
                <w:rFonts w:ascii="Book Antiqua" w:hAnsi="Book Antiqua" w:cs="Arial"/>
              </w:rPr>
              <w:t xml:space="preserve">Forest law enforcement continues to be weak in </w:t>
            </w:r>
            <w:smartTag w:uri="urn:schemas-microsoft-com:office:smarttags" w:element="country-region">
              <w:smartTag w:uri="urn:schemas-microsoft-com:office:smarttags" w:element="place">
                <w:r w:rsidRPr="007223AA">
                  <w:rPr>
                    <w:rFonts w:ascii="Book Antiqua" w:hAnsi="Book Antiqua" w:cs="Arial"/>
                  </w:rPr>
                  <w:t>Viet Nam</w:t>
                </w:r>
              </w:smartTag>
            </w:smartTag>
            <w:r w:rsidRPr="007223AA">
              <w:rPr>
                <w:rFonts w:ascii="Book Antiqua" w:hAnsi="Book Antiqua" w:cs="Arial"/>
              </w:rPr>
              <w:t xml:space="preserve">.  In particular, issues such as illegal logging and encroachment have the effect of counteracting other initiatives undertaken to reduce emissions.  Without more effective forest law enforcement, the risk exists that stakeholders who are successful in reducing emissions go unrewarded due to the non-performance of others who are responsible for illegal activities.  </w:t>
            </w:r>
          </w:p>
        </w:tc>
      </w:tr>
      <w:tr w:rsidR="00351F2C" w:rsidRPr="00445F77">
        <w:trPr>
          <w:jc w:val="right"/>
        </w:trPr>
        <w:tc>
          <w:tcPr>
            <w:tcW w:w="960" w:type="pct"/>
            <w:tcBorders>
              <w:top w:val="single" w:sz="8" w:space="0" w:color="FFFFFF"/>
              <w:bottom w:val="single" w:sz="8" w:space="0" w:color="FFFFFF"/>
              <w:right w:val="single" w:sz="24" w:space="0" w:color="FFFFFF"/>
            </w:tcBorders>
            <w:shd w:val="clear" w:color="auto" w:fill="C2D69B"/>
            <w:vAlign w:val="center"/>
          </w:tcPr>
          <w:p w:rsidR="00351F2C" w:rsidRPr="007223AA" w:rsidRDefault="00351F2C" w:rsidP="00A256CB">
            <w:pPr>
              <w:spacing w:after="0" w:line="240" w:lineRule="auto"/>
              <w:rPr>
                <w:rFonts w:ascii="Book Antiqua" w:hAnsi="Book Antiqua" w:cs="Arial"/>
              </w:rPr>
            </w:pPr>
            <w:r w:rsidRPr="007223AA">
              <w:rPr>
                <w:rFonts w:ascii="Book Antiqua" w:hAnsi="Book Antiqua" w:cs="Arial"/>
              </w:rPr>
              <w:t>Options</w:t>
            </w:r>
          </w:p>
        </w:tc>
        <w:tc>
          <w:tcPr>
            <w:tcW w:w="4040" w:type="pct"/>
            <w:tcBorders>
              <w:top w:val="single" w:sz="8" w:space="0" w:color="FFFFFF"/>
              <w:left w:val="single" w:sz="24" w:space="0" w:color="FFFFFF"/>
              <w:bottom w:val="single" w:sz="8" w:space="0" w:color="FFFFFF"/>
            </w:tcBorders>
            <w:shd w:val="clear" w:color="auto" w:fill="D6E3BC"/>
            <w:vAlign w:val="center"/>
          </w:tcPr>
          <w:p w:rsidR="00351F2C" w:rsidRPr="008E7F87" w:rsidRDefault="00351F2C" w:rsidP="008227FD">
            <w:pPr>
              <w:pStyle w:val="ListParagraph"/>
              <w:numPr>
                <w:ilvl w:val="0"/>
                <w:numId w:val="148"/>
              </w:numPr>
              <w:spacing w:after="0" w:line="240" w:lineRule="auto"/>
              <w:ind w:left="251" w:hanging="270"/>
              <w:jc w:val="both"/>
              <w:rPr>
                <w:rFonts w:ascii="Book Antiqua" w:hAnsi="Book Antiqua" w:cs="Arial"/>
              </w:rPr>
            </w:pPr>
            <w:r w:rsidRPr="008E7F87">
              <w:rPr>
                <w:rFonts w:ascii="Book Antiqua" w:hAnsi="Book Antiqua" w:cs="Arial"/>
              </w:rPr>
              <w:t xml:space="preserve">GoV accepts that payments to stakeholders who undertake </w:t>
            </w:r>
            <w:r w:rsidR="001B6D90" w:rsidRPr="008E7F87">
              <w:rPr>
                <w:rFonts w:ascii="Book Antiqua" w:hAnsi="Book Antiqua" w:cs="Arial"/>
              </w:rPr>
              <w:t>REDD+</w:t>
            </w:r>
            <w:r w:rsidRPr="008E7F87">
              <w:rPr>
                <w:rFonts w:ascii="Book Antiqua" w:hAnsi="Book Antiqua" w:cs="Arial"/>
              </w:rPr>
              <w:t xml:space="preserve"> interventions are diluted or possibly eliminated due to non-performance of others under the current forest law enforcement regime.</w:t>
            </w:r>
          </w:p>
          <w:p w:rsidR="00351F2C" w:rsidRPr="008E7F87" w:rsidRDefault="00351F2C" w:rsidP="008227FD">
            <w:pPr>
              <w:pStyle w:val="ListParagraph"/>
              <w:numPr>
                <w:ilvl w:val="0"/>
                <w:numId w:val="148"/>
              </w:numPr>
              <w:spacing w:after="0" w:line="240" w:lineRule="auto"/>
              <w:ind w:left="251" w:hanging="270"/>
              <w:jc w:val="both"/>
              <w:rPr>
                <w:rFonts w:ascii="Book Antiqua" w:hAnsi="Book Antiqua" w:cs="Arial"/>
              </w:rPr>
            </w:pPr>
            <w:r w:rsidRPr="008E7F87">
              <w:rPr>
                <w:rFonts w:ascii="Book Antiqua" w:hAnsi="Book Antiqua" w:cs="Arial"/>
              </w:rPr>
              <w:t>GoV develops operational structures that offer effective law enforcement to households and communities</w:t>
            </w:r>
          </w:p>
        </w:tc>
      </w:tr>
      <w:tr w:rsidR="00351F2C" w:rsidRPr="00445F77">
        <w:trPr>
          <w:jc w:val="right"/>
        </w:trPr>
        <w:tc>
          <w:tcPr>
            <w:tcW w:w="960" w:type="pct"/>
            <w:tcBorders>
              <w:top w:val="single" w:sz="8" w:space="0" w:color="FFFFFF"/>
              <w:bottom w:val="single" w:sz="8" w:space="0" w:color="FFFFFF"/>
              <w:right w:val="single" w:sz="24" w:space="0" w:color="FFFFFF"/>
            </w:tcBorders>
            <w:shd w:val="clear" w:color="auto" w:fill="C2D69B"/>
            <w:vAlign w:val="center"/>
          </w:tcPr>
          <w:p w:rsidR="00351F2C" w:rsidRPr="007223AA" w:rsidRDefault="00351F2C" w:rsidP="00A256CB">
            <w:pPr>
              <w:spacing w:after="0" w:line="240" w:lineRule="auto"/>
              <w:rPr>
                <w:rFonts w:ascii="Book Antiqua" w:hAnsi="Book Antiqua" w:cs="Arial"/>
              </w:rPr>
            </w:pPr>
            <w:r w:rsidRPr="007223AA">
              <w:rPr>
                <w:rFonts w:ascii="Book Antiqua" w:hAnsi="Book Antiqua" w:cs="Arial"/>
              </w:rPr>
              <w:t>Recommended principle or policy to be adopted</w:t>
            </w:r>
          </w:p>
        </w:tc>
        <w:tc>
          <w:tcPr>
            <w:tcW w:w="4040" w:type="pct"/>
            <w:tcBorders>
              <w:top w:val="single" w:sz="8" w:space="0" w:color="FFFFFF"/>
              <w:left w:val="single" w:sz="24" w:space="0" w:color="FFFFFF"/>
              <w:bottom w:val="single" w:sz="8" w:space="0" w:color="FFFFFF"/>
            </w:tcBorders>
            <w:shd w:val="clear" w:color="auto" w:fill="D6E3BC"/>
            <w:vAlign w:val="center"/>
          </w:tcPr>
          <w:p w:rsidR="00351F2C" w:rsidRPr="007223AA" w:rsidRDefault="00351F2C" w:rsidP="00A256CB">
            <w:pPr>
              <w:spacing w:after="0" w:line="240" w:lineRule="auto"/>
              <w:jc w:val="both"/>
              <w:rPr>
                <w:rFonts w:ascii="Book Antiqua" w:hAnsi="Book Antiqua" w:cs="Arial"/>
              </w:rPr>
            </w:pPr>
            <w:r w:rsidRPr="007223AA">
              <w:rPr>
                <w:rFonts w:ascii="Book Antiqua" w:hAnsi="Book Antiqua" w:cs="Arial"/>
              </w:rPr>
              <w:t>GoV should develop operational structures for effective forest law enforcement in the medium term.  These will most likely include a Central Forest Inspectorate with a hotline for reports on illegal operations and complaints about local law enforcement activities.  In the short term, GoV may have to define the conditions (such as timely reporting) under which payment recipients are exempt from liability for non-performance due to factors beyond their control.</w:t>
            </w:r>
          </w:p>
        </w:tc>
      </w:tr>
      <w:tr w:rsidR="00351F2C" w:rsidRPr="00445F77">
        <w:trPr>
          <w:jc w:val="right"/>
        </w:trPr>
        <w:tc>
          <w:tcPr>
            <w:tcW w:w="960" w:type="pct"/>
            <w:tcBorders>
              <w:top w:val="single" w:sz="8" w:space="0" w:color="FFFFFF"/>
              <w:bottom w:val="single" w:sz="8" w:space="0" w:color="FFFFFF"/>
              <w:right w:val="single" w:sz="24" w:space="0" w:color="FFFFFF"/>
            </w:tcBorders>
            <w:shd w:val="clear" w:color="auto" w:fill="C2D69B"/>
            <w:vAlign w:val="center"/>
          </w:tcPr>
          <w:p w:rsidR="00351F2C" w:rsidRPr="007223AA" w:rsidRDefault="00B54274" w:rsidP="00A256CB">
            <w:pPr>
              <w:spacing w:after="0" w:line="240" w:lineRule="auto"/>
              <w:rPr>
                <w:rFonts w:ascii="Book Antiqua" w:hAnsi="Book Antiqua" w:cs="Arial"/>
              </w:rPr>
            </w:pPr>
            <w:r>
              <w:rPr>
                <w:rFonts w:ascii="Book Antiqua" w:hAnsi="Book Antiqua" w:cs="Arial"/>
              </w:rPr>
              <w:t>Actions required to confirm policy option</w:t>
            </w:r>
          </w:p>
        </w:tc>
        <w:tc>
          <w:tcPr>
            <w:tcW w:w="4040" w:type="pct"/>
            <w:tcBorders>
              <w:top w:val="single" w:sz="8" w:space="0" w:color="FFFFFF"/>
              <w:left w:val="single" w:sz="24" w:space="0" w:color="FFFFFF"/>
              <w:bottom w:val="single" w:sz="8" w:space="0" w:color="FFFFFF"/>
            </w:tcBorders>
            <w:shd w:val="clear" w:color="auto" w:fill="D6E3BC"/>
            <w:vAlign w:val="center"/>
          </w:tcPr>
          <w:p w:rsidR="00351F2C" w:rsidRPr="007223AA" w:rsidRDefault="00351F2C" w:rsidP="00A256CB">
            <w:pPr>
              <w:spacing w:after="0" w:line="240" w:lineRule="auto"/>
              <w:jc w:val="both"/>
              <w:rPr>
                <w:rFonts w:ascii="Book Antiqua" w:hAnsi="Book Antiqua" w:cs="Arial"/>
              </w:rPr>
            </w:pPr>
            <w:r w:rsidRPr="007223AA">
              <w:rPr>
                <w:rFonts w:ascii="Book Antiqua" w:hAnsi="Book Antiqua" w:cs="Arial"/>
              </w:rPr>
              <w:t xml:space="preserve">Recent experiences with community-based law enforcement require assessment and translation into national regulations.  The new General Department of Forestry and forest protection units at the district and provincial levels will need technical assistance to improve their law enforcement capacities.  The </w:t>
            </w:r>
            <w:r w:rsidR="001B6D90">
              <w:rPr>
                <w:rFonts w:ascii="Book Antiqua" w:hAnsi="Book Antiqua" w:cs="Arial"/>
              </w:rPr>
              <w:t>REDD+</w:t>
            </w:r>
            <w:r w:rsidRPr="007223AA">
              <w:rPr>
                <w:rFonts w:ascii="Book Antiqua" w:hAnsi="Book Antiqua" w:cs="Arial"/>
              </w:rPr>
              <w:t xml:space="preserve"> pilots should make appropriate law enforcement a central component of project design from the beginning.  They will indicate ways to determine the liability of forest managers under different circumstances</w:t>
            </w:r>
          </w:p>
        </w:tc>
      </w:tr>
    </w:tbl>
    <w:p w:rsidR="00351F2C" w:rsidRPr="00445F77" w:rsidRDefault="00351F2C" w:rsidP="00F05F95">
      <w:pPr>
        <w:spacing w:after="0" w:line="300" w:lineRule="exact"/>
        <w:jc w:val="both"/>
        <w:rPr>
          <w:rFonts w:ascii="Arial" w:hAnsi="Arial" w:cs="Arial"/>
          <w:sz w:val="24"/>
          <w:szCs w:val="24"/>
        </w:rPr>
      </w:pPr>
    </w:p>
    <w:p w:rsidR="00351F2C" w:rsidRPr="007223AA" w:rsidRDefault="00351F2C" w:rsidP="00725B7B">
      <w:pPr>
        <w:spacing w:after="0" w:line="300" w:lineRule="atLeast"/>
        <w:jc w:val="both"/>
        <w:rPr>
          <w:rFonts w:ascii="Book Antiqua" w:hAnsi="Book Antiqua" w:cs="Arial"/>
          <w:lang w:val="en-US"/>
        </w:rPr>
      </w:pPr>
      <w:r w:rsidRPr="007223AA">
        <w:rPr>
          <w:rFonts w:ascii="Book Antiqua" w:hAnsi="Book Antiqua" w:cs="Arial"/>
          <w:lang w:val="en-US"/>
        </w:rPr>
        <w:t xml:space="preserve">Improving forest law enforcement in </w:t>
      </w:r>
      <w:smartTag w:uri="urn:schemas-microsoft-com:office:smarttags" w:element="country-region">
        <w:smartTag w:uri="urn:schemas-microsoft-com:office:smarttags" w:element="place">
          <w:r w:rsidRPr="007223AA">
            <w:rPr>
              <w:rFonts w:ascii="Book Antiqua" w:hAnsi="Book Antiqua" w:cs="Arial"/>
              <w:lang w:val="en-US"/>
            </w:rPr>
            <w:t>Viet Nam</w:t>
          </w:r>
        </w:smartTag>
      </w:smartTag>
      <w:r w:rsidRPr="007223AA">
        <w:rPr>
          <w:rFonts w:ascii="Book Antiqua" w:hAnsi="Book Antiqua" w:cs="Arial"/>
          <w:lang w:val="en-US"/>
        </w:rPr>
        <w:t xml:space="preserve"> will require significant investments and take time.  In the meantime, the GoV needs to develop </w:t>
      </w:r>
      <w:r w:rsidRPr="007223AA">
        <w:rPr>
          <w:rFonts w:ascii="Book Antiqua" w:hAnsi="Book Antiqua" w:cs="Arial"/>
          <w:u w:val="single"/>
          <w:lang w:val="en-US"/>
        </w:rPr>
        <w:t>procedures to regulate the liability of forest managers</w:t>
      </w:r>
      <w:r w:rsidRPr="007223AA">
        <w:rPr>
          <w:rFonts w:ascii="Book Antiqua" w:hAnsi="Book Antiqua" w:cs="Arial"/>
          <w:lang w:val="en-US"/>
        </w:rPr>
        <w:t>.  For example, forest managers may not be held liable for carbon losses if they report encroachments in a timely manner.</w:t>
      </w:r>
    </w:p>
    <w:p w:rsidR="00351F2C" w:rsidRPr="00445F77" w:rsidRDefault="00351F2C" w:rsidP="00725B7B">
      <w:pPr>
        <w:spacing w:after="0"/>
        <w:jc w:val="center"/>
        <w:rPr>
          <w:rFonts w:ascii="Arial" w:hAnsi="Arial" w:cs="Arial"/>
          <w:b/>
          <w:bCs/>
          <w:sz w:val="24"/>
          <w:szCs w:val="24"/>
          <w:lang w:val="en-US"/>
        </w:rPr>
      </w:pPr>
    </w:p>
    <w:p w:rsidR="0092792E" w:rsidRPr="00445F77" w:rsidRDefault="0092792E" w:rsidP="0092792E">
      <w:pPr>
        <w:pStyle w:val="Heading3"/>
        <w:rPr>
          <w:rFonts w:ascii="Arial" w:hAnsi="Arial" w:cs="Arial"/>
          <w:bCs w:val="0"/>
          <w:lang w:val="en-US"/>
        </w:rPr>
      </w:pPr>
      <w:bookmarkStart w:id="447" w:name="_Toc244586231"/>
      <w:bookmarkStart w:id="448" w:name="_Toc249079582"/>
      <w:r w:rsidRPr="00445F77">
        <w:rPr>
          <w:rFonts w:ascii="Arial" w:hAnsi="Arial" w:cs="Arial"/>
          <w:bCs w:val="0"/>
          <w:lang w:val="en-US"/>
        </w:rPr>
        <w:t>Critical elements of an institutional structure facilitating performance-based distribution</w:t>
      </w:r>
      <w:bookmarkEnd w:id="447"/>
      <w:bookmarkEnd w:id="448"/>
    </w:p>
    <w:p w:rsidR="0092792E" w:rsidRDefault="0092792E" w:rsidP="0092792E">
      <w:pPr>
        <w:spacing w:after="0"/>
        <w:jc w:val="both"/>
        <w:rPr>
          <w:rFonts w:ascii="Book Antiqua" w:hAnsi="Book Antiqua" w:cs="Arial"/>
          <w:b/>
          <w:bCs/>
          <w:lang w:val="en-US"/>
        </w:rPr>
      </w:pPr>
      <w:r w:rsidRPr="007223AA">
        <w:rPr>
          <w:rFonts w:ascii="Book Antiqua" w:hAnsi="Book Antiqua" w:cs="Arial"/>
          <w:lang w:val="en-US"/>
        </w:rPr>
        <w:t>The Go</w:t>
      </w:r>
      <w:r>
        <w:rPr>
          <w:rFonts w:ascii="Book Antiqua" w:hAnsi="Book Antiqua" w:cs="Arial"/>
          <w:lang w:val="en-US"/>
        </w:rPr>
        <w:t>V</w:t>
      </w:r>
      <w:r w:rsidRPr="007223AA">
        <w:rPr>
          <w:rFonts w:ascii="Book Antiqua" w:hAnsi="Book Antiqua" w:cs="Arial"/>
          <w:lang w:val="en-US"/>
        </w:rPr>
        <w:t xml:space="preserve"> needs to develop an institutional structure for a performance-based sub-national distribution of </w:t>
      </w:r>
      <w:r>
        <w:rPr>
          <w:rFonts w:ascii="Book Antiqua" w:hAnsi="Book Antiqua" w:cs="Arial"/>
          <w:lang w:val="en-US"/>
        </w:rPr>
        <w:t>REDD+</w:t>
      </w:r>
      <w:r w:rsidRPr="007223AA">
        <w:rPr>
          <w:rFonts w:ascii="Book Antiqua" w:hAnsi="Book Antiqua" w:cs="Arial"/>
          <w:lang w:val="en-US"/>
        </w:rPr>
        <w:t xml:space="preserve"> benefits.  A critical element in such an institutional structure will be the </w:t>
      </w:r>
      <w:r w:rsidRPr="007223AA">
        <w:rPr>
          <w:rFonts w:ascii="Book Antiqua" w:hAnsi="Book Antiqua" w:cs="Arial"/>
          <w:u w:val="single"/>
          <w:lang w:val="en-US"/>
        </w:rPr>
        <w:t>strict separation of tasks</w:t>
      </w:r>
      <w:r w:rsidRPr="007223AA">
        <w:rPr>
          <w:rFonts w:ascii="Book Antiqua" w:hAnsi="Book Antiqua" w:cs="Arial"/>
          <w:lang w:val="en-US"/>
        </w:rPr>
        <w:t xml:space="preserve"> in order to achieve a system of checks and balances.  A suitable institutional structure is </w:t>
      </w:r>
      <w:r w:rsidRPr="00077097">
        <w:rPr>
          <w:rFonts w:ascii="Book Antiqua" w:hAnsi="Book Antiqua" w:cs="Arial"/>
          <w:lang w:val="en-US"/>
        </w:rPr>
        <w:t>depicted in Figure 4.2.</w:t>
      </w:r>
      <w:r w:rsidRPr="007223AA">
        <w:rPr>
          <w:rFonts w:ascii="Book Antiqua" w:hAnsi="Book Antiqua" w:cs="Arial"/>
          <w:lang w:val="en-US"/>
        </w:rPr>
        <w:t xml:space="preserve"> </w:t>
      </w:r>
      <w:r>
        <w:rPr>
          <w:rFonts w:ascii="Book Antiqua" w:hAnsi="Book Antiqua" w:cs="Arial"/>
          <w:lang w:val="en-US"/>
        </w:rPr>
        <w:t xml:space="preserve"> </w:t>
      </w:r>
      <w:r w:rsidRPr="007223AA">
        <w:rPr>
          <w:rFonts w:ascii="Book Antiqua" w:hAnsi="Book Antiqua" w:cs="Arial"/>
          <w:lang w:val="en-US"/>
        </w:rPr>
        <w:t xml:space="preserve"> Sub-national </w:t>
      </w:r>
      <w:r>
        <w:rPr>
          <w:rFonts w:ascii="Book Antiqua" w:hAnsi="Book Antiqua" w:cs="Arial"/>
          <w:lang w:val="en-US"/>
        </w:rPr>
        <w:t>REDD+</w:t>
      </w:r>
      <w:r w:rsidRPr="007223AA">
        <w:rPr>
          <w:rFonts w:ascii="Book Antiqua" w:hAnsi="Book Antiqua" w:cs="Arial"/>
          <w:lang w:val="en-US"/>
        </w:rPr>
        <w:t xml:space="preserve"> Funds make regulatory decisions about the distribution of </w:t>
      </w:r>
      <w:r>
        <w:rPr>
          <w:rFonts w:ascii="Book Antiqua" w:hAnsi="Book Antiqua" w:cs="Arial"/>
          <w:lang w:val="en-US"/>
        </w:rPr>
        <w:t>REDD+</w:t>
      </w:r>
      <w:r w:rsidRPr="007223AA">
        <w:rPr>
          <w:rFonts w:ascii="Book Antiqua" w:hAnsi="Book Antiqua" w:cs="Arial"/>
          <w:lang w:val="en-US"/>
        </w:rPr>
        <w:t xml:space="preserve"> benefits and offer the establishment of conditional savings books to prospective recipients.  They also handle the distribution of payments and receive a management fee in return.  Sub-national forestry divisions monitor forest managers’ compliance with legal and contractual conditions and perform the local-level carbon monitoring together with prospective</w:t>
      </w:r>
    </w:p>
    <w:p w:rsidR="0092792E" w:rsidRDefault="0092792E" w:rsidP="00725B7B">
      <w:pPr>
        <w:spacing w:after="0"/>
        <w:jc w:val="center"/>
        <w:rPr>
          <w:rFonts w:ascii="Book Antiqua" w:hAnsi="Book Antiqua" w:cs="Arial"/>
          <w:b/>
          <w:bCs/>
          <w:lang w:val="en-US"/>
        </w:rPr>
      </w:pPr>
    </w:p>
    <w:p w:rsidR="00351F2C" w:rsidRPr="007223AA" w:rsidRDefault="00351F2C" w:rsidP="00725B7B">
      <w:pPr>
        <w:spacing w:after="0"/>
        <w:jc w:val="center"/>
        <w:rPr>
          <w:rFonts w:ascii="Book Antiqua" w:hAnsi="Book Antiqua" w:cs="Arial"/>
          <w:lang w:val="en-US"/>
        </w:rPr>
      </w:pPr>
      <w:r w:rsidRPr="007223AA">
        <w:rPr>
          <w:rFonts w:ascii="Book Antiqua" w:hAnsi="Book Antiqua" w:cs="Arial"/>
          <w:b/>
          <w:bCs/>
          <w:lang w:val="en-US"/>
        </w:rPr>
        <w:t>Figure 6.8</w:t>
      </w:r>
      <w:r w:rsidRPr="007223AA">
        <w:rPr>
          <w:rFonts w:ascii="Book Antiqua" w:hAnsi="Book Antiqua" w:cs="Arial"/>
          <w:b/>
          <w:lang w:val="en-US"/>
        </w:rPr>
        <w:t xml:space="preserve"> Institutional structure for sub-national </w:t>
      </w:r>
      <w:r w:rsidR="00480D3D">
        <w:rPr>
          <w:rFonts w:ascii="Book Antiqua" w:hAnsi="Book Antiqua" w:cs="Arial"/>
          <w:b/>
          <w:lang w:val="en-US"/>
        </w:rPr>
        <w:t>REDD+</w:t>
      </w:r>
    </w:p>
    <w:p w:rsidR="00351F2C" w:rsidRPr="00445F77" w:rsidRDefault="000D756D" w:rsidP="00373943">
      <w:pPr>
        <w:spacing w:after="0"/>
        <w:jc w:val="center"/>
        <w:rPr>
          <w:rFonts w:ascii="Arial" w:hAnsi="Arial" w:cs="Arial"/>
          <w:sz w:val="24"/>
          <w:szCs w:val="24"/>
          <w:lang w:val="en-US"/>
        </w:rPr>
      </w:pPr>
      <w:r>
        <w:rPr>
          <w:rFonts w:ascii="Arial" w:hAnsi="Arial" w:cs="Arial"/>
          <w:noProof/>
          <w:sz w:val="24"/>
          <w:szCs w:val="24"/>
          <w:lang w:val="en-US"/>
        </w:rPr>
        <w:drawing>
          <wp:inline distT="0" distB="0" distL="0" distR="0">
            <wp:extent cx="4114800" cy="2171700"/>
            <wp:effectExtent l="1905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4114800" cy="2171700"/>
                    </a:xfrm>
                    <a:prstGeom prst="rect">
                      <a:avLst/>
                    </a:prstGeom>
                    <a:solidFill>
                      <a:srgbClr val="CCFFFF"/>
                    </a:solidFill>
                    <a:ln w="9525">
                      <a:noFill/>
                      <a:miter lim="800000"/>
                      <a:headEnd/>
                      <a:tailEnd/>
                    </a:ln>
                  </pic:spPr>
                </pic:pic>
              </a:graphicData>
            </a:graphic>
          </wp:inline>
        </w:drawing>
      </w:r>
    </w:p>
    <w:p w:rsidR="00351F2C" w:rsidRPr="00445F77" w:rsidRDefault="00351F2C" w:rsidP="004D47BB">
      <w:pPr>
        <w:rPr>
          <w:rFonts w:ascii="Arial" w:hAnsi="Arial" w:cs="Arial"/>
          <w:sz w:val="24"/>
          <w:szCs w:val="24"/>
          <w:lang w:val="en-US"/>
        </w:rPr>
      </w:pPr>
    </w:p>
    <w:p w:rsidR="00351F2C" w:rsidRPr="007223AA" w:rsidRDefault="00351F2C" w:rsidP="00F05F95">
      <w:pPr>
        <w:spacing w:after="0" w:line="300" w:lineRule="exact"/>
        <w:jc w:val="both"/>
        <w:rPr>
          <w:rFonts w:ascii="Book Antiqua" w:hAnsi="Book Antiqua" w:cs="Arial"/>
          <w:lang w:val="en-US"/>
        </w:rPr>
      </w:pPr>
      <w:r w:rsidRPr="007223AA">
        <w:rPr>
          <w:rFonts w:ascii="Book Antiqua" w:hAnsi="Book Antiqua" w:cs="Arial"/>
          <w:lang w:val="en-US"/>
        </w:rPr>
        <w:t xml:space="preserve">payment recipients.  The Bank for Social Policies handles all payments and savings books against a small fee.  Individual households, village communities/groups, and Forestry Companies/PAMBs receive </w:t>
      </w:r>
      <w:r w:rsidR="00480D3D">
        <w:rPr>
          <w:rFonts w:ascii="Book Antiqua" w:hAnsi="Book Antiqua" w:cs="Arial"/>
          <w:lang w:val="en-US"/>
        </w:rPr>
        <w:t>REDD+</w:t>
      </w:r>
      <w:r w:rsidRPr="007223AA">
        <w:rPr>
          <w:rFonts w:ascii="Book Antiqua" w:hAnsi="Book Antiqua" w:cs="Arial"/>
          <w:lang w:val="en-US"/>
        </w:rPr>
        <w:t xml:space="preserve"> payments and have the opportunity to open conditional savings books if desired.</w:t>
      </w:r>
    </w:p>
    <w:p w:rsidR="00351F2C" w:rsidRPr="007223AA" w:rsidRDefault="00351F2C" w:rsidP="00F05F95">
      <w:pPr>
        <w:spacing w:after="0" w:line="300" w:lineRule="exact"/>
        <w:rPr>
          <w:rFonts w:ascii="Book Antiqua" w:hAnsi="Book Antiqua" w:cs="Arial"/>
          <w:lang w:val="en-US"/>
        </w:rPr>
      </w:pPr>
    </w:p>
    <w:p w:rsidR="00351F2C" w:rsidRPr="007223AA" w:rsidRDefault="00351F2C" w:rsidP="00F05F95">
      <w:pPr>
        <w:spacing w:after="0" w:line="300" w:lineRule="exact"/>
        <w:jc w:val="both"/>
        <w:rPr>
          <w:rFonts w:ascii="Book Antiqua" w:hAnsi="Book Antiqua" w:cs="Arial"/>
          <w:lang w:val="en-US"/>
        </w:rPr>
      </w:pPr>
      <w:r w:rsidRPr="007223AA">
        <w:rPr>
          <w:rFonts w:ascii="Book Antiqua" w:hAnsi="Book Antiqua" w:cs="Arial"/>
          <w:lang w:val="en-US"/>
        </w:rPr>
        <w:t xml:space="preserve">The separation of tasks implies a move away from the implementation structure used in the 661 </w:t>
      </w:r>
      <w:r w:rsidR="00480D3D">
        <w:rPr>
          <w:rFonts w:ascii="Book Antiqua" w:hAnsi="Book Antiqua" w:cs="Arial"/>
          <w:lang w:val="en-US"/>
        </w:rPr>
        <w:t>Programme</w:t>
      </w:r>
      <w:r w:rsidRPr="007223AA">
        <w:rPr>
          <w:rFonts w:ascii="Book Antiqua" w:hAnsi="Book Antiqua" w:cs="Arial"/>
          <w:lang w:val="en-US"/>
        </w:rPr>
        <w:t xml:space="preserve">.  A key reason for the failure of many 661 projects is that district-level agencies combine the tasks of implementation and control, leading to conflicts of interest and biased performance assessments.  Under Viet Nam’s future </w:t>
      </w:r>
      <w:r w:rsidR="00480D3D">
        <w:rPr>
          <w:rFonts w:ascii="Book Antiqua" w:hAnsi="Book Antiqua" w:cs="Arial"/>
          <w:lang w:val="en-US"/>
        </w:rPr>
        <w:t>REDD+</w:t>
      </w:r>
      <w:r w:rsidRPr="007223AA">
        <w:rPr>
          <w:rFonts w:ascii="Book Antiqua" w:hAnsi="Book Antiqua" w:cs="Arial"/>
          <w:lang w:val="en-US"/>
        </w:rPr>
        <w:t xml:space="preserve"> </w:t>
      </w:r>
      <w:r w:rsidR="00480D3D">
        <w:rPr>
          <w:rFonts w:ascii="Book Antiqua" w:hAnsi="Book Antiqua" w:cs="Arial"/>
          <w:lang w:val="en-US"/>
        </w:rPr>
        <w:t>programme</w:t>
      </w:r>
      <w:r w:rsidRPr="007223AA">
        <w:rPr>
          <w:rFonts w:ascii="Book Antiqua" w:hAnsi="Book Antiqua" w:cs="Arial"/>
          <w:lang w:val="en-US"/>
        </w:rPr>
        <w:t xml:space="preserve">, district-level forestry agencies should not be allowed to receive </w:t>
      </w:r>
      <w:r w:rsidR="00480D3D">
        <w:rPr>
          <w:rFonts w:ascii="Book Antiqua" w:hAnsi="Book Antiqua" w:cs="Arial"/>
          <w:lang w:val="en-US"/>
        </w:rPr>
        <w:t>REDD+</w:t>
      </w:r>
      <w:r w:rsidRPr="007223AA">
        <w:rPr>
          <w:rFonts w:ascii="Book Antiqua" w:hAnsi="Book Antiqua" w:cs="Arial"/>
          <w:lang w:val="en-US"/>
        </w:rPr>
        <w:t xml:space="preserve"> benefits (except certain management fees), as they have the mandate to monitor and enforce compliance with forest regulations.  Similarly, Forestry Companies and PAMBs should only be allowed to receive </w:t>
      </w:r>
      <w:r w:rsidR="00480D3D">
        <w:rPr>
          <w:rFonts w:ascii="Book Antiqua" w:hAnsi="Book Antiqua" w:cs="Arial"/>
          <w:lang w:val="en-US"/>
        </w:rPr>
        <w:t>REDD+</w:t>
      </w:r>
      <w:r w:rsidRPr="007223AA">
        <w:rPr>
          <w:rFonts w:ascii="Book Antiqua" w:hAnsi="Book Antiqua" w:cs="Arial"/>
          <w:lang w:val="en-US"/>
        </w:rPr>
        <w:t xml:space="preserve"> benefits if they accept monitoring by district-level forestry agencies.</w:t>
      </w:r>
    </w:p>
    <w:p w:rsidR="00351F2C" w:rsidRPr="00445F77" w:rsidRDefault="00351F2C" w:rsidP="00F05F95">
      <w:pPr>
        <w:spacing w:after="0" w:line="300" w:lineRule="exact"/>
        <w:jc w:val="both"/>
        <w:rPr>
          <w:rFonts w:ascii="Arial" w:hAnsi="Arial" w:cs="Arial"/>
          <w:sz w:val="24"/>
          <w:szCs w:val="24"/>
        </w:rPr>
      </w:pPr>
    </w:p>
    <w:tbl>
      <w:tblPr>
        <w:tblW w:w="5000" w:type="pct"/>
        <w:jc w:val="right"/>
        <w:tblBorders>
          <w:insideH w:val="single" w:sz="24" w:space="0" w:color="FFFFFF"/>
          <w:insideV w:val="single" w:sz="24" w:space="0" w:color="FFFFFF"/>
        </w:tblBorders>
        <w:tblLook w:val="04A0"/>
      </w:tblPr>
      <w:tblGrid>
        <w:gridCol w:w="2211"/>
        <w:gridCol w:w="6793"/>
      </w:tblGrid>
      <w:tr w:rsidR="00351F2C" w:rsidRPr="00445F77">
        <w:trPr>
          <w:tblHeader/>
          <w:jc w:val="right"/>
        </w:trPr>
        <w:tc>
          <w:tcPr>
            <w:tcW w:w="5000" w:type="pct"/>
            <w:gridSpan w:val="2"/>
            <w:tcBorders>
              <w:top w:val="single" w:sz="24" w:space="0" w:color="FFFFFF"/>
              <w:bottom w:val="single" w:sz="24" w:space="0" w:color="FFFFFF"/>
            </w:tcBorders>
            <w:shd w:val="clear" w:color="auto" w:fill="76923C"/>
            <w:vAlign w:val="center"/>
          </w:tcPr>
          <w:p w:rsidR="00351F2C" w:rsidRPr="007223AA" w:rsidRDefault="00351F2C" w:rsidP="00A256CB">
            <w:pPr>
              <w:spacing w:after="0" w:line="240" w:lineRule="auto"/>
              <w:jc w:val="center"/>
              <w:rPr>
                <w:rFonts w:ascii="Book Antiqua" w:hAnsi="Book Antiqua" w:cs="Arial"/>
                <w:b/>
                <w:color w:val="FFFFFF"/>
                <w:sz w:val="24"/>
                <w:szCs w:val="24"/>
              </w:rPr>
            </w:pPr>
            <w:r w:rsidRPr="007223AA">
              <w:rPr>
                <w:rFonts w:ascii="Book Antiqua" w:hAnsi="Book Antiqua" w:cs="Arial"/>
                <w:b/>
                <w:color w:val="FFFFFF"/>
                <w:sz w:val="24"/>
                <w:szCs w:val="24"/>
              </w:rPr>
              <w:t>POLICY DECISION</w:t>
            </w:r>
            <w:r w:rsidR="00605C77">
              <w:rPr>
                <w:rFonts w:ascii="Book Antiqua" w:hAnsi="Book Antiqua" w:cs="Arial"/>
                <w:b/>
                <w:color w:val="FFFFFF"/>
                <w:sz w:val="24"/>
                <w:szCs w:val="24"/>
              </w:rPr>
              <w:t xml:space="preserve"> 6.</w:t>
            </w:r>
            <w:r w:rsidR="006772CC">
              <w:rPr>
                <w:rFonts w:ascii="Book Antiqua" w:hAnsi="Book Antiqua" w:cs="Arial"/>
                <w:b/>
                <w:color w:val="FFFFFF"/>
                <w:sz w:val="24"/>
                <w:szCs w:val="24"/>
              </w:rPr>
              <w:t>3</w:t>
            </w:r>
          </w:p>
          <w:p w:rsidR="00351F2C" w:rsidRPr="00445F77" w:rsidRDefault="00351F2C" w:rsidP="00A256CB">
            <w:pPr>
              <w:spacing w:after="0" w:line="240" w:lineRule="auto"/>
              <w:jc w:val="center"/>
              <w:rPr>
                <w:rFonts w:ascii="Arial" w:hAnsi="Arial" w:cs="Arial"/>
                <w:b/>
                <w:color w:val="FFFFFF"/>
                <w:sz w:val="24"/>
                <w:szCs w:val="24"/>
              </w:rPr>
            </w:pPr>
            <w:r w:rsidRPr="007223AA">
              <w:rPr>
                <w:rFonts w:ascii="Book Antiqua" w:hAnsi="Book Antiqua" w:cs="Arial"/>
                <w:b/>
                <w:color w:val="FFFFFF"/>
                <w:sz w:val="24"/>
                <w:szCs w:val="24"/>
              </w:rPr>
              <w:t xml:space="preserve">Institutional structure for a performance-based sub-national distribution of </w:t>
            </w:r>
            <w:r w:rsidR="00480D3D">
              <w:rPr>
                <w:rFonts w:ascii="Book Antiqua" w:hAnsi="Book Antiqua" w:cs="Arial"/>
                <w:b/>
                <w:color w:val="FFFFFF"/>
                <w:sz w:val="24"/>
                <w:szCs w:val="24"/>
              </w:rPr>
              <w:t>REDD+</w:t>
            </w:r>
            <w:r w:rsidRPr="007223AA">
              <w:rPr>
                <w:rFonts w:ascii="Book Antiqua" w:hAnsi="Book Antiqua" w:cs="Arial"/>
                <w:b/>
                <w:color w:val="FFFFFF"/>
                <w:sz w:val="24"/>
                <w:szCs w:val="24"/>
              </w:rPr>
              <w:t xml:space="preserve"> benefits</w:t>
            </w:r>
          </w:p>
        </w:tc>
      </w:tr>
      <w:tr w:rsidR="00795634" w:rsidRPr="00445F77">
        <w:trPr>
          <w:jc w:val="right"/>
        </w:trPr>
        <w:tc>
          <w:tcPr>
            <w:tcW w:w="1228" w:type="pct"/>
            <w:tcBorders>
              <w:top w:val="single" w:sz="24" w:space="0" w:color="FFFFFF"/>
              <w:bottom w:val="single" w:sz="8" w:space="0" w:color="FFFFFF"/>
            </w:tcBorders>
            <w:shd w:val="clear" w:color="auto" w:fill="C2D69B"/>
            <w:vAlign w:val="center"/>
          </w:tcPr>
          <w:p w:rsidR="00795634" w:rsidRPr="00EC1298" w:rsidRDefault="00795634" w:rsidP="00795634">
            <w:pPr>
              <w:spacing w:after="0" w:line="240" w:lineRule="auto"/>
              <w:rPr>
                <w:rFonts w:ascii="Book Antiqua" w:hAnsi="Book Antiqua" w:cs="Arial"/>
              </w:rPr>
            </w:pPr>
            <w:r w:rsidRPr="00EC1298">
              <w:rPr>
                <w:rFonts w:ascii="Book Antiqua" w:hAnsi="Book Antiqua" w:cs="Arial"/>
              </w:rPr>
              <w:t>Issue to be addressed</w:t>
            </w:r>
          </w:p>
        </w:tc>
        <w:tc>
          <w:tcPr>
            <w:tcW w:w="3772" w:type="pct"/>
            <w:tcBorders>
              <w:top w:val="single" w:sz="24" w:space="0" w:color="FFFFFF"/>
              <w:bottom w:val="single" w:sz="8" w:space="0" w:color="FFFFFF"/>
            </w:tcBorders>
            <w:shd w:val="clear" w:color="auto" w:fill="D6E3BC"/>
            <w:vAlign w:val="center"/>
          </w:tcPr>
          <w:p w:rsidR="00795634" w:rsidRPr="007223AA" w:rsidRDefault="00795634" w:rsidP="00A256CB">
            <w:pPr>
              <w:spacing w:after="0" w:line="240" w:lineRule="auto"/>
              <w:rPr>
                <w:rFonts w:ascii="Book Antiqua" w:hAnsi="Book Antiqua" w:cs="Arial"/>
              </w:rPr>
            </w:pPr>
            <w:r w:rsidRPr="007223AA">
              <w:rPr>
                <w:rFonts w:ascii="Book Antiqua" w:hAnsi="Book Antiqua" w:cs="Arial"/>
              </w:rPr>
              <w:t xml:space="preserve">International best practice demonstrates that right institutional design is a precondition for the success of performance-based payments.  Institutional structures only achieve to efficiently allocate and credible enforce payments if they include a system of checks and balances among several institutions.  A focus on a single institution often creates a conflict of interests detrimental to an efficient allocation of project funds and effective conditionality of payments.  This is also a key lesson learned from the weak performance of 661 projects in </w:t>
            </w:r>
            <w:smartTag w:uri="urn:schemas-microsoft-com:office:smarttags" w:element="country-region">
              <w:smartTag w:uri="urn:schemas-microsoft-com:office:smarttags" w:element="place">
                <w:r w:rsidRPr="007223AA">
                  <w:rPr>
                    <w:rFonts w:ascii="Book Antiqua" w:hAnsi="Book Antiqua" w:cs="Arial"/>
                  </w:rPr>
                  <w:t>Viet Nam</w:t>
                </w:r>
              </w:smartTag>
            </w:smartTag>
            <w:r w:rsidRPr="007223AA">
              <w:rPr>
                <w:rFonts w:ascii="Book Antiqua" w:hAnsi="Book Antiqua" w:cs="Arial"/>
              </w:rPr>
              <w:t xml:space="preserve"> where district-level FPUs and Forestry Companies often combine the tasks of implementation and enforcement.</w:t>
            </w:r>
          </w:p>
        </w:tc>
      </w:tr>
      <w:tr w:rsidR="008E7F87" w:rsidRPr="00445F77">
        <w:trPr>
          <w:jc w:val="right"/>
        </w:trPr>
        <w:tc>
          <w:tcPr>
            <w:tcW w:w="1228" w:type="pct"/>
            <w:tcBorders>
              <w:top w:val="single" w:sz="8" w:space="0" w:color="FFFFFF"/>
              <w:bottom w:val="single" w:sz="8" w:space="0" w:color="FFFFFF"/>
            </w:tcBorders>
            <w:shd w:val="clear" w:color="auto" w:fill="C2D69B"/>
            <w:vAlign w:val="center"/>
          </w:tcPr>
          <w:p w:rsidR="008E7F87" w:rsidRPr="00EC1298" w:rsidRDefault="008E7F87" w:rsidP="00795634">
            <w:pPr>
              <w:spacing w:after="0" w:line="240" w:lineRule="auto"/>
              <w:rPr>
                <w:rFonts w:ascii="Book Antiqua" w:hAnsi="Book Antiqua" w:cs="Arial"/>
              </w:rPr>
            </w:pPr>
            <w:r w:rsidRPr="00EC1298">
              <w:rPr>
                <w:rFonts w:ascii="Book Antiqua" w:hAnsi="Book Antiqua" w:cs="Arial"/>
              </w:rPr>
              <w:t>Options</w:t>
            </w:r>
          </w:p>
        </w:tc>
        <w:tc>
          <w:tcPr>
            <w:tcW w:w="3772" w:type="pct"/>
            <w:tcBorders>
              <w:top w:val="single" w:sz="8" w:space="0" w:color="FFFFFF"/>
              <w:bottom w:val="single" w:sz="8" w:space="0" w:color="FFFFFF"/>
            </w:tcBorders>
            <w:shd w:val="clear" w:color="auto" w:fill="D6E3BC"/>
            <w:vAlign w:val="center"/>
          </w:tcPr>
          <w:p w:rsidR="008E7F87" w:rsidRPr="008E7F87" w:rsidRDefault="008E7F87" w:rsidP="008227FD">
            <w:pPr>
              <w:pStyle w:val="ListParagraph"/>
              <w:numPr>
                <w:ilvl w:val="0"/>
                <w:numId w:val="149"/>
              </w:numPr>
              <w:spacing w:after="0" w:line="240" w:lineRule="auto"/>
              <w:ind w:left="219" w:hanging="270"/>
              <w:jc w:val="both"/>
              <w:rPr>
                <w:rFonts w:ascii="Book Antiqua" w:hAnsi="Book Antiqua" w:cs="Arial"/>
              </w:rPr>
            </w:pPr>
            <w:r w:rsidRPr="008E7F87">
              <w:rPr>
                <w:rFonts w:ascii="Book Antiqua" w:hAnsi="Book Antiqua" w:cs="Arial"/>
              </w:rPr>
              <w:t>GoV enables district-level FPUs to receive payments and puts another agency in charge of enforcing their compliance with forest regulations and contractual conditions.</w:t>
            </w:r>
          </w:p>
          <w:p w:rsidR="008E7F87" w:rsidRPr="008E7F87" w:rsidRDefault="008E7F87" w:rsidP="008227FD">
            <w:pPr>
              <w:pStyle w:val="ListParagraph"/>
              <w:numPr>
                <w:ilvl w:val="0"/>
                <w:numId w:val="149"/>
              </w:numPr>
              <w:spacing w:after="0" w:line="240" w:lineRule="auto"/>
              <w:ind w:left="219" w:hanging="270"/>
              <w:jc w:val="both"/>
              <w:rPr>
                <w:rFonts w:ascii="Book Antiqua" w:hAnsi="Book Antiqua" w:cs="Arial"/>
              </w:rPr>
            </w:pPr>
            <w:r w:rsidRPr="008E7F87">
              <w:rPr>
                <w:rFonts w:ascii="Book Antiqua" w:hAnsi="Book Antiqua" w:cs="Arial"/>
              </w:rPr>
              <w:lastRenderedPageBreak/>
              <w:t>GoV mandates district-level FPUs to monitor and enforce payment recipients’ compliance with forest regulations and contractual conditions, ruling them out as a payment recipient</w:t>
            </w:r>
          </w:p>
        </w:tc>
      </w:tr>
      <w:tr w:rsidR="008E7F87" w:rsidRPr="00445F77">
        <w:trPr>
          <w:jc w:val="right"/>
        </w:trPr>
        <w:tc>
          <w:tcPr>
            <w:tcW w:w="1228" w:type="pct"/>
            <w:tcBorders>
              <w:top w:val="single" w:sz="8" w:space="0" w:color="FFFFFF"/>
              <w:bottom w:val="single" w:sz="8" w:space="0" w:color="FFFFFF"/>
            </w:tcBorders>
            <w:shd w:val="clear" w:color="auto" w:fill="C2D69B"/>
            <w:vAlign w:val="center"/>
          </w:tcPr>
          <w:p w:rsidR="008E7F87" w:rsidRPr="00EC1298" w:rsidRDefault="008E7F87" w:rsidP="00795634">
            <w:pPr>
              <w:spacing w:after="0" w:line="240" w:lineRule="auto"/>
              <w:rPr>
                <w:rFonts w:ascii="Book Antiqua" w:hAnsi="Book Antiqua" w:cs="Arial"/>
              </w:rPr>
            </w:pPr>
            <w:r w:rsidRPr="00EC1298">
              <w:rPr>
                <w:rFonts w:ascii="Book Antiqua" w:hAnsi="Book Antiqua" w:cs="Arial"/>
              </w:rPr>
              <w:lastRenderedPageBreak/>
              <w:t>Recommended principle or policy to be adopted</w:t>
            </w:r>
          </w:p>
        </w:tc>
        <w:tc>
          <w:tcPr>
            <w:tcW w:w="3772" w:type="pct"/>
            <w:tcBorders>
              <w:top w:val="single" w:sz="8" w:space="0" w:color="FFFFFF"/>
              <w:bottom w:val="single" w:sz="8" w:space="0" w:color="FFFFFF"/>
            </w:tcBorders>
            <w:shd w:val="clear" w:color="auto" w:fill="D6E3BC"/>
            <w:vAlign w:val="center"/>
          </w:tcPr>
          <w:p w:rsidR="008E7F87" w:rsidRPr="003C0FC0" w:rsidRDefault="008E7F87" w:rsidP="003561C4">
            <w:pPr>
              <w:spacing w:after="0" w:line="240" w:lineRule="auto"/>
              <w:jc w:val="both"/>
              <w:rPr>
                <w:rFonts w:ascii="Book Antiqua" w:hAnsi="Book Antiqua" w:cs="Arial"/>
              </w:rPr>
            </w:pPr>
            <w:r w:rsidRPr="003C0FC0">
              <w:rPr>
                <w:rFonts w:ascii="Book Antiqua" w:hAnsi="Book Antiqua" w:cs="Arial"/>
              </w:rPr>
              <w:t>The GoV should mandate district-level FPUs to monitor and enforce payment recipients’ compliance with forest regulations and contractual conditions against a suitable fee.  They should not be eligible for REDD+ payments, though, as that would create a conflict of interest.</w:t>
            </w:r>
          </w:p>
        </w:tc>
      </w:tr>
      <w:tr w:rsidR="008E7F87" w:rsidRPr="00445F77">
        <w:trPr>
          <w:jc w:val="right"/>
        </w:trPr>
        <w:tc>
          <w:tcPr>
            <w:tcW w:w="1228" w:type="pct"/>
            <w:tcBorders>
              <w:top w:val="single" w:sz="8" w:space="0" w:color="FFFFFF"/>
              <w:bottom w:val="single" w:sz="8" w:space="0" w:color="FFFFFF"/>
            </w:tcBorders>
            <w:shd w:val="clear" w:color="auto" w:fill="C2D69B"/>
            <w:vAlign w:val="center"/>
          </w:tcPr>
          <w:p w:rsidR="008E7F87" w:rsidRPr="00EC1298" w:rsidRDefault="008E7F87" w:rsidP="00795634">
            <w:pPr>
              <w:spacing w:after="0" w:line="240" w:lineRule="auto"/>
              <w:rPr>
                <w:rFonts w:ascii="Book Antiqua" w:hAnsi="Book Antiqua" w:cs="Arial"/>
              </w:rPr>
            </w:pPr>
            <w:r>
              <w:rPr>
                <w:rFonts w:ascii="Book Antiqua" w:hAnsi="Book Antiqua" w:cs="Arial"/>
              </w:rPr>
              <w:t>Actions required to confirm policy option</w:t>
            </w:r>
          </w:p>
        </w:tc>
        <w:tc>
          <w:tcPr>
            <w:tcW w:w="3772" w:type="pct"/>
            <w:tcBorders>
              <w:top w:val="single" w:sz="8" w:space="0" w:color="FFFFFF"/>
              <w:bottom w:val="single" w:sz="8" w:space="0" w:color="FFFFFF"/>
            </w:tcBorders>
            <w:shd w:val="clear" w:color="auto" w:fill="D6E3BC"/>
            <w:vAlign w:val="center"/>
          </w:tcPr>
          <w:p w:rsidR="008E7F87" w:rsidRPr="00052753" w:rsidRDefault="008E7F87" w:rsidP="003561C4">
            <w:pPr>
              <w:spacing w:after="0" w:line="240" w:lineRule="auto"/>
              <w:jc w:val="both"/>
              <w:rPr>
                <w:rFonts w:ascii="Book Antiqua" w:hAnsi="Book Antiqua" w:cs="Arial"/>
              </w:rPr>
            </w:pPr>
            <w:r w:rsidRPr="00052753">
              <w:rPr>
                <w:rFonts w:ascii="Book Antiqua" w:hAnsi="Book Antiqua"/>
              </w:rPr>
              <w:t>The GoV should assess the institutional structures used for the implementation of the 661 Program</w:t>
            </w:r>
            <w:r>
              <w:rPr>
                <w:rFonts w:ascii="Book Antiqua" w:hAnsi="Book Antiqua"/>
              </w:rPr>
              <w:t>me</w:t>
            </w:r>
            <w:r w:rsidRPr="00052753">
              <w:rPr>
                <w:rFonts w:ascii="Book Antiqua" w:hAnsi="Book Antiqua"/>
              </w:rPr>
              <w:t xml:space="preserve"> and P</w:t>
            </w:r>
            <w:r>
              <w:rPr>
                <w:rFonts w:ascii="Book Antiqua" w:hAnsi="Book Antiqua"/>
              </w:rPr>
              <w:t>F</w:t>
            </w:r>
            <w:r w:rsidRPr="00052753">
              <w:rPr>
                <w:rFonts w:ascii="Book Antiqua" w:hAnsi="Book Antiqua"/>
              </w:rPr>
              <w:t xml:space="preserve">ES schemes in Son La and Lam Dong.  The assessment should inform the institutional design of the sub-national component of </w:t>
            </w:r>
            <w:smartTag w:uri="urn:schemas-microsoft-com:office:smarttags" w:element="country-region">
              <w:smartTag w:uri="urn:schemas-microsoft-com:office:smarttags" w:element="place">
                <w:r w:rsidRPr="00052753">
                  <w:rPr>
                    <w:rFonts w:ascii="Book Antiqua" w:hAnsi="Book Antiqua"/>
                  </w:rPr>
                  <w:t>Viet Nam</w:t>
                </w:r>
              </w:smartTag>
            </w:smartTag>
            <w:r w:rsidRPr="00052753">
              <w:rPr>
                <w:rFonts w:ascii="Book Antiqua" w:hAnsi="Book Antiqua"/>
              </w:rPr>
              <w:t>’s future REDD</w:t>
            </w:r>
            <w:r>
              <w:rPr>
                <w:rFonts w:ascii="Book Antiqua" w:hAnsi="Book Antiqua"/>
              </w:rPr>
              <w:t>+</w:t>
            </w:r>
            <w:r w:rsidRPr="00052753">
              <w:rPr>
                <w:rFonts w:ascii="Book Antiqua" w:hAnsi="Book Antiqua"/>
              </w:rPr>
              <w:t xml:space="preserve"> Program</w:t>
            </w:r>
            <w:r>
              <w:rPr>
                <w:rFonts w:ascii="Book Antiqua" w:hAnsi="Book Antiqua"/>
              </w:rPr>
              <w:t>me.</w:t>
            </w:r>
          </w:p>
        </w:tc>
      </w:tr>
    </w:tbl>
    <w:p w:rsidR="00351F2C" w:rsidRPr="00445F77" w:rsidRDefault="00351F2C" w:rsidP="00F05F95">
      <w:pPr>
        <w:spacing w:after="0" w:line="300" w:lineRule="exact"/>
        <w:jc w:val="both"/>
        <w:rPr>
          <w:rFonts w:ascii="Arial" w:hAnsi="Arial" w:cs="Arial"/>
          <w:sz w:val="24"/>
          <w:szCs w:val="24"/>
        </w:rPr>
      </w:pPr>
    </w:p>
    <w:p w:rsidR="00351F2C" w:rsidRPr="00445F77" w:rsidRDefault="00351F2C" w:rsidP="00284D0F">
      <w:pPr>
        <w:pStyle w:val="Heading3"/>
        <w:rPr>
          <w:rFonts w:ascii="Arial" w:hAnsi="Arial" w:cs="Arial"/>
          <w:bCs w:val="0"/>
          <w:lang w:val="en-US"/>
        </w:rPr>
      </w:pPr>
      <w:bookmarkStart w:id="449" w:name="_Toc244586232"/>
      <w:bookmarkStart w:id="450" w:name="_Toc249079583"/>
      <w:r w:rsidRPr="00445F77">
        <w:rPr>
          <w:rFonts w:ascii="Arial" w:hAnsi="Arial" w:cs="Arial"/>
          <w:bCs w:val="0"/>
          <w:lang w:val="en-US"/>
        </w:rPr>
        <w:t>The need for a facilitated learning process</w:t>
      </w:r>
      <w:bookmarkEnd w:id="449"/>
      <w:bookmarkEnd w:id="450"/>
    </w:p>
    <w:p w:rsidR="00351F2C" w:rsidRPr="007223AA" w:rsidRDefault="00480D3D" w:rsidP="002F7F55">
      <w:pPr>
        <w:spacing w:after="0" w:line="300" w:lineRule="atLeast"/>
        <w:jc w:val="both"/>
        <w:rPr>
          <w:rFonts w:ascii="Book Antiqua" w:hAnsi="Book Antiqua" w:cs="Arial"/>
          <w:lang w:val="en-US"/>
        </w:rPr>
      </w:pPr>
      <w:r>
        <w:rPr>
          <w:rFonts w:ascii="Book Antiqua" w:hAnsi="Book Antiqua" w:cs="Arial"/>
          <w:lang w:val="en-US"/>
        </w:rPr>
        <w:t>REDD+</w:t>
      </w:r>
      <w:r w:rsidR="00351F2C" w:rsidRPr="007223AA">
        <w:rPr>
          <w:rFonts w:ascii="Book Antiqua" w:hAnsi="Book Antiqua" w:cs="Arial"/>
          <w:lang w:val="en-US"/>
        </w:rPr>
        <w:t xml:space="preserve"> will require the GoV to make significant changes to </w:t>
      </w:r>
      <w:smartTag w:uri="urn:schemas-microsoft-com:office:smarttags" w:element="country-region">
        <w:smartTag w:uri="urn:schemas-microsoft-com:office:smarttags" w:element="place">
          <w:r w:rsidR="00351F2C" w:rsidRPr="007223AA">
            <w:rPr>
              <w:rFonts w:ascii="Book Antiqua" w:hAnsi="Book Antiqua" w:cs="Arial"/>
              <w:lang w:val="en-US"/>
            </w:rPr>
            <w:t>Viet Nam</w:t>
          </w:r>
        </w:smartTag>
      </w:smartTag>
      <w:r w:rsidR="00351F2C" w:rsidRPr="007223AA">
        <w:rPr>
          <w:rFonts w:ascii="Book Antiqua" w:hAnsi="Book Antiqua" w:cs="Arial"/>
          <w:lang w:val="en-US"/>
        </w:rPr>
        <w:t xml:space="preserve">’s forest policy.  Therefore, it will be crucial to involve a wide range of stakeholders from inside and outside the GoV in a learning process on </w:t>
      </w:r>
      <w:r>
        <w:rPr>
          <w:rFonts w:ascii="Book Antiqua" w:hAnsi="Book Antiqua" w:cs="Arial"/>
          <w:lang w:val="en-US"/>
        </w:rPr>
        <w:t>REDD+</w:t>
      </w:r>
      <w:r w:rsidR="00351F2C" w:rsidRPr="007223AA">
        <w:rPr>
          <w:rFonts w:ascii="Book Antiqua" w:hAnsi="Book Antiqua" w:cs="Arial"/>
          <w:lang w:val="en-US"/>
        </w:rPr>
        <w:t xml:space="preserve">.  The learning process could take place through the </w:t>
      </w:r>
      <w:r>
        <w:rPr>
          <w:rFonts w:ascii="Book Antiqua" w:hAnsi="Book Antiqua" w:cs="Arial"/>
          <w:lang w:val="en-US"/>
        </w:rPr>
        <w:t>REDD+</w:t>
      </w:r>
      <w:r w:rsidR="00351F2C" w:rsidRPr="007223AA">
        <w:rPr>
          <w:rFonts w:ascii="Book Antiqua" w:hAnsi="Book Antiqua" w:cs="Arial"/>
          <w:lang w:val="en-US"/>
        </w:rPr>
        <w:t xml:space="preserve"> Network and Working Group set up by the GoV recently.  It would require professional facilitation by a qualified resource person.</w:t>
      </w:r>
    </w:p>
    <w:p w:rsidR="00351F2C" w:rsidRPr="007223AA" w:rsidRDefault="00351F2C" w:rsidP="002F7F55">
      <w:pPr>
        <w:spacing w:after="0" w:line="300" w:lineRule="atLeast"/>
        <w:rPr>
          <w:rFonts w:ascii="Book Antiqua" w:hAnsi="Book Antiqua" w:cs="Arial"/>
          <w:lang w:val="en-US"/>
        </w:rPr>
      </w:pPr>
    </w:p>
    <w:p w:rsidR="00351F2C" w:rsidRPr="007223AA" w:rsidRDefault="00351F2C" w:rsidP="002F7F55">
      <w:pPr>
        <w:spacing w:after="0" w:line="300" w:lineRule="atLeast"/>
        <w:jc w:val="both"/>
        <w:rPr>
          <w:rFonts w:ascii="Book Antiqua" w:hAnsi="Book Antiqua" w:cs="Arial"/>
          <w:lang w:val="en-US"/>
        </w:rPr>
      </w:pPr>
      <w:r w:rsidRPr="007223AA">
        <w:rPr>
          <w:rFonts w:ascii="Book Antiqua" w:hAnsi="Book Antiqua" w:cs="Arial"/>
          <w:lang w:val="en-US"/>
        </w:rPr>
        <w:t xml:space="preserve">Over the course of 2010, the </w:t>
      </w:r>
      <w:r w:rsidR="00480D3D">
        <w:rPr>
          <w:rFonts w:ascii="Book Antiqua" w:hAnsi="Book Antiqua" w:cs="Arial"/>
          <w:lang w:val="en-US"/>
        </w:rPr>
        <w:t>REDD+</w:t>
      </w:r>
      <w:r w:rsidRPr="007223AA">
        <w:rPr>
          <w:rFonts w:ascii="Book Antiqua" w:hAnsi="Book Antiqua" w:cs="Arial"/>
          <w:lang w:val="en-US"/>
        </w:rPr>
        <w:t xml:space="preserve"> Working Group could visit selected projects that provide relevant insights for the design of a </w:t>
      </w:r>
      <w:r w:rsidR="00480D3D">
        <w:rPr>
          <w:rFonts w:ascii="Book Antiqua" w:hAnsi="Book Antiqua" w:cs="Arial"/>
          <w:lang w:val="en-US"/>
        </w:rPr>
        <w:t>REDD+</w:t>
      </w:r>
      <w:r w:rsidRPr="007223AA">
        <w:rPr>
          <w:rFonts w:ascii="Book Antiqua" w:hAnsi="Book Antiqua" w:cs="Arial"/>
          <w:lang w:val="en-US"/>
        </w:rPr>
        <w:t xml:space="preserve"> sub-national finance mechanism.  The visits would need to be prepared and evaluated carefully with suitable technical assistance.  The </w:t>
      </w:r>
      <w:r w:rsidR="00480D3D">
        <w:rPr>
          <w:rFonts w:ascii="Book Antiqua" w:hAnsi="Book Antiqua" w:cs="Arial"/>
          <w:lang w:val="en-US"/>
        </w:rPr>
        <w:t>REDD+</w:t>
      </w:r>
      <w:r w:rsidRPr="007223AA">
        <w:rPr>
          <w:rFonts w:ascii="Book Antiqua" w:hAnsi="Book Antiqua" w:cs="Arial"/>
          <w:lang w:val="en-US"/>
        </w:rPr>
        <w:t xml:space="preserve"> Network could serve consultations at regional and national levels on critical issues and priority needs arising in relation to the </w:t>
      </w:r>
      <w:r w:rsidR="00480D3D">
        <w:rPr>
          <w:rFonts w:ascii="Book Antiqua" w:hAnsi="Book Antiqua" w:cs="Arial"/>
          <w:lang w:val="en-US"/>
        </w:rPr>
        <w:t>REDD+</w:t>
      </w:r>
      <w:r w:rsidRPr="007223AA">
        <w:rPr>
          <w:rFonts w:ascii="Book Antiqua" w:hAnsi="Book Antiqua" w:cs="Arial"/>
          <w:lang w:val="en-US"/>
        </w:rPr>
        <w:t xml:space="preserve"> sub-national finance mechanism.</w:t>
      </w:r>
    </w:p>
    <w:p w:rsidR="00351F2C" w:rsidRPr="007223AA" w:rsidRDefault="00351F2C" w:rsidP="002F7F55">
      <w:pPr>
        <w:spacing w:after="0" w:line="300" w:lineRule="atLeast"/>
        <w:rPr>
          <w:rFonts w:ascii="Book Antiqua" w:hAnsi="Book Antiqua" w:cs="Arial"/>
          <w:lang w:val="en-US"/>
        </w:rPr>
      </w:pPr>
    </w:p>
    <w:p w:rsidR="00351F2C" w:rsidRPr="007223AA" w:rsidRDefault="00351F2C" w:rsidP="002F7F55">
      <w:pPr>
        <w:spacing w:after="0" w:line="300" w:lineRule="atLeast"/>
        <w:jc w:val="both"/>
        <w:rPr>
          <w:rFonts w:ascii="Book Antiqua" w:hAnsi="Book Antiqua" w:cs="Arial"/>
          <w:lang w:val="en-US"/>
        </w:rPr>
      </w:pPr>
      <w:r w:rsidRPr="007223AA">
        <w:rPr>
          <w:rFonts w:ascii="Book Antiqua" w:hAnsi="Book Antiqua" w:cs="Arial"/>
          <w:lang w:val="en-US"/>
        </w:rPr>
        <w:t xml:space="preserve">In the medium-term (2011-2013), the </w:t>
      </w:r>
      <w:r w:rsidR="00480D3D">
        <w:rPr>
          <w:rFonts w:ascii="Book Antiqua" w:hAnsi="Book Antiqua" w:cs="Arial"/>
          <w:lang w:val="en-US"/>
        </w:rPr>
        <w:t>REDD+</w:t>
      </w:r>
      <w:r w:rsidRPr="007223AA">
        <w:rPr>
          <w:rFonts w:ascii="Book Antiqua" w:hAnsi="Book Antiqua" w:cs="Arial"/>
          <w:lang w:val="en-US"/>
        </w:rPr>
        <w:t xml:space="preserve"> Working Group could be a suitable vehicle to coordinate a variety of </w:t>
      </w:r>
      <w:r w:rsidR="00480D3D">
        <w:rPr>
          <w:rFonts w:ascii="Book Antiqua" w:hAnsi="Book Antiqua" w:cs="Arial"/>
          <w:lang w:val="en-US"/>
        </w:rPr>
        <w:t>REDD+</w:t>
      </w:r>
      <w:r w:rsidRPr="007223AA">
        <w:rPr>
          <w:rFonts w:ascii="Book Antiqua" w:hAnsi="Book Antiqua" w:cs="Arial"/>
          <w:lang w:val="en-US"/>
        </w:rPr>
        <w:t xml:space="preserve"> pilot projects and to synthesize lessons from them.  Again, the Working Group would require technical assistance to do so.</w:t>
      </w:r>
    </w:p>
    <w:p w:rsidR="00F12DE0" w:rsidRPr="00445F77" w:rsidRDefault="00F12DE0">
      <w:pPr>
        <w:spacing w:after="0" w:line="240" w:lineRule="auto"/>
        <w:rPr>
          <w:rFonts w:ascii="Arial" w:hAnsi="Arial" w:cs="Arial"/>
          <w:sz w:val="24"/>
          <w:szCs w:val="24"/>
        </w:rPr>
      </w:pPr>
      <w:r w:rsidRPr="00445F77">
        <w:rPr>
          <w:rFonts w:ascii="Arial" w:hAnsi="Arial" w:cs="Arial"/>
          <w:sz w:val="24"/>
          <w:szCs w:val="24"/>
        </w:rPr>
        <w:br w:type="page"/>
      </w:r>
    </w:p>
    <w:p w:rsidR="00351F2C" w:rsidRPr="00445F77" w:rsidRDefault="00F12DE0" w:rsidP="002D0F33">
      <w:pPr>
        <w:pStyle w:val="Heading1"/>
      </w:pPr>
      <w:bookmarkStart w:id="451" w:name="_Toc244735127"/>
      <w:bookmarkStart w:id="452" w:name="_Toc244735672"/>
      <w:bookmarkStart w:id="453" w:name="_Toc252354749"/>
      <w:r w:rsidRPr="00445F77">
        <w:lastRenderedPageBreak/>
        <w:t>7</w:t>
      </w:r>
      <w:r w:rsidR="00351F2C" w:rsidRPr="00445F77">
        <w:t>:  Monitoring Performance</w:t>
      </w:r>
      <w:bookmarkEnd w:id="451"/>
      <w:bookmarkEnd w:id="452"/>
      <w:bookmarkEnd w:id="453"/>
      <w:r w:rsidR="00351F2C" w:rsidRPr="00445F77">
        <w:t xml:space="preserve"> </w:t>
      </w:r>
    </w:p>
    <w:p w:rsidR="00351F2C" w:rsidRPr="007223AA" w:rsidRDefault="00351F2C" w:rsidP="00605C77">
      <w:pPr>
        <w:spacing w:after="0" w:line="240" w:lineRule="auto"/>
        <w:rPr>
          <w:rFonts w:ascii="Book Antiqua" w:hAnsi="Book Antiqua" w:cs="Arial"/>
          <w:color w:val="1F497D"/>
        </w:rPr>
      </w:pPr>
    </w:p>
    <w:p w:rsidR="00351F2C" w:rsidRPr="007223AA" w:rsidRDefault="00CD3BF0" w:rsidP="00605C77">
      <w:pPr>
        <w:spacing w:after="0" w:line="300" w:lineRule="exact"/>
        <w:jc w:val="both"/>
        <w:rPr>
          <w:rFonts w:ascii="Book Antiqua" w:hAnsi="Book Antiqua" w:cs="Arial"/>
        </w:rPr>
      </w:pPr>
      <w:r>
        <w:rPr>
          <w:rFonts w:ascii="Book Antiqua" w:hAnsi="Book Antiqua" w:cs="Arial"/>
        </w:rPr>
        <w:t xml:space="preserve">Monitoring is an essential component of any BDS.  </w:t>
      </w:r>
      <w:r w:rsidR="00351F2C" w:rsidRPr="007223AA">
        <w:rPr>
          <w:rFonts w:ascii="Book Antiqua" w:hAnsi="Book Antiqua" w:cs="Arial"/>
        </w:rPr>
        <w:t xml:space="preserve">This </w:t>
      </w:r>
      <w:r>
        <w:rPr>
          <w:rFonts w:ascii="Book Antiqua" w:hAnsi="Book Antiqua" w:cs="Arial"/>
        </w:rPr>
        <w:t>chapter</w:t>
      </w:r>
      <w:r w:rsidR="00351F2C" w:rsidRPr="007223AA">
        <w:rPr>
          <w:rFonts w:ascii="Book Antiqua" w:hAnsi="Book Antiqua" w:cs="Arial"/>
        </w:rPr>
        <w:t xml:space="preserve"> identifies the concepts, ideas and requirements for monitoring </w:t>
      </w:r>
      <w:r w:rsidR="00480D3D">
        <w:rPr>
          <w:rFonts w:ascii="Book Antiqua" w:hAnsi="Book Antiqua" w:cs="Arial"/>
        </w:rPr>
        <w:t>REDD+</w:t>
      </w:r>
      <w:r w:rsidR="00351F2C" w:rsidRPr="007223AA">
        <w:rPr>
          <w:rFonts w:ascii="Book Antiqua" w:hAnsi="Book Antiqua" w:cs="Arial"/>
        </w:rPr>
        <w:t xml:space="preserve"> Benefit Sharing for Viet Nam. </w:t>
      </w:r>
      <w:r w:rsidR="00351F2C" w:rsidRPr="007223AA">
        <w:rPr>
          <w:rFonts w:ascii="Book Antiqua" w:hAnsi="Book Antiqua" w:cs="Arial"/>
          <w:bCs/>
        </w:rPr>
        <w:t xml:space="preserve">The two basic </w:t>
      </w:r>
      <w:r w:rsidR="00351F2C" w:rsidRPr="007223AA">
        <w:rPr>
          <w:rFonts w:ascii="Book Antiqua" w:hAnsi="Book Antiqua" w:cs="Arial"/>
        </w:rPr>
        <w:t xml:space="preserve">financial and economic </w:t>
      </w:r>
      <w:r w:rsidR="00351F2C" w:rsidRPr="007223AA">
        <w:rPr>
          <w:rFonts w:ascii="Book Antiqua" w:hAnsi="Book Antiqua" w:cs="Arial"/>
          <w:bCs/>
        </w:rPr>
        <w:t xml:space="preserve">variables which will determine the profitability and acceptability of </w:t>
      </w:r>
      <w:r w:rsidR="00480D3D">
        <w:rPr>
          <w:rFonts w:ascii="Book Antiqua" w:hAnsi="Book Antiqua" w:cs="Arial"/>
        </w:rPr>
        <w:t>REDD+</w:t>
      </w:r>
      <w:r w:rsidR="00351F2C" w:rsidRPr="007223AA">
        <w:rPr>
          <w:rFonts w:ascii="Book Antiqua" w:hAnsi="Book Antiqua" w:cs="Arial"/>
        </w:rPr>
        <w:t xml:space="preserve"> for its participants in </w:t>
      </w:r>
      <w:smartTag w:uri="urn:schemas-microsoft-com:office:smarttags" w:element="country-region">
        <w:smartTag w:uri="urn:schemas-microsoft-com:office:smarttags" w:element="place">
          <w:r w:rsidR="00351F2C" w:rsidRPr="007223AA">
            <w:rPr>
              <w:rFonts w:ascii="Book Antiqua" w:hAnsi="Book Antiqua" w:cs="Arial"/>
            </w:rPr>
            <w:t>Viet Nam</w:t>
          </w:r>
        </w:smartTag>
      </w:smartTag>
      <w:r w:rsidR="00351F2C" w:rsidRPr="007223AA">
        <w:rPr>
          <w:rFonts w:ascii="Book Antiqua" w:hAnsi="Book Antiqua" w:cs="Arial"/>
        </w:rPr>
        <w:t xml:space="preserve">, and thus the effectiveness of the programme in reducing emissions, </w:t>
      </w:r>
      <w:r w:rsidR="00351F2C" w:rsidRPr="00077097">
        <w:rPr>
          <w:rFonts w:ascii="Book Antiqua" w:hAnsi="Book Antiqua" w:cs="Arial"/>
        </w:rPr>
        <w:t>are the costs associated with the programme and the payments received (see Section</w:t>
      </w:r>
      <w:r w:rsidR="00077097" w:rsidRPr="00077097">
        <w:rPr>
          <w:rFonts w:ascii="Book Antiqua" w:hAnsi="Book Antiqua" w:cs="Arial"/>
        </w:rPr>
        <w:t>s 5.1 and 5.2</w:t>
      </w:r>
      <w:r w:rsidR="00351F2C" w:rsidRPr="00077097">
        <w:rPr>
          <w:rFonts w:ascii="Book Antiqua" w:hAnsi="Book Antiqua" w:cs="Arial"/>
        </w:rPr>
        <w:t>).</w:t>
      </w:r>
      <w:r w:rsidR="00351F2C" w:rsidRPr="007223AA">
        <w:rPr>
          <w:rFonts w:ascii="Book Antiqua" w:hAnsi="Book Antiqua" w:cs="Arial"/>
        </w:rPr>
        <w:t xml:space="preserve"> </w:t>
      </w:r>
    </w:p>
    <w:p w:rsidR="00351F2C" w:rsidRPr="007223AA" w:rsidRDefault="00351F2C" w:rsidP="00605C77">
      <w:pPr>
        <w:spacing w:after="0" w:line="300" w:lineRule="exact"/>
        <w:jc w:val="both"/>
        <w:rPr>
          <w:rFonts w:ascii="Book Antiqua" w:hAnsi="Book Antiqua" w:cs="Arial"/>
        </w:rPr>
      </w:pPr>
    </w:p>
    <w:p w:rsidR="00351F2C" w:rsidRPr="007223AA" w:rsidRDefault="00351F2C" w:rsidP="00605C77">
      <w:pPr>
        <w:spacing w:after="0" w:line="300" w:lineRule="exact"/>
        <w:jc w:val="both"/>
        <w:rPr>
          <w:rFonts w:ascii="Book Antiqua" w:hAnsi="Book Antiqua" w:cs="Arial"/>
        </w:rPr>
      </w:pPr>
      <w:r w:rsidRPr="007223AA">
        <w:rPr>
          <w:rFonts w:ascii="Book Antiqua" w:hAnsi="Book Antiqua" w:cs="Arial"/>
        </w:rPr>
        <w:t xml:space="preserve">The principles that will determine the acceptability of </w:t>
      </w:r>
      <w:r w:rsidR="00480D3D">
        <w:rPr>
          <w:rFonts w:ascii="Book Antiqua" w:hAnsi="Book Antiqua" w:cs="Arial"/>
        </w:rPr>
        <w:t>REDD+</w:t>
      </w:r>
      <w:r w:rsidRPr="007223AA">
        <w:rPr>
          <w:rFonts w:ascii="Book Antiqua" w:hAnsi="Book Antiqua" w:cs="Arial"/>
        </w:rPr>
        <w:t xml:space="preserve"> for participants outside </w:t>
      </w:r>
      <w:smartTag w:uri="urn:schemas-microsoft-com:office:smarttags" w:element="country-region">
        <w:smartTag w:uri="urn:schemas-microsoft-com:office:smarttags" w:element="place">
          <w:r w:rsidRPr="007223AA">
            <w:rPr>
              <w:rFonts w:ascii="Book Antiqua" w:hAnsi="Book Antiqua" w:cs="Arial"/>
            </w:rPr>
            <w:t>Viet Nam</w:t>
          </w:r>
        </w:smartTag>
      </w:smartTag>
      <w:r w:rsidRPr="007223AA">
        <w:rPr>
          <w:rFonts w:ascii="Book Antiqua" w:hAnsi="Book Antiqua" w:cs="Arial"/>
        </w:rPr>
        <w:t xml:space="preserve"> are those that will confirm the effectiveness of the </w:t>
      </w:r>
      <w:r w:rsidR="00480D3D">
        <w:rPr>
          <w:rFonts w:ascii="Book Antiqua" w:hAnsi="Book Antiqua" w:cs="Arial"/>
        </w:rPr>
        <w:t>programme</w:t>
      </w:r>
      <w:r w:rsidRPr="007223AA">
        <w:rPr>
          <w:rFonts w:ascii="Book Antiqua" w:hAnsi="Book Antiqua" w:cs="Arial"/>
        </w:rPr>
        <w:t xml:space="preserve"> in reducing emissions. In particular, as noted previously in this report, the key principles include:</w:t>
      </w:r>
    </w:p>
    <w:p w:rsidR="00351F2C" w:rsidRPr="007223AA" w:rsidRDefault="00351F2C" w:rsidP="008227FD">
      <w:pPr>
        <w:numPr>
          <w:ilvl w:val="0"/>
          <w:numId w:val="73"/>
        </w:numPr>
        <w:spacing w:after="0" w:line="300" w:lineRule="exact"/>
        <w:ind w:left="360"/>
        <w:jc w:val="both"/>
        <w:rPr>
          <w:rFonts w:ascii="Book Antiqua" w:hAnsi="Book Antiqua" w:cs="Arial"/>
        </w:rPr>
      </w:pPr>
      <w:r w:rsidRPr="007223AA">
        <w:rPr>
          <w:rFonts w:ascii="Book Antiqua" w:hAnsi="Book Antiqua" w:cs="Arial"/>
        </w:rPr>
        <w:t>Performance-linkage</w:t>
      </w:r>
    </w:p>
    <w:p w:rsidR="00351F2C" w:rsidRPr="007223AA" w:rsidRDefault="00351F2C" w:rsidP="008227FD">
      <w:pPr>
        <w:numPr>
          <w:ilvl w:val="0"/>
          <w:numId w:val="73"/>
        </w:numPr>
        <w:spacing w:after="0" w:line="300" w:lineRule="exact"/>
        <w:ind w:left="360"/>
        <w:jc w:val="both"/>
        <w:rPr>
          <w:rFonts w:ascii="Book Antiqua" w:hAnsi="Book Antiqua" w:cs="Arial"/>
        </w:rPr>
      </w:pPr>
      <w:r w:rsidRPr="007223AA">
        <w:rPr>
          <w:rFonts w:ascii="Book Antiqua" w:hAnsi="Book Antiqua" w:cs="Arial"/>
        </w:rPr>
        <w:t>Additionality</w:t>
      </w:r>
    </w:p>
    <w:p w:rsidR="00351F2C" w:rsidRPr="007223AA" w:rsidRDefault="00351F2C" w:rsidP="008227FD">
      <w:pPr>
        <w:numPr>
          <w:ilvl w:val="0"/>
          <w:numId w:val="73"/>
        </w:numPr>
        <w:spacing w:after="0" w:line="300" w:lineRule="exact"/>
        <w:ind w:left="360"/>
        <w:jc w:val="both"/>
        <w:rPr>
          <w:rFonts w:ascii="Book Antiqua" w:hAnsi="Book Antiqua" w:cs="Arial"/>
        </w:rPr>
      </w:pPr>
      <w:r w:rsidRPr="007223AA">
        <w:rPr>
          <w:rFonts w:ascii="Book Antiqua" w:hAnsi="Book Antiqua" w:cs="Arial"/>
        </w:rPr>
        <w:t>Equity</w:t>
      </w:r>
    </w:p>
    <w:p w:rsidR="00351F2C" w:rsidRPr="007223AA" w:rsidRDefault="00351F2C" w:rsidP="008227FD">
      <w:pPr>
        <w:numPr>
          <w:ilvl w:val="0"/>
          <w:numId w:val="73"/>
        </w:numPr>
        <w:spacing w:after="0" w:line="300" w:lineRule="exact"/>
        <w:ind w:left="360"/>
        <w:jc w:val="both"/>
        <w:rPr>
          <w:rFonts w:ascii="Book Antiqua" w:hAnsi="Book Antiqua" w:cs="Arial"/>
        </w:rPr>
      </w:pPr>
      <w:r w:rsidRPr="007223AA">
        <w:rPr>
          <w:rFonts w:ascii="Book Antiqua" w:hAnsi="Book Antiqua" w:cs="Arial"/>
        </w:rPr>
        <w:t>Transparency</w:t>
      </w:r>
    </w:p>
    <w:p w:rsidR="00351F2C" w:rsidRPr="007223AA" w:rsidRDefault="00351F2C" w:rsidP="00605C77">
      <w:pPr>
        <w:spacing w:after="0" w:line="300" w:lineRule="exact"/>
        <w:jc w:val="both"/>
        <w:rPr>
          <w:rFonts w:ascii="Book Antiqua" w:hAnsi="Book Antiqua" w:cs="Arial"/>
        </w:rPr>
      </w:pPr>
    </w:p>
    <w:p w:rsidR="00351F2C" w:rsidRPr="007223AA" w:rsidRDefault="00351F2C" w:rsidP="00605C77">
      <w:pPr>
        <w:spacing w:after="0" w:line="300" w:lineRule="exact"/>
        <w:jc w:val="both"/>
        <w:rPr>
          <w:rFonts w:ascii="Book Antiqua" w:hAnsi="Book Antiqua" w:cs="Arial"/>
        </w:rPr>
      </w:pPr>
      <w:r w:rsidRPr="007223AA">
        <w:rPr>
          <w:rFonts w:ascii="Book Antiqua" w:hAnsi="Book Antiqua" w:cs="Arial"/>
        </w:rPr>
        <w:t xml:space="preserve">A REDD-compliant </w:t>
      </w:r>
      <w:r w:rsidR="00765C66">
        <w:rPr>
          <w:rFonts w:ascii="Book Antiqua" w:hAnsi="Book Antiqua" w:cs="Arial"/>
        </w:rPr>
        <w:t>BDS</w:t>
      </w:r>
      <w:r w:rsidRPr="007223AA">
        <w:rPr>
          <w:rFonts w:ascii="Book Antiqua" w:hAnsi="Book Antiqua" w:cs="Arial"/>
        </w:rPr>
        <w:t xml:space="preserve"> must therefore satisfy each of these key principles, and monitoring must provide the basis for demonstrating that each principle has been satisfactorily addressed.  This implies that there need to be four monitoring functions, as shown in Table 7.1, below:</w:t>
      </w:r>
    </w:p>
    <w:p w:rsidR="00351F2C" w:rsidRPr="00445F77" w:rsidRDefault="00351F2C" w:rsidP="00F05F95">
      <w:pPr>
        <w:spacing w:after="0" w:line="300" w:lineRule="exact"/>
        <w:jc w:val="both"/>
        <w:rPr>
          <w:rFonts w:ascii="Arial" w:hAnsi="Arial" w:cs="Arial"/>
          <w:sz w:val="24"/>
          <w:szCs w:val="24"/>
        </w:rPr>
      </w:pPr>
    </w:p>
    <w:p w:rsidR="00351F2C" w:rsidRPr="007223AA" w:rsidRDefault="00351F2C" w:rsidP="00522F5C">
      <w:pPr>
        <w:spacing w:after="0"/>
        <w:jc w:val="center"/>
        <w:rPr>
          <w:rFonts w:ascii="Book Antiqua" w:hAnsi="Book Antiqua" w:cs="Arial"/>
        </w:rPr>
      </w:pPr>
      <w:r w:rsidRPr="007223AA">
        <w:rPr>
          <w:rFonts w:ascii="Book Antiqua" w:hAnsi="Book Antiqua" w:cs="Arial"/>
          <w:b/>
        </w:rPr>
        <w:t xml:space="preserve">Table 7.1: Monitoring functions in a REDD-compliant </w:t>
      </w:r>
      <w:r w:rsidR="00765C66">
        <w:rPr>
          <w:rFonts w:ascii="Book Antiqua" w:hAnsi="Book Antiqua" w:cs="Arial"/>
          <w:b/>
        </w:rPr>
        <w:t>BDS</w:t>
      </w:r>
    </w:p>
    <w:tbl>
      <w:tblPr>
        <w:tblW w:w="0" w:type="auto"/>
        <w:tblInd w:w="12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3690"/>
        <w:gridCol w:w="2882"/>
      </w:tblGrid>
      <w:tr w:rsidR="00351F2C" w:rsidRPr="00445F77">
        <w:tc>
          <w:tcPr>
            <w:tcW w:w="3690" w:type="dxa"/>
            <w:shd w:val="clear" w:color="auto" w:fill="95B3D7"/>
          </w:tcPr>
          <w:p w:rsidR="00351F2C" w:rsidRPr="007223AA" w:rsidRDefault="00351F2C" w:rsidP="00177382">
            <w:pPr>
              <w:spacing w:after="0"/>
              <w:jc w:val="center"/>
              <w:rPr>
                <w:rFonts w:ascii="Book Antiqua" w:hAnsi="Book Antiqua" w:cs="Arial"/>
                <w:b/>
              </w:rPr>
            </w:pPr>
            <w:r w:rsidRPr="007223AA">
              <w:rPr>
                <w:rFonts w:ascii="Book Antiqua" w:hAnsi="Book Antiqua" w:cs="Arial"/>
                <w:b/>
              </w:rPr>
              <w:t>Type of monitoring</w:t>
            </w:r>
          </w:p>
        </w:tc>
        <w:tc>
          <w:tcPr>
            <w:tcW w:w="2882" w:type="dxa"/>
            <w:shd w:val="clear" w:color="auto" w:fill="95B3D7"/>
          </w:tcPr>
          <w:p w:rsidR="00351F2C" w:rsidRPr="007223AA" w:rsidRDefault="00351F2C" w:rsidP="00177382">
            <w:pPr>
              <w:spacing w:after="0"/>
              <w:jc w:val="center"/>
              <w:rPr>
                <w:rFonts w:ascii="Book Antiqua" w:hAnsi="Book Antiqua" w:cs="Arial"/>
                <w:b/>
              </w:rPr>
            </w:pPr>
            <w:r w:rsidRPr="007223AA">
              <w:rPr>
                <w:rFonts w:ascii="Book Antiqua" w:hAnsi="Book Antiqua" w:cs="Arial"/>
                <w:b/>
              </w:rPr>
              <w:t>Key principle addressed</w:t>
            </w:r>
          </w:p>
        </w:tc>
      </w:tr>
      <w:tr w:rsidR="00351F2C" w:rsidRPr="00445F77">
        <w:tc>
          <w:tcPr>
            <w:tcW w:w="3690" w:type="dxa"/>
            <w:shd w:val="clear" w:color="auto" w:fill="DBE5F1"/>
          </w:tcPr>
          <w:p w:rsidR="00351F2C" w:rsidRPr="007223AA" w:rsidRDefault="00351F2C" w:rsidP="00177382">
            <w:pPr>
              <w:spacing w:after="0"/>
              <w:rPr>
                <w:rFonts w:ascii="Book Antiqua" w:hAnsi="Book Antiqua" w:cs="Arial"/>
                <w:sz w:val="20"/>
                <w:szCs w:val="20"/>
              </w:rPr>
            </w:pPr>
            <w:r w:rsidRPr="007223AA">
              <w:rPr>
                <w:rFonts w:ascii="Book Antiqua" w:hAnsi="Book Antiqua" w:cs="Arial"/>
                <w:sz w:val="20"/>
                <w:szCs w:val="20"/>
              </w:rPr>
              <w:t>Monitoring of changes in emissions</w:t>
            </w:r>
          </w:p>
        </w:tc>
        <w:tc>
          <w:tcPr>
            <w:tcW w:w="2882" w:type="dxa"/>
            <w:shd w:val="clear" w:color="auto" w:fill="DBE5F1"/>
          </w:tcPr>
          <w:p w:rsidR="00351F2C" w:rsidRPr="007223AA" w:rsidRDefault="00351F2C" w:rsidP="00177382">
            <w:pPr>
              <w:spacing w:after="0"/>
              <w:rPr>
                <w:rFonts w:ascii="Book Antiqua" w:hAnsi="Book Antiqua" w:cs="Arial"/>
                <w:sz w:val="20"/>
                <w:szCs w:val="20"/>
              </w:rPr>
            </w:pPr>
            <w:r w:rsidRPr="007223AA">
              <w:rPr>
                <w:rFonts w:ascii="Book Antiqua" w:hAnsi="Book Antiqua" w:cs="Arial"/>
                <w:sz w:val="20"/>
                <w:szCs w:val="20"/>
              </w:rPr>
              <w:t>Performance-linkage</w:t>
            </w:r>
          </w:p>
        </w:tc>
      </w:tr>
      <w:tr w:rsidR="00351F2C" w:rsidRPr="00445F77">
        <w:tc>
          <w:tcPr>
            <w:tcW w:w="3690" w:type="dxa"/>
            <w:shd w:val="clear" w:color="auto" w:fill="DBE5F1"/>
          </w:tcPr>
          <w:p w:rsidR="00351F2C" w:rsidRPr="007223AA" w:rsidRDefault="00351F2C" w:rsidP="00177382">
            <w:pPr>
              <w:spacing w:after="0"/>
              <w:rPr>
                <w:rFonts w:ascii="Book Antiqua" w:hAnsi="Book Antiqua" w:cs="Arial"/>
                <w:sz w:val="20"/>
                <w:szCs w:val="20"/>
              </w:rPr>
            </w:pPr>
            <w:r w:rsidRPr="007223AA">
              <w:rPr>
                <w:rFonts w:ascii="Book Antiqua" w:hAnsi="Book Antiqua" w:cs="Arial"/>
                <w:sz w:val="20"/>
                <w:szCs w:val="20"/>
              </w:rPr>
              <w:t xml:space="preserve">Monitoring of </w:t>
            </w:r>
            <w:r w:rsidR="00480D3D">
              <w:rPr>
                <w:rFonts w:ascii="Book Antiqua" w:hAnsi="Book Antiqua" w:cs="Arial"/>
                <w:sz w:val="20"/>
                <w:szCs w:val="20"/>
              </w:rPr>
              <w:t>REDD+</w:t>
            </w:r>
            <w:r w:rsidRPr="007223AA">
              <w:rPr>
                <w:rFonts w:ascii="Book Antiqua" w:hAnsi="Book Antiqua" w:cs="Arial"/>
                <w:sz w:val="20"/>
                <w:szCs w:val="20"/>
              </w:rPr>
              <w:t xml:space="preserve"> interventions and actions</w:t>
            </w:r>
          </w:p>
        </w:tc>
        <w:tc>
          <w:tcPr>
            <w:tcW w:w="2882" w:type="dxa"/>
            <w:shd w:val="clear" w:color="auto" w:fill="DBE5F1"/>
          </w:tcPr>
          <w:p w:rsidR="00351F2C" w:rsidRPr="007223AA" w:rsidRDefault="00351F2C" w:rsidP="00177382">
            <w:pPr>
              <w:spacing w:after="0"/>
              <w:rPr>
                <w:rFonts w:ascii="Book Antiqua" w:hAnsi="Book Antiqua" w:cs="Arial"/>
                <w:sz w:val="20"/>
                <w:szCs w:val="20"/>
              </w:rPr>
            </w:pPr>
            <w:r w:rsidRPr="007223AA">
              <w:rPr>
                <w:rFonts w:ascii="Book Antiqua" w:hAnsi="Book Antiqua" w:cs="Arial"/>
                <w:sz w:val="20"/>
                <w:szCs w:val="20"/>
              </w:rPr>
              <w:t>Additionality</w:t>
            </w:r>
          </w:p>
        </w:tc>
      </w:tr>
      <w:tr w:rsidR="00351F2C" w:rsidRPr="00445F77">
        <w:tc>
          <w:tcPr>
            <w:tcW w:w="3690" w:type="dxa"/>
            <w:shd w:val="clear" w:color="auto" w:fill="DBE5F1"/>
          </w:tcPr>
          <w:p w:rsidR="00351F2C" w:rsidRPr="007223AA" w:rsidRDefault="00351F2C" w:rsidP="00177382">
            <w:pPr>
              <w:spacing w:after="0"/>
              <w:rPr>
                <w:rFonts w:ascii="Book Antiqua" w:hAnsi="Book Antiqua" w:cs="Arial"/>
                <w:sz w:val="20"/>
                <w:szCs w:val="20"/>
              </w:rPr>
            </w:pPr>
            <w:r w:rsidRPr="007223AA">
              <w:rPr>
                <w:rFonts w:ascii="Book Antiqua" w:hAnsi="Book Antiqua" w:cs="Arial"/>
                <w:sz w:val="20"/>
                <w:szCs w:val="20"/>
              </w:rPr>
              <w:t>Monitoring of revenue disbursement</w:t>
            </w:r>
          </w:p>
        </w:tc>
        <w:tc>
          <w:tcPr>
            <w:tcW w:w="2882" w:type="dxa"/>
            <w:shd w:val="clear" w:color="auto" w:fill="DBE5F1"/>
          </w:tcPr>
          <w:p w:rsidR="00351F2C" w:rsidRPr="007223AA" w:rsidRDefault="00351F2C" w:rsidP="00177382">
            <w:pPr>
              <w:spacing w:after="0"/>
              <w:rPr>
                <w:rFonts w:ascii="Book Antiqua" w:hAnsi="Book Antiqua" w:cs="Arial"/>
                <w:sz w:val="20"/>
                <w:szCs w:val="20"/>
              </w:rPr>
            </w:pPr>
            <w:r w:rsidRPr="007223AA">
              <w:rPr>
                <w:rFonts w:ascii="Book Antiqua" w:hAnsi="Book Antiqua" w:cs="Arial"/>
                <w:sz w:val="20"/>
                <w:szCs w:val="20"/>
              </w:rPr>
              <w:t>Equity</w:t>
            </w:r>
          </w:p>
        </w:tc>
      </w:tr>
      <w:tr w:rsidR="00351F2C" w:rsidRPr="00445F77">
        <w:tc>
          <w:tcPr>
            <w:tcW w:w="3690" w:type="dxa"/>
            <w:shd w:val="clear" w:color="auto" w:fill="DBE5F1"/>
          </w:tcPr>
          <w:p w:rsidR="00351F2C" w:rsidRPr="007223AA" w:rsidRDefault="00351F2C" w:rsidP="00177382">
            <w:pPr>
              <w:spacing w:after="0"/>
              <w:rPr>
                <w:rFonts w:ascii="Book Antiqua" w:hAnsi="Book Antiqua" w:cs="Arial"/>
                <w:sz w:val="20"/>
                <w:szCs w:val="20"/>
              </w:rPr>
            </w:pPr>
            <w:r w:rsidRPr="007223AA">
              <w:rPr>
                <w:rFonts w:ascii="Book Antiqua" w:hAnsi="Book Antiqua" w:cs="Arial"/>
                <w:sz w:val="20"/>
                <w:szCs w:val="20"/>
              </w:rPr>
              <w:t>Monitoring of financial transactions</w:t>
            </w:r>
          </w:p>
        </w:tc>
        <w:tc>
          <w:tcPr>
            <w:tcW w:w="2882" w:type="dxa"/>
            <w:shd w:val="clear" w:color="auto" w:fill="DBE5F1"/>
          </w:tcPr>
          <w:p w:rsidR="00351F2C" w:rsidRPr="007223AA" w:rsidRDefault="00351F2C" w:rsidP="00177382">
            <w:pPr>
              <w:spacing w:after="0"/>
              <w:rPr>
                <w:rFonts w:ascii="Book Antiqua" w:hAnsi="Book Antiqua" w:cs="Arial"/>
                <w:sz w:val="20"/>
                <w:szCs w:val="20"/>
              </w:rPr>
            </w:pPr>
            <w:r w:rsidRPr="007223AA">
              <w:rPr>
                <w:rFonts w:ascii="Book Antiqua" w:hAnsi="Book Antiqua" w:cs="Arial"/>
                <w:sz w:val="20"/>
                <w:szCs w:val="20"/>
              </w:rPr>
              <w:t>Transparency</w:t>
            </w:r>
          </w:p>
        </w:tc>
      </w:tr>
    </w:tbl>
    <w:p w:rsidR="00351F2C" w:rsidRPr="00445F77" w:rsidRDefault="00351F2C" w:rsidP="00522F5C">
      <w:pPr>
        <w:spacing w:after="0"/>
        <w:jc w:val="center"/>
        <w:rPr>
          <w:rFonts w:ascii="Arial" w:hAnsi="Arial" w:cs="Arial"/>
          <w:sz w:val="24"/>
          <w:szCs w:val="24"/>
        </w:rPr>
      </w:pPr>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rPr>
        <w:t xml:space="preserve">This chapter begins with a review of the principles and practices of effective monitoring, with particular reference to </w:t>
      </w:r>
      <w:r w:rsidR="00480D3D">
        <w:rPr>
          <w:rFonts w:ascii="Book Antiqua" w:hAnsi="Book Antiqua" w:cs="Arial"/>
        </w:rPr>
        <w:t>REDD+</w:t>
      </w:r>
      <w:r w:rsidRPr="007223AA">
        <w:rPr>
          <w:rFonts w:ascii="Book Antiqua" w:hAnsi="Book Antiqua" w:cs="Arial"/>
        </w:rPr>
        <w:t xml:space="preserve"> (Section 7.1).  Thereafter, </w:t>
      </w:r>
      <w:r w:rsidR="00894B32">
        <w:rPr>
          <w:rFonts w:ascii="Book Antiqua" w:hAnsi="Book Antiqua" w:cs="Arial"/>
        </w:rPr>
        <w:t xml:space="preserve">in section 7.2, </w:t>
      </w:r>
      <w:r w:rsidRPr="007223AA">
        <w:rPr>
          <w:rFonts w:ascii="Book Antiqua" w:hAnsi="Book Antiqua" w:cs="Arial"/>
        </w:rPr>
        <w:t xml:space="preserve">each of the four monitoring functions described in Table 7.1 is considered in the context of </w:t>
      </w:r>
      <w:smartTag w:uri="urn:schemas-microsoft-com:office:smarttags" w:element="country-region">
        <w:smartTag w:uri="urn:schemas-microsoft-com:office:smarttags" w:element="place">
          <w:r w:rsidRPr="007223AA">
            <w:rPr>
              <w:rFonts w:ascii="Book Antiqua" w:hAnsi="Book Antiqua" w:cs="Arial"/>
            </w:rPr>
            <w:t>Viet Nam</w:t>
          </w:r>
        </w:smartTag>
      </w:smartTag>
      <w:r w:rsidR="00894B32">
        <w:rPr>
          <w:rFonts w:ascii="Book Antiqua" w:hAnsi="Book Antiqua" w:cs="Arial"/>
        </w:rPr>
        <w:t>.</w:t>
      </w:r>
      <w:r w:rsidRPr="007223AA">
        <w:rPr>
          <w:rFonts w:ascii="Book Antiqua" w:hAnsi="Book Antiqua" w:cs="Arial"/>
        </w:rPr>
        <w:t xml:space="preserve">  </w:t>
      </w:r>
      <w:r w:rsidR="00894B32">
        <w:rPr>
          <w:rFonts w:ascii="Book Antiqua" w:hAnsi="Book Antiqua" w:cs="Arial"/>
        </w:rPr>
        <w:t xml:space="preserve"> Section 7.3 considers appropriate institutions to implement the required monitoring functions.  </w:t>
      </w:r>
      <w:r w:rsidRPr="007223AA">
        <w:rPr>
          <w:rFonts w:ascii="Book Antiqua" w:hAnsi="Book Antiqua" w:cs="Arial"/>
        </w:rPr>
        <w:t xml:space="preserve">Inevitably, any </w:t>
      </w:r>
      <w:r w:rsidR="00765C66">
        <w:rPr>
          <w:rFonts w:ascii="Book Antiqua" w:hAnsi="Book Antiqua" w:cs="Arial"/>
        </w:rPr>
        <w:t>BDS</w:t>
      </w:r>
      <w:r w:rsidRPr="007223AA">
        <w:rPr>
          <w:rFonts w:ascii="Book Antiqua" w:hAnsi="Book Antiqua" w:cs="Arial"/>
        </w:rPr>
        <w:t xml:space="preserve"> is going to generate cases of complaints and dissatisfaction</w:t>
      </w:r>
      <w:r w:rsidR="00894B32">
        <w:rPr>
          <w:rFonts w:ascii="Book Antiqua" w:hAnsi="Book Antiqua" w:cs="Arial"/>
        </w:rPr>
        <w:t>, so</w:t>
      </w:r>
      <w:r w:rsidRPr="007223AA">
        <w:rPr>
          <w:rFonts w:ascii="Book Antiqua" w:hAnsi="Book Antiqua" w:cs="Arial"/>
        </w:rPr>
        <w:t>, a comprehensive system has to allow for a process of recourse, and this is discussed in Section 7.</w:t>
      </w:r>
      <w:r w:rsidR="00894B32">
        <w:rPr>
          <w:rFonts w:ascii="Book Antiqua" w:hAnsi="Book Antiqua" w:cs="Arial"/>
        </w:rPr>
        <w:t>4</w:t>
      </w:r>
      <w:r w:rsidRPr="007223AA">
        <w:rPr>
          <w:rFonts w:ascii="Book Antiqua" w:hAnsi="Book Antiqua" w:cs="Arial"/>
        </w:rPr>
        <w:t xml:space="preserve">.  Finally, options and recommendations for developing and implementing effective REDD-compliant monitoring systems for </w:t>
      </w:r>
      <w:smartTag w:uri="urn:schemas-microsoft-com:office:smarttags" w:element="country-region">
        <w:smartTag w:uri="urn:schemas-microsoft-com:office:smarttags" w:element="place">
          <w:r w:rsidRPr="007223AA">
            <w:rPr>
              <w:rFonts w:ascii="Book Antiqua" w:hAnsi="Book Antiqua" w:cs="Arial"/>
            </w:rPr>
            <w:t>Viet Nam</w:t>
          </w:r>
        </w:smartTag>
      </w:smartTag>
      <w:r w:rsidRPr="007223AA">
        <w:rPr>
          <w:rFonts w:ascii="Book Antiqua" w:hAnsi="Book Antiqua" w:cs="Arial"/>
        </w:rPr>
        <w:t xml:space="preserve"> are presented in Section 7.</w:t>
      </w:r>
      <w:r w:rsidR="00894B32">
        <w:rPr>
          <w:rFonts w:ascii="Book Antiqua" w:hAnsi="Book Antiqua" w:cs="Arial"/>
        </w:rPr>
        <w:t>5</w:t>
      </w:r>
      <w:r w:rsidRPr="007223AA">
        <w:rPr>
          <w:rFonts w:ascii="Book Antiqua" w:hAnsi="Book Antiqua" w:cs="Arial"/>
        </w:rPr>
        <w:t>.</w:t>
      </w:r>
    </w:p>
    <w:p w:rsidR="00351F2C" w:rsidRPr="0094625E" w:rsidRDefault="00351F2C">
      <w:pPr>
        <w:spacing w:after="0" w:line="240" w:lineRule="auto"/>
        <w:rPr>
          <w:rFonts w:ascii="Arial" w:hAnsi="Arial" w:cs="Arial"/>
          <w:sz w:val="20"/>
          <w:szCs w:val="20"/>
        </w:rPr>
      </w:pPr>
    </w:p>
    <w:p w:rsidR="00351F2C" w:rsidRDefault="00351F2C" w:rsidP="00F05F95">
      <w:pPr>
        <w:spacing w:after="0" w:line="300" w:lineRule="exact"/>
        <w:jc w:val="both"/>
        <w:rPr>
          <w:rFonts w:ascii="Arial" w:hAnsi="Arial" w:cs="Arial"/>
          <w:sz w:val="20"/>
          <w:szCs w:val="20"/>
        </w:rPr>
      </w:pPr>
    </w:p>
    <w:p w:rsidR="0094625E" w:rsidRDefault="0094625E" w:rsidP="00F05F95">
      <w:pPr>
        <w:spacing w:after="0" w:line="300" w:lineRule="exact"/>
        <w:jc w:val="both"/>
        <w:rPr>
          <w:rFonts w:ascii="Arial" w:hAnsi="Arial" w:cs="Arial"/>
          <w:sz w:val="20"/>
          <w:szCs w:val="20"/>
        </w:rPr>
      </w:pPr>
    </w:p>
    <w:p w:rsidR="0094625E" w:rsidRDefault="0094625E" w:rsidP="00F05F95">
      <w:pPr>
        <w:spacing w:after="0" w:line="300" w:lineRule="exact"/>
        <w:jc w:val="both"/>
        <w:rPr>
          <w:rFonts w:ascii="Arial" w:hAnsi="Arial" w:cs="Arial"/>
          <w:sz w:val="20"/>
          <w:szCs w:val="20"/>
        </w:rPr>
      </w:pPr>
    </w:p>
    <w:p w:rsidR="0094625E" w:rsidRDefault="0094625E" w:rsidP="00F05F95">
      <w:pPr>
        <w:spacing w:after="0" w:line="300" w:lineRule="exact"/>
        <w:jc w:val="both"/>
        <w:rPr>
          <w:rFonts w:ascii="Arial" w:hAnsi="Arial" w:cs="Arial"/>
          <w:sz w:val="20"/>
          <w:szCs w:val="20"/>
        </w:rPr>
      </w:pPr>
    </w:p>
    <w:p w:rsidR="0094625E" w:rsidRDefault="0094625E" w:rsidP="00F05F95">
      <w:pPr>
        <w:spacing w:after="0" w:line="300" w:lineRule="exact"/>
        <w:jc w:val="both"/>
        <w:rPr>
          <w:rFonts w:ascii="Arial" w:hAnsi="Arial" w:cs="Arial"/>
          <w:sz w:val="20"/>
          <w:szCs w:val="20"/>
        </w:rPr>
      </w:pPr>
    </w:p>
    <w:p w:rsidR="0094625E" w:rsidRDefault="0094625E" w:rsidP="00F05F95">
      <w:pPr>
        <w:spacing w:after="0" w:line="300" w:lineRule="exact"/>
        <w:jc w:val="both"/>
        <w:rPr>
          <w:rFonts w:ascii="Arial" w:hAnsi="Arial" w:cs="Arial"/>
          <w:sz w:val="20"/>
          <w:szCs w:val="20"/>
        </w:rPr>
      </w:pPr>
    </w:p>
    <w:p w:rsidR="0094625E" w:rsidRPr="0094625E" w:rsidRDefault="0094625E" w:rsidP="00F05F95">
      <w:pPr>
        <w:spacing w:after="0" w:line="300" w:lineRule="exact"/>
        <w:jc w:val="both"/>
        <w:rPr>
          <w:rFonts w:ascii="Arial" w:hAnsi="Arial" w:cs="Arial"/>
          <w:sz w:val="20"/>
          <w:szCs w:val="20"/>
        </w:rPr>
      </w:pPr>
    </w:p>
    <w:p w:rsidR="00351F2C" w:rsidRPr="00445F77" w:rsidRDefault="00F12DE0" w:rsidP="007223AA">
      <w:pPr>
        <w:pStyle w:val="Heading2"/>
        <w:spacing w:before="0" w:after="0"/>
        <w:rPr>
          <w:rFonts w:ascii="Arial" w:hAnsi="Arial" w:cs="Arial"/>
          <w:sz w:val="24"/>
          <w:szCs w:val="24"/>
        </w:rPr>
      </w:pPr>
      <w:bookmarkStart w:id="454" w:name="_Toc243964448"/>
      <w:bookmarkStart w:id="455" w:name="_Toc243984159"/>
      <w:bookmarkStart w:id="456" w:name="_Toc244735128"/>
      <w:bookmarkStart w:id="457" w:name="_Toc244735673"/>
      <w:bookmarkStart w:id="458" w:name="_Toc252354750"/>
      <w:r w:rsidRPr="00445F77">
        <w:rPr>
          <w:rFonts w:ascii="Arial" w:hAnsi="Arial" w:cs="Arial"/>
          <w:sz w:val="24"/>
          <w:szCs w:val="24"/>
        </w:rPr>
        <w:t>7</w:t>
      </w:r>
      <w:r w:rsidR="00351F2C" w:rsidRPr="00445F77">
        <w:rPr>
          <w:rFonts w:ascii="Arial" w:hAnsi="Arial" w:cs="Arial"/>
          <w:sz w:val="24"/>
          <w:szCs w:val="24"/>
        </w:rPr>
        <w:t>.1 Principles</w:t>
      </w:r>
      <w:bookmarkEnd w:id="454"/>
      <w:bookmarkEnd w:id="455"/>
      <w:r w:rsidR="00351F2C" w:rsidRPr="00445F77">
        <w:rPr>
          <w:rFonts w:ascii="Arial" w:hAnsi="Arial" w:cs="Arial"/>
          <w:sz w:val="24"/>
          <w:szCs w:val="24"/>
        </w:rPr>
        <w:t xml:space="preserve"> and practices of effective monitoring</w:t>
      </w:r>
      <w:bookmarkEnd w:id="456"/>
      <w:bookmarkEnd w:id="457"/>
      <w:bookmarkEnd w:id="458"/>
    </w:p>
    <w:p w:rsidR="00351F2C" w:rsidRPr="00445F77" w:rsidRDefault="00351F2C" w:rsidP="007223AA">
      <w:pPr>
        <w:spacing w:after="0"/>
        <w:jc w:val="both"/>
        <w:rPr>
          <w:rFonts w:ascii="Arial" w:hAnsi="Arial" w:cs="Arial"/>
          <w:color w:val="1F497D"/>
          <w:sz w:val="24"/>
          <w:szCs w:val="24"/>
        </w:rPr>
      </w:pPr>
    </w:p>
    <w:p w:rsidR="00351F2C" w:rsidRPr="00445F77" w:rsidRDefault="00351F2C" w:rsidP="007223AA">
      <w:pPr>
        <w:pStyle w:val="Heading3"/>
        <w:spacing w:before="0" w:after="0"/>
        <w:rPr>
          <w:rFonts w:ascii="Arial" w:hAnsi="Arial" w:cs="Arial"/>
        </w:rPr>
      </w:pPr>
      <w:bookmarkStart w:id="459" w:name="_Toc244735129"/>
      <w:bookmarkStart w:id="460" w:name="_Toc249079586"/>
      <w:r w:rsidRPr="00445F77">
        <w:rPr>
          <w:rFonts w:ascii="Arial" w:hAnsi="Arial" w:cs="Arial"/>
        </w:rPr>
        <w:t>Principles of effective monitoring</w:t>
      </w:r>
      <w:bookmarkEnd w:id="459"/>
      <w:bookmarkEnd w:id="460"/>
    </w:p>
    <w:p w:rsidR="00351F2C" w:rsidRPr="007223AA" w:rsidRDefault="00351F2C" w:rsidP="007223AA">
      <w:pPr>
        <w:spacing w:after="0" w:line="300" w:lineRule="exact"/>
        <w:jc w:val="both"/>
        <w:rPr>
          <w:rFonts w:ascii="Book Antiqua" w:hAnsi="Book Antiqua" w:cs="Arial"/>
        </w:rPr>
      </w:pPr>
      <w:r w:rsidRPr="007223AA">
        <w:rPr>
          <w:rFonts w:ascii="Book Antiqua" w:hAnsi="Book Antiqua" w:cs="Arial"/>
        </w:rPr>
        <w:t xml:space="preserve">Different options are being discussed internationally for monitoring, reporting and verification that balance participation and ownership by stakeholders with enhanced transparency and accountability. The best approach will depend on the aims of the standards and the interests of the users. The draft </w:t>
      </w:r>
      <w:r w:rsidR="001B6D90">
        <w:rPr>
          <w:rFonts w:ascii="Book Antiqua" w:hAnsi="Book Antiqua" w:cs="Arial"/>
        </w:rPr>
        <w:t>REDD+</w:t>
      </w:r>
      <w:r w:rsidRPr="007223AA">
        <w:rPr>
          <w:rFonts w:ascii="Book Antiqua" w:hAnsi="Book Antiqua" w:cs="Arial"/>
        </w:rPr>
        <w:t xml:space="preserve"> Social &amp; Environmental Standards</w:t>
      </w:r>
      <w:r w:rsidRPr="007223AA">
        <w:rPr>
          <w:rStyle w:val="FootnoteReference"/>
          <w:rFonts w:ascii="Book Antiqua" w:hAnsi="Book Antiqua" w:cs="Arial"/>
        </w:rPr>
        <w:footnoteReference w:id="45"/>
      </w:r>
      <w:r w:rsidRPr="007223AA">
        <w:rPr>
          <w:rFonts w:ascii="Book Antiqua" w:hAnsi="Book Antiqua" w:cs="Arial"/>
        </w:rPr>
        <w:t xml:space="preserve"> from the Climate Community and Biodiversity Alliance (CCBA) proposes some principles. These include some that relate to Benefit Sharing:</w:t>
      </w:r>
    </w:p>
    <w:p w:rsidR="00351F2C" w:rsidRPr="007223AA" w:rsidRDefault="00351F2C" w:rsidP="00F05F95">
      <w:pPr>
        <w:spacing w:after="0" w:line="300" w:lineRule="exact"/>
        <w:jc w:val="both"/>
        <w:rPr>
          <w:rFonts w:ascii="Book Antiqua" w:hAnsi="Book Antiqua" w:cs="Arial"/>
        </w:rPr>
      </w:pPr>
    </w:p>
    <w:p w:rsidR="00351F2C" w:rsidRPr="007223AA" w:rsidRDefault="00351F2C" w:rsidP="00605C77">
      <w:pPr>
        <w:spacing w:after="0" w:line="300" w:lineRule="exact"/>
        <w:ind w:left="1440" w:hanging="1440"/>
        <w:jc w:val="both"/>
        <w:rPr>
          <w:rFonts w:ascii="Book Antiqua" w:hAnsi="Book Antiqua" w:cs="Arial"/>
        </w:rPr>
      </w:pPr>
      <w:r w:rsidRPr="007223AA">
        <w:rPr>
          <w:rFonts w:ascii="Book Antiqua" w:hAnsi="Book Antiqua" w:cs="Arial"/>
        </w:rPr>
        <w:t xml:space="preserve">Principle 2: </w:t>
      </w:r>
      <w:r w:rsidR="00605C77">
        <w:rPr>
          <w:rFonts w:ascii="Book Antiqua" w:hAnsi="Book Antiqua" w:cs="Arial"/>
        </w:rPr>
        <w:tab/>
      </w:r>
      <w:r w:rsidRPr="007223AA">
        <w:rPr>
          <w:rFonts w:ascii="Book Antiqua" w:hAnsi="Book Antiqua" w:cs="Arial"/>
        </w:rPr>
        <w:t xml:space="preserve">The benefits of the </w:t>
      </w:r>
      <w:r w:rsidR="001B6D90">
        <w:rPr>
          <w:rFonts w:ascii="Book Antiqua" w:hAnsi="Book Antiqua" w:cs="Arial"/>
        </w:rPr>
        <w:t>REDD+</w:t>
      </w:r>
      <w:r w:rsidRPr="007223AA">
        <w:rPr>
          <w:rFonts w:ascii="Book Antiqua" w:hAnsi="Book Antiqua" w:cs="Arial"/>
        </w:rPr>
        <w:t xml:space="preserve"> </w:t>
      </w:r>
      <w:r w:rsidR="00480D3D">
        <w:rPr>
          <w:rFonts w:ascii="Book Antiqua" w:hAnsi="Book Antiqua" w:cs="Arial"/>
        </w:rPr>
        <w:t>programme</w:t>
      </w:r>
      <w:r w:rsidRPr="007223AA">
        <w:rPr>
          <w:rFonts w:ascii="Book Antiqua" w:hAnsi="Book Antiqua" w:cs="Arial"/>
        </w:rPr>
        <w:t xml:space="preserve"> are shared equitably among all stakeholders and rights holders.</w:t>
      </w:r>
    </w:p>
    <w:p w:rsidR="00351F2C" w:rsidRPr="007223AA" w:rsidRDefault="00351F2C" w:rsidP="00605C77">
      <w:pPr>
        <w:spacing w:after="0" w:line="300" w:lineRule="exact"/>
        <w:ind w:left="1440" w:hanging="1440"/>
        <w:jc w:val="both"/>
        <w:rPr>
          <w:rFonts w:ascii="Book Antiqua" w:hAnsi="Book Antiqua" w:cs="Arial"/>
        </w:rPr>
      </w:pPr>
      <w:r w:rsidRPr="007223AA">
        <w:rPr>
          <w:rFonts w:ascii="Book Antiqua" w:hAnsi="Book Antiqua" w:cs="Arial"/>
        </w:rPr>
        <w:t xml:space="preserve">Principle 3: </w:t>
      </w:r>
      <w:r w:rsidR="00605C77">
        <w:rPr>
          <w:rFonts w:ascii="Book Antiqua" w:hAnsi="Book Antiqua" w:cs="Arial"/>
        </w:rPr>
        <w:tab/>
      </w:r>
      <w:r w:rsidRPr="007223AA">
        <w:rPr>
          <w:rFonts w:ascii="Book Antiqua" w:hAnsi="Book Antiqua" w:cs="Arial"/>
        </w:rPr>
        <w:t xml:space="preserve">The </w:t>
      </w:r>
      <w:r w:rsidR="001B6D90">
        <w:rPr>
          <w:rFonts w:ascii="Book Antiqua" w:hAnsi="Book Antiqua" w:cs="Arial"/>
        </w:rPr>
        <w:t>REDD+</w:t>
      </w:r>
      <w:r w:rsidRPr="007223AA">
        <w:rPr>
          <w:rFonts w:ascii="Book Antiqua" w:hAnsi="Book Antiqua" w:cs="Arial"/>
        </w:rPr>
        <w:t xml:space="preserve"> </w:t>
      </w:r>
      <w:r w:rsidR="00480D3D">
        <w:rPr>
          <w:rFonts w:ascii="Book Antiqua" w:hAnsi="Book Antiqua" w:cs="Arial"/>
        </w:rPr>
        <w:t>programme</w:t>
      </w:r>
      <w:r w:rsidRPr="007223AA">
        <w:rPr>
          <w:rFonts w:ascii="Book Antiqua" w:hAnsi="Book Antiqua" w:cs="Arial"/>
        </w:rPr>
        <w:t xml:space="preserve"> contributes to sustainable livelihoods and poverty alleviation for forest-dependent peoples.</w:t>
      </w:r>
    </w:p>
    <w:p w:rsidR="00351F2C" w:rsidRPr="007223AA" w:rsidRDefault="00351F2C" w:rsidP="00605C77">
      <w:pPr>
        <w:spacing w:after="0" w:line="300" w:lineRule="exact"/>
        <w:ind w:left="1440" w:hanging="1440"/>
        <w:jc w:val="both"/>
        <w:rPr>
          <w:rFonts w:ascii="Book Antiqua" w:hAnsi="Book Antiqua" w:cs="Arial"/>
        </w:rPr>
      </w:pPr>
      <w:r w:rsidRPr="007223AA">
        <w:rPr>
          <w:rFonts w:ascii="Book Antiqua" w:hAnsi="Book Antiqua" w:cs="Arial"/>
        </w:rPr>
        <w:t xml:space="preserve">Principle 4: </w:t>
      </w:r>
      <w:r w:rsidR="00605C77">
        <w:rPr>
          <w:rFonts w:ascii="Book Antiqua" w:hAnsi="Book Antiqua" w:cs="Arial"/>
        </w:rPr>
        <w:tab/>
      </w:r>
      <w:r w:rsidRPr="007223AA">
        <w:rPr>
          <w:rFonts w:ascii="Book Antiqua" w:hAnsi="Book Antiqua" w:cs="Arial"/>
        </w:rPr>
        <w:t xml:space="preserve">The </w:t>
      </w:r>
      <w:r w:rsidR="001B6D90">
        <w:rPr>
          <w:rFonts w:ascii="Book Antiqua" w:hAnsi="Book Antiqua" w:cs="Arial"/>
        </w:rPr>
        <w:t>REDD+</w:t>
      </w:r>
      <w:r w:rsidRPr="007223AA">
        <w:rPr>
          <w:rFonts w:ascii="Book Antiqua" w:hAnsi="Book Antiqua" w:cs="Arial"/>
        </w:rPr>
        <w:t xml:space="preserve"> </w:t>
      </w:r>
      <w:r w:rsidR="00480D3D">
        <w:rPr>
          <w:rFonts w:ascii="Book Antiqua" w:hAnsi="Book Antiqua" w:cs="Arial"/>
        </w:rPr>
        <w:t>programme</w:t>
      </w:r>
      <w:r w:rsidRPr="007223AA">
        <w:rPr>
          <w:rFonts w:ascii="Book Antiqua" w:hAnsi="Book Antiqua" w:cs="Arial"/>
        </w:rPr>
        <w:t xml:space="preserve"> contributes to broader sustainable development and good governance objectives.</w:t>
      </w:r>
    </w:p>
    <w:p w:rsidR="00351F2C" w:rsidRPr="007223AA" w:rsidRDefault="00351F2C" w:rsidP="00605C77">
      <w:pPr>
        <w:spacing w:after="0" w:line="300" w:lineRule="exact"/>
        <w:ind w:left="1440" w:hanging="1440"/>
        <w:jc w:val="both"/>
        <w:rPr>
          <w:rFonts w:ascii="Book Antiqua" w:hAnsi="Book Antiqua" w:cs="Arial"/>
        </w:rPr>
      </w:pPr>
      <w:r w:rsidRPr="007223AA">
        <w:rPr>
          <w:rFonts w:ascii="Book Antiqua" w:hAnsi="Book Antiqua" w:cs="Arial"/>
        </w:rPr>
        <w:t xml:space="preserve">Principle 6: </w:t>
      </w:r>
      <w:r w:rsidR="00605C77">
        <w:rPr>
          <w:rFonts w:ascii="Book Antiqua" w:hAnsi="Book Antiqua" w:cs="Arial"/>
        </w:rPr>
        <w:tab/>
      </w:r>
      <w:r w:rsidRPr="007223AA">
        <w:rPr>
          <w:rFonts w:ascii="Book Antiqua" w:hAnsi="Book Antiqua" w:cs="Arial"/>
        </w:rPr>
        <w:t xml:space="preserve">All relevant stakeholders and rights holders are able to participate fully and effectively in the </w:t>
      </w:r>
      <w:r w:rsidR="001B6D90">
        <w:rPr>
          <w:rFonts w:ascii="Book Antiqua" w:hAnsi="Book Antiqua" w:cs="Arial"/>
        </w:rPr>
        <w:t>REDD+</w:t>
      </w:r>
      <w:r w:rsidRPr="007223AA">
        <w:rPr>
          <w:rFonts w:ascii="Book Antiqua" w:hAnsi="Book Antiqua" w:cs="Arial"/>
        </w:rPr>
        <w:t xml:space="preserve"> </w:t>
      </w:r>
      <w:r w:rsidR="00480D3D">
        <w:rPr>
          <w:rFonts w:ascii="Book Antiqua" w:hAnsi="Book Antiqua" w:cs="Arial"/>
        </w:rPr>
        <w:t>programme</w:t>
      </w:r>
      <w:r w:rsidRPr="007223AA">
        <w:rPr>
          <w:rFonts w:ascii="Book Antiqua" w:hAnsi="Book Antiqua" w:cs="Arial"/>
        </w:rPr>
        <w:t>.</w:t>
      </w:r>
    </w:p>
    <w:p w:rsidR="00351F2C" w:rsidRPr="007223AA" w:rsidRDefault="00351F2C" w:rsidP="00605C77">
      <w:pPr>
        <w:spacing w:after="0" w:line="300" w:lineRule="exact"/>
        <w:ind w:left="1440" w:hanging="1440"/>
        <w:jc w:val="both"/>
        <w:rPr>
          <w:rFonts w:ascii="Book Antiqua" w:hAnsi="Book Antiqua" w:cs="Arial"/>
        </w:rPr>
      </w:pPr>
      <w:r w:rsidRPr="007223AA">
        <w:rPr>
          <w:rFonts w:ascii="Book Antiqua" w:hAnsi="Book Antiqua" w:cs="Arial"/>
        </w:rPr>
        <w:t xml:space="preserve">Principle 7: </w:t>
      </w:r>
      <w:r w:rsidR="00605C77">
        <w:rPr>
          <w:rFonts w:ascii="Book Antiqua" w:hAnsi="Book Antiqua" w:cs="Arial"/>
        </w:rPr>
        <w:tab/>
      </w:r>
      <w:r w:rsidRPr="007223AA">
        <w:rPr>
          <w:rFonts w:ascii="Book Antiqua" w:hAnsi="Book Antiqua" w:cs="Arial"/>
        </w:rPr>
        <w:t xml:space="preserve">All stakeholders and rights holders have timely access to appropriate and accurate information to enable good governance of the </w:t>
      </w:r>
      <w:r w:rsidR="001B6D90">
        <w:rPr>
          <w:rFonts w:ascii="Book Antiqua" w:hAnsi="Book Antiqua" w:cs="Arial"/>
        </w:rPr>
        <w:t>REDD+</w:t>
      </w:r>
      <w:r w:rsidRPr="007223AA">
        <w:rPr>
          <w:rFonts w:ascii="Book Antiqua" w:hAnsi="Book Antiqua" w:cs="Arial"/>
        </w:rPr>
        <w:t xml:space="preserve"> </w:t>
      </w:r>
      <w:r w:rsidR="00480D3D">
        <w:rPr>
          <w:rFonts w:ascii="Book Antiqua" w:hAnsi="Book Antiqua" w:cs="Arial"/>
        </w:rPr>
        <w:t>programme</w:t>
      </w:r>
      <w:r w:rsidRPr="007223AA">
        <w:rPr>
          <w:rFonts w:ascii="Book Antiqua" w:hAnsi="Book Antiqua" w:cs="Arial"/>
        </w:rPr>
        <w:t>.</w:t>
      </w:r>
    </w:p>
    <w:p w:rsidR="00351F2C" w:rsidRPr="007223AA" w:rsidRDefault="00351F2C" w:rsidP="00F05F95">
      <w:pPr>
        <w:spacing w:after="0" w:line="300" w:lineRule="exact"/>
        <w:jc w:val="both"/>
        <w:rPr>
          <w:rFonts w:ascii="Book Antiqua" w:hAnsi="Book Antiqua" w:cs="Arial"/>
        </w:rPr>
      </w:pPr>
    </w:p>
    <w:p w:rsidR="007223AA" w:rsidRDefault="00351F2C" w:rsidP="00605C77">
      <w:pPr>
        <w:spacing w:after="0" w:line="300" w:lineRule="exact"/>
        <w:jc w:val="both"/>
        <w:rPr>
          <w:rFonts w:ascii="Book Antiqua" w:hAnsi="Book Antiqua" w:cs="Arial"/>
        </w:rPr>
      </w:pPr>
      <w:r w:rsidRPr="007223AA">
        <w:rPr>
          <w:rFonts w:ascii="Book Antiqua" w:hAnsi="Book Antiqua" w:cs="Arial"/>
        </w:rPr>
        <w:t xml:space="preserve">Monitoring of a </w:t>
      </w:r>
      <w:r w:rsidR="00480D3D">
        <w:rPr>
          <w:rFonts w:ascii="Book Antiqua" w:hAnsi="Book Antiqua" w:cs="Arial"/>
        </w:rPr>
        <w:t>REDD+</w:t>
      </w:r>
      <w:r w:rsidRPr="007223AA">
        <w:rPr>
          <w:rFonts w:ascii="Book Antiqua" w:hAnsi="Book Antiqua" w:cs="Arial"/>
        </w:rPr>
        <w:t xml:space="preserve"> process may have to check for the implementation of principles such as these, and the related criteria and indicators, against the appropriate metrics. Principles 2, 3, 6 and 7 can conceivably have monitoring processes that relate to them and would require the consideration, development and implementation of suitable measures and metrics. There is also the requirement to identify the options with respect to those who might do monitoring. </w:t>
      </w:r>
    </w:p>
    <w:p w:rsidR="007223AA" w:rsidRDefault="007223AA" w:rsidP="00605C77">
      <w:pPr>
        <w:spacing w:after="0" w:line="300" w:lineRule="exact"/>
        <w:jc w:val="both"/>
        <w:rPr>
          <w:rFonts w:ascii="Book Antiqua" w:hAnsi="Book Antiqua" w:cs="Arial"/>
        </w:rPr>
      </w:pPr>
    </w:p>
    <w:p w:rsidR="00351F2C" w:rsidRPr="007223AA" w:rsidRDefault="00351F2C" w:rsidP="00605C77">
      <w:pPr>
        <w:spacing w:after="0" w:line="300" w:lineRule="exact"/>
        <w:jc w:val="both"/>
        <w:rPr>
          <w:rFonts w:ascii="Book Antiqua" w:hAnsi="Book Antiqua" w:cs="Arial"/>
        </w:rPr>
      </w:pPr>
      <w:r w:rsidRPr="007223AA">
        <w:rPr>
          <w:rFonts w:ascii="Book Antiqua" w:hAnsi="Book Antiqua" w:cs="Arial"/>
        </w:rPr>
        <w:t xml:space="preserve">Eventually, if not immediately, the types of monitoring and implementation that the commercial markets and private sector demand will need to be incorporated in a comprehensive monitoring programme.  Experience from payments for environmental services demonstrates that the reach of commercial interests has been generally limited to payments for products, volumes of water for example, at the point of take-off. The reporting requirements for the private sector then took over ‘above’ that take-off point. Carbon will rest </w:t>
      </w:r>
      <w:r w:rsidRPr="0094625E">
        <w:rPr>
          <w:rFonts w:ascii="Book Antiqua" w:hAnsi="Book Antiqua" w:cs="Arial"/>
          <w:i/>
        </w:rPr>
        <w:t>in situ</w:t>
      </w:r>
      <w:r w:rsidRPr="007223AA">
        <w:rPr>
          <w:rFonts w:ascii="Book Antiqua" w:hAnsi="Book Antiqua" w:cs="Arial"/>
        </w:rPr>
        <w:t xml:space="preserve"> and it may be that the requirements for monitoring to meet commercial comfort levels will extend to that ‘take-off’ point being the local ground level. Reporting on implementation may also be needed by commercial actors. </w:t>
      </w:r>
    </w:p>
    <w:p w:rsidR="00351F2C" w:rsidRPr="007223AA" w:rsidRDefault="00351F2C" w:rsidP="00605C77">
      <w:pPr>
        <w:pStyle w:val="Heading3"/>
        <w:spacing w:before="0" w:after="0"/>
        <w:rPr>
          <w:rFonts w:ascii="Book Antiqua" w:hAnsi="Book Antiqua" w:cs="Arial"/>
          <w:sz w:val="22"/>
          <w:szCs w:val="22"/>
        </w:rPr>
      </w:pPr>
      <w:bookmarkStart w:id="461" w:name="_Toc243964449"/>
      <w:bookmarkStart w:id="462" w:name="_Toc243984160"/>
    </w:p>
    <w:p w:rsidR="00351F2C" w:rsidRPr="007223AA" w:rsidRDefault="00C47C3B" w:rsidP="00605C77">
      <w:pPr>
        <w:spacing w:after="0" w:line="300" w:lineRule="exact"/>
        <w:jc w:val="both"/>
        <w:rPr>
          <w:rFonts w:ascii="Book Antiqua" w:hAnsi="Book Antiqua" w:cs="Arial"/>
        </w:rPr>
      </w:pPr>
      <w:r w:rsidRPr="00C47C3B">
        <w:rPr>
          <w:rFonts w:ascii="Book Antiqua" w:hAnsi="Book Antiqua" w:cs="Arial"/>
          <w:noProof/>
          <w:lang w:eastAsia="zh-TW"/>
        </w:rPr>
        <w:lastRenderedPageBreak/>
        <w:pict>
          <v:shape id="_x0000_s1560" type="#_x0000_t202" style="position:absolute;left:0;text-align:left;margin-left:0;margin-top:49.85pt;width:285.35pt;height:375.4pt;z-index:251635200;mso-position-horizontal-relative:margin;mso-position-vertical-relative:margin;mso-width-relative:margin;mso-height-relative:margin" fillcolor="#dbe5f1">
            <v:shadow on="t" color="#95b3d7" offset="3pt,4pt" offset2="2pt,4pt"/>
            <v:textbox style="mso-next-textbox:#_x0000_s1560">
              <w:txbxContent>
                <w:p w:rsidR="00B4351F" w:rsidRPr="001614DE" w:rsidRDefault="00B4351F" w:rsidP="007223AA">
                  <w:pPr>
                    <w:pStyle w:val="Heading3"/>
                    <w:spacing w:before="0" w:after="0" w:line="240" w:lineRule="auto"/>
                    <w:rPr>
                      <w:b/>
                      <w:i w:val="0"/>
                      <w:sz w:val="20"/>
                      <w:szCs w:val="20"/>
                    </w:rPr>
                  </w:pPr>
                  <w:bookmarkStart w:id="463" w:name="_Toc244586236"/>
                  <w:bookmarkStart w:id="464" w:name="_Toc244697424"/>
                  <w:bookmarkStart w:id="465" w:name="_Toc244697540"/>
                  <w:bookmarkStart w:id="466" w:name="_Toc244735130"/>
                  <w:bookmarkStart w:id="467" w:name="_Toc249079587"/>
                  <w:smartTag w:uri="urn:schemas-microsoft-com:office:smarttags" w:element="address">
                    <w:smartTag w:uri="urn:schemas-microsoft-com:office:smarttags" w:element="Street">
                      <w:r w:rsidRPr="001614DE">
                        <w:rPr>
                          <w:b/>
                          <w:i w:val="0"/>
                          <w:sz w:val="20"/>
                          <w:szCs w:val="20"/>
                        </w:rPr>
                        <w:t>Box</w:t>
                      </w:r>
                    </w:smartTag>
                    <w:r w:rsidRPr="001614DE">
                      <w:rPr>
                        <w:b/>
                        <w:i w:val="0"/>
                        <w:sz w:val="20"/>
                        <w:szCs w:val="20"/>
                      </w:rPr>
                      <w:t xml:space="preserve"> 7.1</w:t>
                    </w:r>
                  </w:smartTag>
                  <w:r w:rsidRPr="001614DE">
                    <w:rPr>
                      <w:b/>
                      <w:i w:val="0"/>
                      <w:sz w:val="20"/>
                      <w:szCs w:val="20"/>
                    </w:rPr>
                    <w:t>: Principles of monitoring</w:t>
                  </w:r>
                  <w:bookmarkEnd w:id="463"/>
                  <w:bookmarkEnd w:id="464"/>
                  <w:bookmarkEnd w:id="465"/>
                  <w:bookmarkEnd w:id="466"/>
                  <w:bookmarkEnd w:id="467"/>
                </w:p>
                <w:p w:rsidR="00B4351F" w:rsidRPr="0012170C" w:rsidRDefault="00B4351F" w:rsidP="007223AA">
                  <w:pPr>
                    <w:pStyle w:val="Heading3"/>
                    <w:spacing w:before="0" w:after="0" w:line="240" w:lineRule="auto"/>
                    <w:rPr>
                      <w:rFonts w:ascii="Calibri" w:hAnsi="Calibri"/>
                      <w:sz w:val="20"/>
                      <w:szCs w:val="20"/>
                    </w:rPr>
                  </w:pPr>
                </w:p>
                <w:p w:rsidR="00B4351F" w:rsidRPr="0012170C" w:rsidRDefault="00B4351F" w:rsidP="007223AA">
                  <w:pPr>
                    <w:pStyle w:val="Heading3"/>
                    <w:spacing w:before="0" w:after="0" w:line="240" w:lineRule="auto"/>
                    <w:rPr>
                      <w:rFonts w:ascii="Calibri" w:hAnsi="Calibri"/>
                      <w:sz w:val="20"/>
                      <w:szCs w:val="20"/>
                    </w:rPr>
                  </w:pPr>
                  <w:bookmarkStart w:id="468" w:name="_Toc244586237"/>
                  <w:bookmarkStart w:id="469" w:name="_Toc244697425"/>
                  <w:bookmarkStart w:id="470" w:name="_Toc244697541"/>
                  <w:bookmarkStart w:id="471" w:name="_Toc244735131"/>
                  <w:bookmarkStart w:id="472" w:name="_Toc249079588"/>
                  <w:r w:rsidRPr="0012170C">
                    <w:rPr>
                      <w:rFonts w:ascii="Calibri" w:hAnsi="Calibri"/>
                      <w:sz w:val="20"/>
                      <w:szCs w:val="20"/>
                    </w:rPr>
                    <w:t>Overall Principles:</w:t>
                  </w:r>
                  <w:bookmarkEnd w:id="468"/>
                  <w:bookmarkEnd w:id="469"/>
                  <w:bookmarkEnd w:id="470"/>
                  <w:bookmarkEnd w:id="471"/>
                  <w:bookmarkEnd w:id="472"/>
                </w:p>
                <w:p w:rsidR="00B4351F" w:rsidRPr="0012170C" w:rsidRDefault="00B4351F" w:rsidP="008227FD">
                  <w:pPr>
                    <w:numPr>
                      <w:ilvl w:val="0"/>
                      <w:numId w:val="61"/>
                    </w:numPr>
                    <w:spacing w:after="0" w:line="240" w:lineRule="auto"/>
                    <w:ind w:left="90" w:hanging="180"/>
                    <w:jc w:val="both"/>
                    <w:rPr>
                      <w:rFonts w:cs="Arial"/>
                      <w:sz w:val="20"/>
                      <w:szCs w:val="20"/>
                    </w:rPr>
                  </w:pPr>
                  <w:r w:rsidRPr="0012170C">
                    <w:rPr>
                      <w:rFonts w:cs="Arial"/>
                      <w:sz w:val="20"/>
                      <w:szCs w:val="20"/>
                    </w:rPr>
                    <w:t xml:space="preserve">International REDD revenues will be distributed on a transparent, clearly explained and understood and equitable basis. </w:t>
                  </w:r>
                </w:p>
                <w:p w:rsidR="00B4351F" w:rsidRPr="0012170C" w:rsidRDefault="00B4351F" w:rsidP="008227FD">
                  <w:pPr>
                    <w:numPr>
                      <w:ilvl w:val="0"/>
                      <w:numId w:val="61"/>
                    </w:numPr>
                    <w:spacing w:after="0" w:line="240" w:lineRule="auto"/>
                    <w:ind w:left="90" w:hanging="180"/>
                    <w:jc w:val="both"/>
                    <w:rPr>
                      <w:rFonts w:cs="Arial"/>
                      <w:sz w:val="20"/>
                      <w:szCs w:val="20"/>
                    </w:rPr>
                  </w:pPr>
                  <w:r w:rsidRPr="0012170C">
                    <w:rPr>
                      <w:rFonts w:cs="Arial"/>
                      <w:sz w:val="20"/>
                      <w:szCs w:val="20"/>
                    </w:rPr>
                    <w:t>The incentives directed to influencing the practices and behaviour should be provided at the lowest feasible level, down to local communities and local government as much as possible.</w:t>
                  </w:r>
                </w:p>
                <w:p w:rsidR="00B4351F" w:rsidRPr="0012170C" w:rsidRDefault="00B4351F" w:rsidP="008227FD">
                  <w:pPr>
                    <w:numPr>
                      <w:ilvl w:val="0"/>
                      <w:numId w:val="61"/>
                    </w:numPr>
                    <w:spacing w:after="0" w:line="240" w:lineRule="auto"/>
                    <w:ind w:left="90" w:hanging="180"/>
                    <w:jc w:val="both"/>
                    <w:rPr>
                      <w:rFonts w:cs="Arial"/>
                      <w:sz w:val="20"/>
                      <w:szCs w:val="20"/>
                    </w:rPr>
                  </w:pPr>
                  <w:r w:rsidRPr="0012170C">
                    <w:rPr>
                      <w:rFonts w:cs="Arial"/>
                      <w:sz w:val="20"/>
                      <w:szCs w:val="20"/>
                    </w:rPr>
                    <w:t>Revenues retained by central government and sub-national entities will only cover their costs of administering the revenue distribution system.</w:t>
                  </w:r>
                </w:p>
                <w:p w:rsidR="00B4351F" w:rsidRPr="0012170C" w:rsidRDefault="00B4351F" w:rsidP="008227FD">
                  <w:pPr>
                    <w:numPr>
                      <w:ilvl w:val="0"/>
                      <w:numId w:val="61"/>
                    </w:numPr>
                    <w:spacing w:after="0" w:line="240" w:lineRule="auto"/>
                    <w:ind w:left="90" w:hanging="180"/>
                    <w:jc w:val="both"/>
                    <w:rPr>
                      <w:rFonts w:cs="Arial"/>
                      <w:sz w:val="20"/>
                      <w:szCs w:val="20"/>
                    </w:rPr>
                  </w:pPr>
                  <w:r w:rsidRPr="0012170C">
                    <w:rPr>
                      <w:rFonts w:cs="Arial"/>
                      <w:sz w:val="20"/>
                      <w:szCs w:val="20"/>
                    </w:rPr>
                    <w:t>REDD revenues contribute to sustainable livelihoods and poverty alleviation for forest-dependent peoples.</w:t>
                  </w:r>
                </w:p>
                <w:p w:rsidR="00B4351F" w:rsidRPr="0012170C" w:rsidRDefault="00B4351F" w:rsidP="008227FD">
                  <w:pPr>
                    <w:numPr>
                      <w:ilvl w:val="0"/>
                      <w:numId w:val="61"/>
                    </w:numPr>
                    <w:spacing w:after="0" w:line="240" w:lineRule="auto"/>
                    <w:ind w:left="90" w:hanging="180"/>
                    <w:jc w:val="both"/>
                    <w:rPr>
                      <w:rFonts w:cs="Arial"/>
                      <w:sz w:val="20"/>
                      <w:szCs w:val="20"/>
                    </w:rPr>
                  </w:pPr>
                  <w:r w:rsidRPr="0012170C">
                    <w:rPr>
                      <w:rFonts w:cs="Arial"/>
                      <w:sz w:val="20"/>
                      <w:szCs w:val="20"/>
                    </w:rPr>
                    <w:t>All relevant stakeholders and rights holders are able to participate fully and effectively in REDD.</w:t>
                  </w:r>
                </w:p>
                <w:p w:rsidR="00B4351F" w:rsidRPr="0012170C" w:rsidRDefault="00B4351F" w:rsidP="008227FD">
                  <w:pPr>
                    <w:numPr>
                      <w:ilvl w:val="0"/>
                      <w:numId w:val="61"/>
                    </w:numPr>
                    <w:spacing w:after="0" w:line="240" w:lineRule="auto"/>
                    <w:ind w:left="90" w:hanging="180"/>
                    <w:jc w:val="both"/>
                    <w:rPr>
                      <w:rFonts w:cs="Arial"/>
                      <w:sz w:val="20"/>
                      <w:szCs w:val="20"/>
                    </w:rPr>
                  </w:pPr>
                  <w:r w:rsidRPr="0012170C">
                    <w:rPr>
                      <w:rFonts w:cs="Arial"/>
                      <w:sz w:val="20"/>
                      <w:szCs w:val="20"/>
                    </w:rPr>
                    <w:t>All stakeholders and rights holders have timely access to appropriate and accurate information to enable good governance of the REDD.</w:t>
                  </w:r>
                </w:p>
                <w:p w:rsidR="00B4351F" w:rsidRPr="0012170C" w:rsidRDefault="00B4351F" w:rsidP="008227FD">
                  <w:pPr>
                    <w:numPr>
                      <w:ilvl w:val="0"/>
                      <w:numId w:val="61"/>
                    </w:numPr>
                    <w:spacing w:after="0" w:line="240" w:lineRule="auto"/>
                    <w:ind w:left="90" w:hanging="180"/>
                    <w:jc w:val="both"/>
                    <w:rPr>
                      <w:rFonts w:cs="Arial"/>
                      <w:sz w:val="20"/>
                      <w:szCs w:val="20"/>
                    </w:rPr>
                  </w:pPr>
                  <w:r w:rsidRPr="0012170C">
                    <w:rPr>
                      <w:rFonts w:cs="Arial"/>
                      <w:sz w:val="20"/>
                      <w:szCs w:val="20"/>
                    </w:rPr>
                    <w:t xml:space="preserve">The relevant commercial monitoring and financial checks and balances will be required. </w:t>
                  </w:r>
                </w:p>
                <w:p w:rsidR="00B4351F" w:rsidRPr="0012170C" w:rsidRDefault="00B4351F" w:rsidP="007223AA">
                  <w:pPr>
                    <w:pStyle w:val="Heading3"/>
                    <w:spacing w:before="0" w:after="0" w:line="240" w:lineRule="auto"/>
                    <w:rPr>
                      <w:rFonts w:ascii="Calibri" w:hAnsi="Calibri"/>
                      <w:sz w:val="20"/>
                      <w:szCs w:val="20"/>
                    </w:rPr>
                  </w:pPr>
                  <w:bookmarkStart w:id="473" w:name="_Toc243964450"/>
                  <w:bookmarkStart w:id="474" w:name="_Toc243984161"/>
                </w:p>
                <w:p w:rsidR="00B4351F" w:rsidRPr="0012170C" w:rsidRDefault="00B4351F" w:rsidP="007223AA">
                  <w:pPr>
                    <w:pStyle w:val="Heading3"/>
                    <w:spacing w:before="0" w:after="0" w:line="240" w:lineRule="auto"/>
                    <w:rPr>
                      <w:rFonts w:ascii="Calibri" w:hAnsi="Calibri"/>
                      <w:sz w:val="20"/>
                      <w:szCs w:val="20"/>
                    </w:rPr>
                  </w:pPr>
                  <w:bookmarkStart w:id="475" w:name="_Toc244586238"/>
                  <w:bookmarkStart w:id="476" w:name="_Toc244697426"/>
                  <w:bookmarkStart w:id="477" w:name="_Toc244697542"/>
                  <w:bookmarkStart w:id="478" w:name="_Toc244735132"/>
                  <w:bookmarkStart w:id="479" w:name="_Toc249079589"/>
                  <w:r w:rsidRPr="0012170C">
                    <w:rPr>
                      <w:rFonts w:ascii="Calibri" w:hAnsi="Calibri"/>
                      <w:sz w:val="20"/>
                      <w:szCs w:val="20"/>
                    </w:rPr>
                    <w:t>Operational Principles</w:t>
                  </w:r>
                  <w:bookmarkEnd w:id="473"/>
                  <w:bookmarkEnd w:id="474"/>
                  <w:r w:rsidRPr="0012170C">
                    <w:rPr>
                      <w:rFonts w:ascii="Calibri" w:hAnsi="Calibri"/>
                      <w:sz w:val="20"/>
                      <w:szCs w:val="20"/>
                    </w:rPr>
                    <w:t>:</w:t>
                  </w:r>
                  <w:bookmarkEnd w:id="475"/>
                  <w:bookmarkEnd w:id="476"/>
                  <w:bookmarkEnd w:id="477"/>
                  <w:bookmarkEnd w:id="478"/>
                  <w:bookmarkEnd w:id="479"/>
                </w:p>
                <w:p w:rsidR="00B4351F" w:rsidRPr="0012170C" w:rsidRDefault="00B4351F" w:rsidP="008227FD">
                  <w:pPr>
                    <w:numPr>
                      <w:ilvl w:val="0"/>
                      <w:numId w:val="62"/>
                    </w:numPr>
                    <w:spacing w:after="0" w:line="240" w:lineRule="auto"/>
                    <w:ind w:left="90" w:hanging="180"/>
                    <w:jc w:val="both"/>
                    <w:rPr>
                      <w:rFonts w:cs="Arial"/>
                      <w:sz w:val="20"/>
                      <w:szCs w:val="20"/>
                    </w:rPr>
                  </w:pPr>
                  <w:r w:rsidRPr="0012170C">
                    <w:rPr>
                      <w:rFonts w:cs="Arial"/>
                      <w:sz w:val="20"/>
                      <w:szCs w:val="20"/>
                    </w:rPr>
                    <w:t>Monitoring should be based on clear, accepted and simply measured data</w:t>
                  </w:r>
                </w:p>
                <w:p w:rsidR="00B4351F" w:rsidRPr="0012170C" w:rsidRDefault="00B4351F" w:rsidP="008227FD">
                  <w:pPr>
                    <w:numPr>
                      <w:ilvl w:val="0"/>
                      <w:numId w:val="62"/>
                    </w:numPr>
                    <w:spacing w:after="0" w:line="240" w:lineRule="auto"/>
                    <w:ind w:left="90" w:hanging="180"/>
                    <w:jc w:val="both"/>
                    <w:rPr>
                      <w:rFonts w:cs="Arial"/>
                      <w:sz w:val="20"/>
                      <w:szCs w:val="20"/>
                    </w:rPr>
                  </w:pPr>
                  <w:r w:rsidRPr="0012170C">
                    <w:rPr>
                      <w:rFonts w:cs="Arial"/>
                      <w:sz w:val="20"/>
                      <w:szCs w:val="20"/>
                    </w:rPr>
                    <w:t>Monitoring should be conducted at the lowest level that balances costs of monitoring and meaningful metrics</w:t>
                  </w:r>
                </w:p>
                <w:p w:rsidR="00B4351F" w:rsidRPr="0012170C" w:rsidRDefault="00B4351F" w:rsidP="008227FD">
                  <w:pPr>
                    <w:numPr>
                      <w:ilvl w:val="0"/>
                      <w:numId w:val="62"/>
                    </w:numPr>
                    <w:spacing w:after="0" w:line="240" w:lineRule="auto"/>
                    <w:ind w:left="90" w:hanging="180"/>
                    <w:jc w:val="both"/>
                    <w:rPr>
                      <w:rFonts w:cs="Arial"/>
                      <w:sz w:val="20"/>
                      <w:szCs w:val="20"/>
                    </w:rPr>
                  </w:pPr>
                  <w:r w:rsidRPr="0012170C">
                    <w:rPr>
                      <w:rFonts w:cs="Arial"/>
                      <w:sz w:val="20"/>
                      <w:szCs w:val="20"/>
                    </w:rPr>
                    <w:t>Capacity to measure must be present or can be built</w:t>
                  </w:r>
                </w:p>
                <w:p w:rsidR="00B4351F" w:rsidRPr="00A36819" w:rsidRDefault="00B4351F" w:rsidP="008227FD">
                  <w:pPr>
                    <w:numPr>
                      <w:ilvl w:val="0"/>
                      <w:numId w:val="62"/>
                    </w:numPr>
                    <w:spacing w:after="0" w:line="240" w:lineRule="auto"/>
                    <w:ind w:left="90" w:hanging="180"/>
                    <w:jc w:val="both"/>
                    <w:rPr>
                      <w:rFonts w:cs="Arial"/>
                      <w:sz w:val="20"/>
                      <w:szCs w:val="20"/>
                    </w:rPr>
                  </w:pPr>
                  <w:r w:rsidRPr="0012170C">
                    <w:rPr>
                      <w:rFonts w:cs="Arial"/>
                      <w:sz w:val="20"/>
                      <w:szCs w:val="20"/>
                    </w:rPr>
                    <w:t>Methods and means of monitoring should be consistent between</w:t>
                  </w:r>
                  <w:r w:rsidRPr="00A36819">
                    <w:rPr>
                      <w:rFonts w:cs="Arial"/>
                      <w:sz w:val="20"/>
                      <w:szCs w:val="20"/>
                    </w:rPr>
                    <w:t xml:space="preserve"> measurements in space and time or the data collected able to be compared between samples in space and time. </w:t>
                  </w:r>
                </w:p>
                <w:p w:rsidR="00B4351F" w:rsidRDefault="00B4351F" w:rsidP="00522F5C"/>
              </w:txbxContent>
            </v:textbox>
            <w10:wrap type="square" anchorx="margin" anchory="margin"/>
          </v:shape>
        </w:pict>
      </w:r>
      <w:r w:rsidR="00351F2C" w:rsidRPr="007223AA">
        <w:rPr>
          <w:rFonts w:ascii="Book Antiqua" w:hAnsi="Book Antiqua" w:cs="Arial"/>
        </w:rPr>
        <w:t xml:space="preserve">From the consideration of research and experience on benefit sharing, participatory monitoring and related aspects a set of </w:t>
      </w:r>
      <w:r w:rsidR="00351F2C" w:rsidRPr="007223AA">
        <w:rPr>
          <w:rFonts w:ascii="Book Antiqua" w:hAnsi="Book Antiqua" w:cs="Arial"/>
          <w:b/>
        </w:rPr>
        <w:t>overall principles</w:t>
      </w:r>
      <w:r w:rsidR="00351F2C" w:rsidRPr="007223AA">
        <w:rPr>
          <w:rFonts w:ascii="Book Antiqua" w:hAnsi="Book Antiqua" w:cs="Arial"/>
        </w:rPr>
        <w:t xml:space="preserve"> can be identified, together with a set of </w:t>
      </w:r>
      <w:r w:rsidR="00351F2C" w:rsidRPr="007223AA">
        <w:rPr>
          <w:rFonts w:ascii="Book Antiqua" w:hAnsi="Book Antiqua" w:cs="Arial"/>
          <w:b/>
        </w:rPr>
        <w:t>operational principles</w:t>
      </w:r>
      <w:r w:rsidR="00351F2C" w:rsidRPr="007223AA">
        <w:rPr>
          <w:rFonts w:ascii="Book Antiqua" w:hAnsi="Book Antiqua" w:cs="Arial"/>
        </w:rPr>
        <w:t xml:space="preserve"> governing management planning and financing of monitoring that will be critical for credibility (see Box 6.1). Meeting the requirement for equity, effectiveness, efficiency and transparency will be a function both of what is measured, and its relevance, and the source of data that is measured, who carries out the monitoring. There is a wide range of data and information to be collected, processed, analysed and reported. It will range from operational data to the more sophisticated measures that may be needed for monitoring transactions. </w:t>
      </w:r>
    </w:p>
    <w:p w:rsidR="00351F2C" w:rsidRPr="007223AA" w:rsidRDefault="00351F2C" w:rsidP="00F05F95">
      <w:pPr>
        <w:spacing w:after="0" w:line="300" w:lineRule="exact"/>
        <w:jc w:val="both"/>
        <w:rPr>
          <w:rFonts w:ascii="Book Antiqua" w:hAnsi="Book Antiqua" w:cs="Arial"/>
        </w:rPr>
      </w:pPr>
    </w:p>
    <w:p w:rsidR="00351F2C" w:rsidRPr="007223AA" w:rsidRDefault="00351F2C" w:rsidP="00A256CB">
      <w:pPr>
        <w:spacing w:after="0" w:line="300" w:lineRule="atLeast"/>
        <w:jc w:val="both"/>
        <w:rPr>
          <w:rFonts w:ascii="Book Antiqua" w:hAnsi="Book Antiqua" w:cs="Arial"/>
        </w:rPr>
      </w:pPr>
      <w:r w:rsidRPr="007223AA">
        <w:rPr>
          <w:rFonts w:ascii="Book Antiqua" w:hAnsi="Book Antiqua" w:cs="Arial"/>
        </w:rPr>
        <w:t>An important consideration is therefore to determine the degree of participation required for each monitoring function, and the institutions that need to be engaged in the monitoring.  The nature and degree of participation that is feasible vary by the type of monitoring, as shown in Figure 7.1, below:</w:t>
      </w:r>
    </w:p>
    <w:p w:rsidR="00351F2C" w:rsidRPr="00445F77" w:rsidRDefault="00351F2C" w:rsidP="00A256CB">
      <w:pPr>
        <w:spacing w:after="0" w:line="240" w:lineRule="auto"/>
        <w:jc w:val="both"/>
        <w:rPr>
          <w:rFonts w:ascii="Arial" w:hAnsi="Arial" w:cs="Arial"/>
          <w:sz w:val="24"/>
          <w:szCs w:val="24"/>
        </w:rPr>
      </w:pPr>
    </w:p>
    <w:p w:rsidR="00351F2C" w:rsidRPr="007223AA" w:rsidRDefault="00351F2C" w:rsidP="00A256CB">
      <w:pPr>
        <w:spacing w:after="0" w:line="240" w:lineRule="auto"/>
        <w:jc w:val="center"/>
        <w:rPr>
          <w:rFonts w:ascii="Book Antiqua" w:hAnsi="Book Antiqua" w:cs="Arial"/>
          <w:b/>
        </w:rPr>
      </w:pPr>
      <w:r w:rsidRPr="007223AA">
        <w:rPr>
          <w:rFonts w:ascii="Book Antiqua" w:hAnsi="Book Antiqua" w:cs="Arial"/>
          <w:b/>
        </w:rPr>
        <w:t>Figure 7.1: Characteristics of the four functions of monitoring</w:t>
      </w:r>
    </w:p>
    <w:p w:rsidR="00351F2C" w:rsidRPr="00445F77" w:rsidRDefault="00C47C3B" w:rsidP="00A256CB">
      <w:pPr>
        <w:spacing w:after="0" w:line="240" w:lineRule="auto"/>
        <w:jc w:val="both"/>
        <w:rPr>
          <w:rFonts w:ascii="Arial" w:hAnsi="Arial" w:cs="Arial"/>
          <w:sz w:val="24"/>
          <w:szCs w:val="24"/>
        </w:rPr>
      </w:pPr>
      <w:r w:rsidRPr="00C47C3B">
        <w:rPr>
          <w:rFonts w:ascii="Arial" w:hAnsi="Arial" w:cs="Arial"/>
          <w:sz w:val="24"/>
          <w:szCs w:val="24"/>
        </w:rPr>
      </w:r>
      <w:r>
        <w:rPr>
          <w:rFonts w:ascii="Arial" w:hAnsi="Arial" w:cs="Arial"/>
          <w:sz w:val="24"/>
          <w:szCs w:val="24"/>
        </w:rPr>
        <w:pict>
          <v:group id="_x0000_s1518" editas="canvas" style="width:473.25pt;height:142.2pt;mso-position-horizontal-relative:char;mso-position-vertical-relative:line" coordorigin="-1,1094" coordsize="9465,2844">
            <o:lock v:ext="edit" aspectratio="t"/>
            <v:shape id="_x0000_s1519" type="#_x0000_t75" style="position:absolute;left:-1;top:1094;width:9465;height:2844" o:preferrelative="f" filled="t" fillcolor="#dbe5f1">
              <v:fill o:detectmouseclick="t"/>
              <v:path o:extrusionok="t" o:connecttype="none"/>
              <o:lock v:ext="edit" text="t"/>
            </v:shape>
            <v:rect id="_x0000_s1520" style="position:absolute;left:203;top:1568;width:1551;height:550" fillcolor="#930" stroked="f"/>
            <v:shape id="_x0000_s1521" style="position:absolute;left:111;top:1477;width:1734;height:91" coordsize="1734,91" path="m,l1734,r-91,91l92,91,,xe" fillcolor="#ad5b32" stroked="f">
              <v:path arrowok="t"/>
            </v:shape>
            <v:shape id="_x0000_s1522" style="position:absolute;left:111;top:2118;width:1734;height:91" coordsize="1734,91" path="m,91l92,,1643,r91,91l,91xe" fillcolor="#7b2900" stroked="f">
              <v:path arrowok="t"/>
            </v:shape>
            <v:shape id="_x0000_s1523" style="position:absolute;left:111;top:1477;width:92;height:732" coordsize="92,732" path="m,l92,91r,550l,732,,xe" fillcolor="#c28566" stroked="f">
              <v:path arrowok="t"/>
            </v:shape>
            <v:shape id="_x0000_s1524" style="position:absolute;left:1754;top:1477;width:91;height:732" coordsize="91,732" path="m91,r,732l,641,,91,91,xe" fillcolor="#5c1f00" stroked="f">
              <v:path arrowok="t"/>
            </v:shape>
            <v:shape id="_x0000_s1525" style="position:absolute;left:104;top:1469;width:1749;height:747" coordsize="11649,4975" path="m,50hdc,23,23,,50,hal11599,hdc11627,,11649,23,11649,50hal11649,4925hdc11649,4953,11627,4975,11599,4975hal50,4975hdc23,4975,,4953,,4925hal,50hdxm100,4925hal50,4875r11549,l11549,4925r,-4875l11599,100,50,100,100,50r,4875hdxm610,659v,-27,22,-50,50,-50hal10990,609hdc11017,609,11040,632,11040,659hal11040,4316hdc11040,4343,11017,4366,10990,4366hal660,4366hdc632,4366,610,4343,610,4316hal610,659hdxm710,4316hal660,4266r10330,l10940,4316r,-3657l10990,709,660,709r50,-50l710,4316hdxm86,15hal695,624r-71,71l15,85,86,15hdxm15,4890hal624,4280r71,71l86,4961,15,4890hdxm11634,85hal11025,695r-71,-71l11564,15r70,70hdxm11564,4961hal10954,4351r71,-71l11634,4890r-70,71hdxe" fillcolor="#930" strokecolor="#930" strokeweight="0">
              <v:path arrowok="t"/>
              <o:lock v:ext="edit" verticies="t"/>
            </v:shape>
            <v:rect id="_x0000_s1526" style="position:absolute;left:2586;top:1567;width:1551;height:550" fillcolor="#c60" stroked="f"/>
            <v:shape id="_x0000_s1527" style="position:absolute;left:2495;top:1476;width:1733;height:91" coordsize="1733,91" path="m,l1733,r-91,91l91,91,,xe" fillcolor="#d68432" stroked="f">
              <v:path arrowok="t"/>
            </v:shape>
            <v:shape id="_x0000_s1528" style="position:absolute;left:2495;top:2117;width:1733;height:91" coordsize="1733,91" path="m,91l91,,1642,r91,91l,91xe" fillcolor="#a45200" stroked="f">
              <v:path arrowok="t"/>
            </v:shape>
            <v:shape id="_x0000_s1529" style="position:absolute;left:2495;top:1476;width:91;height:732" coordsize="91,732" path="m,l91,91r,550l,732,,xe" fillcolor="#e0a366" stroked="f">
              <v:path arrowok="t"/>
            </v:shape>
            <v:shape id="_x0000_s1530" style="position:absolute;left:4137;top:1476;width:91;height:732" coordsize="91,732" path="m91,r,732l,641,,91,91,xe" fillcolor="#7a3d00" stroked="f">
              <v:path arrowok="t"/>
            </v:shape>
            <v:shape id="_x0000_s1531" style="position:absolute;left:2461;top:1461;width:1749;height:747" coordsize="11649,4975" path="m,50hdc,23,22,,50,hal11599,hdc11626,,11649,23,11649,50hal11649,4925hdc11649,4953,11626,4975,11599,4975hal50,4975hdc22,4975,,4953,,4925hal,50hdxm100,4925hal50,4875r11549,l11549,4925r,-4875l11599,100,50,100,100,50r,4875hdxm609,659v,-27,23,-50,50,-50hal10989,609hdc11017,609,11039,632,11039,659hal11039,4316hdc11039,4343,11017,4366,10989,4366hal659,4366hdc632,4366,609,4343,609,4316hal609,659hdxm709,4316hal659,4266r10330,l10939,4316r,-3657l10989,709,659,709r50,-50l709,4316hdxm85,15hal695,624r-71,71l14,85,85,15hdxm14,4890hal624,4280r71,71l85,4961,14,4890hdxm11634,85hal11025,695r-71,-71l11563,15r71,70hdxm11563,4961hal10954,4351r71,-71l11634,4890r-71,71hdxe" fillcolor="#c60" strokecolor="#c60" strokeweight="0">
              <v:path arrowok="t"/>
              <o:lock v:ext="edit" verticies="t"/>
            </v:shape>
            <v:rect id="_x0000_s1532" style="position:absolute;left:2715;top:1563;width:1307;height:622" filled="f" stroked="f">
              <v:textbox style="mso-next-textbox:#_x0000_s1532" inset="0,0,0,0">
                <w:txbxContent>
                  <w:p w:rsidR="00B4351F" w:rsidRDefault="00B4351F" w:rsidP="00A256CB">
                    <w:pPr>
                      <w:spacing w:line="240" w:lineRule="auto"/>
                      <w:jc w:val="center"/>
                    </w:pPr>
                    <w:r>
                      <w:rPr>
                        <w:rFonts w:cs="Calibri"/>
                        <w:color w:val="FFFFFF"/>
                      </w:rPr>
                      <w:t>Monitoring of Interventions</w:t>
                    </w:r>
                  </w:p>
                </w:txbxContent>
              </v:textbox>
            </v:rect>
            <v:rect id="_x0000_s1533" style="position:absolute;left:4935;top:1563;width:1777;height:550" fillcolor="#f93" stroked="f"/>
            <v:shape id="_x0000_s1534" style="position:absolute;left:4826;top:1469;width:1968;height:107" coordsize="1734,91" path="m,l1734,r-92,91l92,91,,xe" fillcolor="#ffad32" stroked="f">
              <v:path arrowok="t"/>
            </v:shape>
            <v:shape id="_x0000_s1535" style="position:absolute;left:4863;top:2117;width:1931;height:91" coordsize="1734,91" path="m,91l92,,1642,r92,91l,91xe" fillcolor="#cd7b00" stroked="f">
              <v:path arrowok="t"/>
            </v:shape>
            <v:shape id="_x0000_s1536" style="position:absolute;left:6702;top:1477;width:92;height:732" coordsize="92,732" path="m92,r,732l,641,,91,92,xe" fillcolor="#995c00" stroked="f">
              <v:path arrowok="t"/>
            </v:shape>
            <v:rect id="_x0000_s1537" style="position:absolute;left:7592;top:1568;width:1551;height:550" fillcolor="#fc6" stroked="f"/>
            <v:shape id="_x0000_s1538" style="position:absolute;left:7500;top:1477;width:1734;height:91" coordsize="1734,91" path="m,l1734,r-91,91l92,91,,xe" fillcolor="#ffd684" stroked="f">
              <v:path arrowok="t"/>
            </v:shape>
            <v:shape id="_x0000_s1539" style="position:absolute;left:7500;top:2118;width:1734;height:91" coordsize="1734,91" path="m,91l92,,1643,r91,91l,91xe" fillcolor="#cda452" stroked="f">
              <v:path arrowok="t"/>
            </v:shape>
            <v:shape id="_x0000_s1540" style="position:absolute;left:7500;top:1477;width:92;height:732" coordsize="92,732" path="m,l92,91r,550l,732,,xe" fillcolor="#ffe0a3" stroked="f">
              <v:path arrowok="t"/>
            </v:shape>
            <v:shape id="_x0000_s1541" style="position:absolute;left:9143;top:1477;width:91;height:732" coordsize="91,732" path="m91,r,732l,641,,91,91,xe" fillcolor="#997a3d" stroked="f">
              <v:path arrowok="t"/>
            </v:shape>
            <v:shape id="_x0000_s1542" style="position:absolute;left:7493;top:1469;width:1749;height:748" coordsize="5825,2488" path="m,25hdc,11,11,,25,hal5800,hdc5813,,5825,11,5825,25hal5825,2463hdc5825,2477,5813,2488,5800,2488hal25,2488hdc11,2488,,2477,,2463hal,25hdxm50,2463hal25,2438r5775,l5775,2463r,-2438l5800,50,25,50,50,25r,2438hdxm305,330v,-14,11,-25,25,-25hal5495,305hdc5509,305,5520,316,5520,330hal5520,2158hdc5520,2172,5509,2183,5495,2183hal330,2183hdc316,2183,305,2172,305,2158hal305,330hdxm355,2158hal330,2133r5165,l5470,2158r,-1828l5495,355r-5165,l355,330r,1828hdxm43,8hal348,312r-36,36l8,43,43,8hdxm8,2445hal312,2140r36,36l43,2480,8,2445hdxm5817,43hal5513,348r-36,-36l5782,8r35,35hdxm5782,2480hal5477,2176r36,-36l5817,2445r-35,35hdxe" fillcolor="#fc6" strokecolor="#fc6" strokeweight="0">
              <v:path arrowok="t"/>
              <o:lock v:ext="edit" verticies="t"/>
            </v:shape>
            <v:rect id="_x0000_s1543" style="position:absolute;left:7680;top:1568;width:1305;height:552" filled="f" stroked="f">
              <v:textbox style="mso-next-textbox:#_x0000_s1543" inset="0,0,0,0">
                <w:txbxContent>
                  <w:p w:rsidR="00B4351F" w:rsidRDefault="00B4351F" w:rsidP="00A256CB">
                    <w:pPr>
                      <w:spacing w:line="240" w:lineRule="auto"/>
                      <w:jc w:val="center"/>
                    </w:pPr>
                    <w:r>
                      <w:rPr>
                        <w:rFonts w:cs="Calibri"/>
                        <w:color w:val="404040"/>
                      </w:rPr>
                      <w:t>Monitoring of Finances</w:t>
                    </w:r>
                  </w:p>
                </w:txbxContent>
              </v:textbox>
            </v:rect>
            <v:shape id="_x0000_s1544" type="#_x0000_t75" style="position:absolute;left:111;top:2337;width:9252;height:632">
              <v:imagedata r:id="rId32" o:title=""/>
            </v:shape>
            <v:shape id="_x0000_s1545" type="#_x0000_t75" style="position:absolute;left:111;top:2337;width:9252;height:632">
              <v:imagedata r:id="rId33" o:title=""/>
            </v:shape>
            <v:rect id="_x0000_s1546" style="position:absolute;left:1654;top:2540;width:1818;height:453;mso-wrap-style:none" filled="f" stroked="f">
              <v:textbox style="mso-next-textbox:#_x0000_s1546;mso-fit-shape-to-text:t" inset="0,0,0,0">
                <w:txbxContent>
                  <w:p w:rsidR="00B4351F" w:rsidRDefault="00B4351F" w:rsidP="00A256CB">
                    <w:r>
                      <w:rPr>
                        <w:rFonts w:cs="Calibri"/>
                        <w:color w:val="FFFF99"/>
                        <w:sz w:val="18"/>
                        <w:szCs w:val="18"/>
                      </w:rPr>
                      <w:t>More technical/scientific</w:t>
                    </w:r>
                  </w:p>
                </w:txbxContent>
              </v:textbox>
            </v:rect>
            <v:rect id="_x0000_s1547" style="position:absolute;left:6478;top:2540;width:1726;height:453;mso-wrap-style:none" filled="f" stroked="f">
              <v:textbox style="mso-next-textbox:#_x0000_s1547;mso-fit-shape-to-text:t" inset="0,0,0,0">
                <w:txbxContent>
                  <w:p w:rsidR="00B4351F" w:rsidRDefault="00B4351F" w:rsidP="00A256CB">
                    <w:r>
                      <w:rPr>
                        <w:rFonts w:cs="Calibri"/>
                        <w:color w:val="993300"/>
                        <w:sz w:val="18"/>
                        <w:szCs w:val="18"/>
                      </w:rPr>
                      <w:t>More financial/auditing</w:t>
                    </w:r>
                  </w:p>
                </w:txbxContent>
              </v:textbox>
            </v:rect>
            <v:rect id="_x0000_s1548" style="position:absolute;left:307;top:1587;width:1425;height:627" filled="f" stroked="f">
              <v:textbox style="mso-next-textbox:#_x0000_s1548" inset="0,0,0,0">
                <w:txbxContent>
                  <w:p w:rsidR="00B4351F" w:rsidRDefault="00B4351F" w:rsidP="00A256CB">
                    <w:pPr>
                      <w:spacing w:line="240" w:lineRule="auto"/>
                      <w:jc w:val="center"/>
                    </w:pPr>
                    <w:r>
                      <w:rPr>
                        <w:rFonts w:cs="Calibri"/>
                        <w:color w:val="FFFFFF"/>
                      </w:rPr>
                      <w:t>Monitoring of Performance</w:t>
                    </w:r>
                  </w:p>
                </w:txbxContent>
              </v:textbox>
            </v:rect>
            <v:shape id="_x0000_s1549" style="position:absolute;left:4826;top:1460;width:1975;height:748" coordsize="5824,2488" path="m,25hdc,11,11,,25,hal5799,hdc5813,,5824,11,5824,25hal5824,2463hdc5824,2477,5813,2488,5799,2488hal25,2488hdc11,2488,,2477,,2463hal,25hdxm50,2463hal25,2438r5774,l5774,2463r,-2438l5799,50,25,50,50,25r,2438hdxm305,330v,-14,11,-25,25,-25hal5495,305hdc5508,305,5520,316,5520,330hal5520,2158hdc5520,2172,5508,2183,5495,2183hal330,2183hdc316,2183,305,2172,305,2158hal305,330hdxm355,2158hal330,2133r5165,l5470,2158r,-1828l5495,355r-5165,l355,330r,1828hdxm43,8hal347,312r-35,36l7,43,43,8hdxm7,2445hal312,2140r35,36l43,2480,7,2445hdxm5817,43hal5512,348r-35,-36l5782,8r35,35hdxm5782,2480hal5477,2176r35,-36l5817,2445r-35,35hdxe" fillcolor="#f90" strokecolor="#f90" strokeweight="0">
              <v:path arrowok="t"/>
              <o:lock v:ext="edit" verticies="t"/>
            </v:shape>
            <v:rect id="_x0000_s1550" style="position:absolute;left:4935;top:1521;width:1777;height:599" filled="f" stroked="f">
              <v:textbox style="mso-next-textbox:#_x0000_s1550" inset="0,0,0,0">
                <w:txbxContent>
                  <w:p w:rsidR="00B4351F" w:rsidRDefault="00B4351F" w:rsidP="00A256CB">
                    <w:pPr>
                      <w:spacing w:line="240" w:lineRule="auto"/>
                      <w:jc w:val="center"/>
                    </w:pPr>
                    <w:r>
                      <w:rPr>
                        <w:rFonts w:cs="Calibri"/>
                        <w:color w:val="FFFFFF"/>
                      </w:rPr>
                      <w:t>Monitoring of Benefit Distribution</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551" type="#_x0000_t69" style="position:absolute;left:1946;top:1676;width:424;height:305" fillcolor="#c0504d" strokecolor="#e36c0a" strokeweight="1pt">
              <v:shadow on="t" type="perspective" color="#622423" opacity=".5" offset="1pt" offset2="-1pt"/>
            </v:shape>
            <v:shape id="_x0000_s1552" type="#_x0000_t69" style="position:absolute;left:6946;top:1676;width:424;height:305" fillcolor="#c0504d" strokecolor="#e36c0a" strokeweight="1pt">
              <v:shadow on="t" type="perspective" color="#622423" opacity=".5" offset="1pt" offset2="-1pt"/>
            </v:shape>
            <v:shape id="_x0000_s1553" type="#_x0000_t69" style="position:absolute;left:4319;top:1676;width:424;height:305" fillcolor="#c0504d" strokecolor="#e36c0a" strokeweight="1pt">
              <v:shadow on="t" type="perspective" color="#622423" opacity=".5" offset="1pt" offset2="-1pt"/>
            </v:shape>
            <v:shape id="_x0000_s1554" type="#_x0000_t75" style="position:absolute;left:111;top:2959;width:9252;height:632">
              <v:imagedata r:id="rId32" o:title=""/>
            </v:shape>
            <v:shape id="_x0000_s1555" type="#_x0000_t75" style="position:absolute;left:111;top:2959;width:9252;height:632">
              <v:imagedata r:id="rId33" o:title=""/>
            </v:shape>
            <v:rect id="_x0000_s1556" style="position:absolute;left:1654;top:3162;width:2057;height:453;mso-wrap-style:none" filled="f" stroked="f">
              <v:textbox style="mso-next-textbox:#_x0000_s1556;mso-fit-shape-to-text:t" inset="0,0,0,0">
                <w:txbxContent>
                  <w:p w:rsidR="00B4351F" w:rsidRDefault="00B4351F" w:rsidP="00A256CB">
                    <w:r>
                      <w:rPr>
                        <w:rFonts w:cs="Calibri"/>
                        <w:color w:val="FFFF99"/>
                        <w:sz w:val="18"/>
                        <w:szCs w:val="18"/>
                      </w:rPr>
                      <w:t>Some participation required</w:t>
                    </w:r>
                  </w:p>
                </w:txbxContent>
              </v:textbox>
            </v:rect>
            <v:rect id="_x0000_s1557" style="position:absolute;left:6478;top:3162;width:2065;height:453;mso-wrap-style:none" filled="f" stroked="f">
              <v:textbox style="mso-next-textbox:#_x0000_s1557;mso-fit-shape-to-text:t" inset="0,0,0,0">
                <w:txbxContent>
                  <w:p w:rsidR="00B4351F" w:rsidRDefault="00B4351F" w:rsidP="00A256CB">
                    <w:r>
                      <w:rPr>
                        <w:rFonts w:cs="Calibri"/>
                        <w:color w:val="993300"/>
                        <w:sz w:val="18"/>
                        <w:szCs w:val="18"/>
                      </w:rPr>
                      <w:t>Much participation required</w:t>
                    </w:r>
                  </w:p>
                </w:txbxContent>
              </v:textbox>
            </v:rect>
            <v:shape id="_x0000_s1558" style="position:absolute;left:4863;top:1469;width:72;height:732;flip:x" coordsize="92,732" path="m92,r,732l,641,,91,92,xe" fillcolor="#fbd4b4" stroked="f">
              <v:path arrowok="t"/>
            </v:shape>
            <w10:wrap type="none"/>
            <w10:anchorlock/>
          </v:group>
        </w:pict>
      </w:r>
    </w:p>
    <w:p w:rsidR="00351F2C" w:rsidRPr="00445F77" w:rsidRDefault="00351F2C" w:rsidP="00A256CB">
      <w:pPr>
        <w:spacing w:after="0" w:line="240" w:lineRule="auto"/>
        <w:jc w:val="both"/>
        <w:rPr>
          <w:rFonts w:ascii="Arial" w:hAnsi="Arial" w:cs="Arial"/>
          <w:sz w:val="24"/>
          <w:szCs w:val="24"/>
        </w:rPr>
      </w:pPr>
    </w:p>
    <w:p w:rsidR="00351F2C" w:rsidRPr="007223AA" w:rsidRDefault="00351F2C" w:rsidP="00605C77">
      <w:pPr>
        <w:spacing w:after="0" w:line="300" w:lineRule="atLeast"/>
        <w:jc w:val="both"/>
        <w:rPr>
          <w:rFonts w:ascii="Book Antiqua" w:hAnsi="Book Antiqua" w:cs="Arial"/>
        </w:rPr>
      </w:pPr>
      <w:r w:rsidRPr="007223AA">
        <w:rPr>
          <w:rFonts w:ascii="Book Antiqua" w:hAnsi="Book Antiqua" w:cs="Arial"/>
        </w:rPr>
        <w:t xml:space="preserve">Given this, the main policy decisions concern the degree of participation involved in the different monitoring functions, and the institutional arrangements for each.  That is; where do the appropriate mixes of capacity, skills and independence exist already that </w:t>
      </w:r>
      <w:r w:rsidRPr="007223AA">
        <w:rPr>
          <w:rFonts w:ascii="Book Antiqua" w:hAnsi="Book Antiqua" w:cs="Arial"/>
        </w:rPr>
        <w:lastRenderedPageBreak/>
        <w:t xml:space="preserve">can be applied to monitoring and if not how can they be developed. The potential mix of participation and capacity is identified throughout this chapter, commencing with an examination of participatory monitoring experiences in natural resources and research. </w:t>
      </w:r>
    </w:p>
    <w:p w:rsidR="00351F2C" w:rsidRPr="00445F77" w:rsidRDefault="00351F2C" w:rsidP="00605C77">
      <w:pPr>
        <w:spacing w:after="0" w:line="300" w:lineRule="exact"/>
        <w:jc w:val="both"/>
        <w:rPr>
          <w:rFonts w:ascii="Arial" w:hAnsi="Arial" w:cs="Arial"/>
          <w:sz w:val="24"/>
          <w:szCs w:val="24"/>
        </w:rPr>
      </w:pPr>
    </w:p>
    <w:p w:rsidR="00351F2C" w:rsidRPr="00445F77" w:rsidRDefault="00351F2C" w:rsidP="00605C77">
      <w:pPr>
        <w:pStyle w:val="Heading3"/>
        <w:spacing w:before="0" w:after="0"/>
        <w:rPr>
          <w:rFonts w:ascii="Arial" w:hAnsi="Arial" w:cs="Arial"/>
        </w:rPr>
      </w:pPr>
      <w:bookmarkStart w:id="480" w:name="_Toc243964451"/>
      <w:bookmarkStart w:id="481" w:name="_Toc243984162"/>
      <w:bookmarkStart w:id="482" w:name="_Toc244735133"/>
      <w:bookmarkStart w:id="483" w:name="_Toc249079590"/>
      <w:bookmarkEnd w:id="461"/>
      <w:bookmarkEnd w:id="462"/>
      <w:r w:rsidRPr="00445F77">
        <w:rPr>
          <w:rFonts w:ascii="Arial" w:hAnsi="Arial" w:cs="Arial"/>
        </w:rPr>
        <w:t xml:space="preserve">The </w:t>
      </w:r>
      <w:r w:rsidR="008F6D17">
        <w:rPr>
          <w:rFonts w:ascii="Arial" w:hAnsi="Arial" w:cs="Arial"/>
        </w:rPr>
        <w:t>n</w:t>
      </w:r>
      <w:r w:rsidRPr="00445F77">
        <w:rPr>
          <w:rFonts w:ascii="Arial" w:hAnsi="Arial" w:cs="Arial"/>
        </w:rPr>
        <w:t xml:space="preserve">eed for </w:t>
      </w:r>
      <w:r w:rsidR="008F6D17">
        <w:rPr>
          <w:rFonts w:ascii="Arial" w:hAnsi="Arial" w:cs="Arial"/>
        </w:rPr>
        <w:t>p</w:t>
      </w:r>
      <w:r w:rsidRPr="00445F77">
        <w:rPr>
          <w:rFonts w:ascii="Arial" w:hAnsi="Arial" w:cs="Arial"/>
        </w:rPr>
        <w:t xml:space="preserve">articipatory </w:t>
      </w:r>
      <w:r w:rsidR="008F6D17">
        <w:rPr>
          <w:rFonts w:ascii="Arial" w:hAnsi="Arial" w:cs="Arial"/>
        </w:rPr>
        <w:t>m</w:t>
      </w:r>
      <w:r w:rsidRPr="00445F77">
        <w:rPr>
          <w:rFonts w:ascii="Arial" w:hAnsi="Arial" w:cs="Arial"/>
        </w:rPr>
        <w:t xml:space="preserve">onitoring and </w:t>
      </w:r>
      <w:r w:rsidR="008F6D17">
        <w:rPr>
          <w:rFonts w:ascii="Arial" w:hAnsi="Arial" w:cs="Arial"/>
        </w:rPr>
        <w:t>o</w:t>
      </w:r>
      <w:r w:rsidRPr="00445F77">
        <w:rPr>
          <w:rFonts w:ascii="Arial" w:hAnsi="Arial" w:cs="Arial"/>
        </w:rPr>
        <w:t xml:space="preserve">ptions for </w:t>
      </w:r>
      <w:r w:rsidR="008F6D17">
        <w:rPr>
          <w:rFonts w:ascii="Arial" w:hAnsi="Arial" w:cs="Arial"/>
        </w:rPr>
        <w:t>m</w:t>
      </w:r>
      <w:r w:rsidRPr="00445F77">
        <w:rPr>
          <w:rFonts w:ascii="Arial" w:hAnsi="Arial" w:cs="Arial"/>
        </w:rPr>
        <w:t>ethodologies</w:t>
      </w:r>
      <w:bookmarkEnd w:id="480"/>
      <w:bookmarkEnd w:id="481"/>
      <w:bookmarkEnd w:id="482"/>
      <w:bookmarkEnd w:id="483"/>
    </w:p>
    <w:p w:rsidR="00351F2C" w:rsidRPr="007223AA" w:rsidRDefault="00351F2C" w:rsidP="00605C77">
      <w:pPr>
        <w:spacing w:after="0" w:line="300" w:lineRule="atLeast"/>
        <w:jc w:val="both"/>
        <w:rPr>
          <w:rFonts w:ascii="Book Antiqua" w:hAnsi="Book Antiqua" w:cs="Arial"/>
        </w:rPr>
      </w:pPr>
      <w:r w:rsidRPr="007223AA">
        <w:rPr>
          <w:rFonts w:ascii="Book Antiqua" w:hAnsi="Book Antiqua" w:cs="Arial"/>
        </w:rPr>
        <w:t>The term “participatory monitoring” identifies measuring activities that involve local people. In many, most, cases they may have not received training and will have differing skills and interests. Nonetheless local people can record information about their landscape. Monitoring has been conducted by local people for timber harvesting, non-timber forest products, and other aspects and involves vegetation samples, transects, fire calendars, field diaries, community workshops, rainfall measurements and many other metrics</w:t>
      </w:r>
      <w:r w:rsidRPr="007223AA">
        <w:rPr>
          <w:rStyle w:val="FootnoteReference"/>
          <w:rFonts w:ascii="Book Antiqua" w:hAnsi="Book Antiqua" w:cs="Arial"/>
        </w:rPr>
        <w:footnoteReference w:id="46"/>
      </w:r>
      <w:r w:rsidRPr="007223AA">
        <w:rPr>
          <w:rFonts w:ascii="Book Antiqua" w:hAnsi="Book Antiqua" w:cs="Arial"/>
        </w:rPr>
        <w:t xml:space="preserve">. Reasons to monitor include: </w:t>
      </w:r>
    </w:p>
    <w:p w:rsidR="00351F2C" w:rsidRPr="007223AA" w:rsidRDefault="00351F2C" w:rsidP="00605C77">
      <w:pPr>
        <w:spacing w:after="0" w:line="300" w:lineRule="atLeast"/>
        <w:jc w:val="both"/>
        <w:rPr>
          <w:rFonts w:ascii="Book Antiqua" w:hAnsi="Book Antiqua" w:cs="Arial"/>
        </w:rPr>
      </w:pPr>
    </w:p>
    <w:p w:rsidR="00351F2C" w:rsidRPr="007223AA" w:rsidRDefault="00351F2C" w:rsidP="008227FD">
      <w:pPr>
        <w:numPr>
          <w:ilvl w:val="0"/>
          <w:numId w:val="56"/>
        </w:numPr>
        <w:spacing w:after="0" w:line="300" w:lineRule="atLeast"/>
        <w:ind w:left="360"/>
        <w:jc w:val="both"/>
        <w:rPr>
          <w:rFonts w:ascii="Book Antiqua" w:hAnsi="Book Antiqua" w:cs="Arial"/>
        </w:rPr>
      </w:pPr>
      <w:r w:rsidRPr="007223AA">
        <w:rPr>
          <w:rFonts w:ascii="Book Antiqua" w:hAnsi="Book Antiqua" w:cs="Arial"/>
        </w:rPr>
        <w:t xml:space="preserve">Monitoring helps forest and land managers and users to answer questions or concerns </w:t>
      </w:r>
    </w:p>
    <w:p w:rsidR="00351F2C" w:rsidRPr="007223AA" w:rsidRDefault="00351F2C" w:rsidP="008227FD">
      <w:pPr>
        <w:numPr>
          <w:ilvl w:val="1"/>
          <w:numId w:val="56"/>
        </w:numPr>
        <w:spacing w:after="0" w:line="300" w:lineRule="atLeast"/>
        <w:ind w:left="630" w:hanging="180"/>
        <w:jc w:val="both"/>
        <w:rPr>
          <w:rFonts w:ascii="Book Antiqua" w:hAnsi="Book Antiqua" w:cs="Arial"/>
        </w:rPr>
      </w:pPr>
      <w:r w:rsidRPr="007223AA">
        <w:rPr>
          <w:rFonts w:ascii="Book Antiqua" w:hAnsi="Book Antiqua" w:cs="Arial"/>
        </w:rPr>
        <w:t xml:space="preserve">Having or developing clear questions is a key element in developing a </w:t>
      </w:r>
      <w:r w:rsidR="00480D3D">
        <w:rPr>
          <w:rFonts w:ascii="Book Antiqua" w:hAnsi="Book Antiqua" w:cs="Arial"/>
        </w:rPr>
        <w:t>programme</w:t>
      </w:r>
      <w:r w:rsidRPr="007223AA">
        <w:rPr>
          <w:rFonts w:ascii="Book Antiqua" w:hAnsi="Book Antiqua" w:cs="Arial"/>
        </w:rPr>
        <w:t xml:space="preserve">, local people can participate by defining and asking core questions, or experts, professionals and authorities can define the questions, in any case local people can provide the data. </w:t>
      </w:r>
    </w:p>
    <w:p w:rsidR="00351F2C" w:rsidRPr="007223AA" w:rsidRDefault="00351F2C" w:rsidP="008227FD">
      <w:pPr>
        <w:numPr>
          <w:ilvl w:val="1"/>
          <w:numId w:val="56"/>
        </w:numPr>
        <w:spacing w:after="0" w:line="300" w:lineRule="atLeast"/>
        <w:ind w:left="630" w:hanging="180"/>
        <w:jc w:val="both"/>
        <w:rPr>
          <w:rFonts w:ascii="Book Antiqua" w:hAnsi="Book Antiqua" w:cs="Arial"/>
        </w:rPr>
      </w:pPr>
      <w:r w:rsidRPr="007223AA">
        <w:rPr>
          <w:rFonts w:ascii="Book Antiqua" w:hAnsi="Book Antiqua" w:cs="Arial"/>
        </w:rPr>
        <w:t>The data collected depends on the questions and must relat</w:t>
      </w:r>
      <w:r w:rsidR="0094625E">
        <w:rPr>
          <w:rFonts w:ascii="Book Antiqua" w:hAnsi="Book Antiqua" w:cs="Arial"/>
        </w:rPr>
        <w:t>e</w:t>
      </w:r>
      <w:r w:rsidRPr="007223AA">
        <w:rPr>
          <w:rFonts w:ascii="Book Antiqua" w:hAnsi="Book Antiqua" w:cs="Arial"/>
        </w:rPr>
        <w:t xml:space="preserve"> clearly and explicitly to management goals.</w:t>
      </w:r>
    </w:p>
    <w:p w:rsidR="00351F2C" w:rsidRPr="007223AA" w:rsidRDefault="00351F2C" w:rsidP="008227FD">
      <w:pPr>
        <w:numPr>
          <w:ilvl w:val="0"/>
          <w:numId w:val="56"/>
        </w:numPr>
        <w:spacing w:after="0" w:line="300" w:lineRule="atLeast"/>
        <w:ind w:left="360"/>
        <w:jc w:val="both"/>
        <w:rPr>
          <w:rFonts w:ascii="Book Antiqua" w:hAnsi="Book Antiqua" w:cs="Arial"/>
        </w:rPr>
      </w:pPr>
      <w:r w:rsidRPr="007223AA">
        <w:rPr>
          <w:rFonts w:ascii="Book Antiqua" w:hAnsi="Book Antiqua" w:cs="Arial"/>
        </w:rPr>
        <w:t>Monitoring “creates a culture of questioning” and acts as a “catalyst for learning processes” about the landscape and the cycle of planning, action, assessment and learning</w:t>
      </w:r>
    </w:p>
    <w:p w:rsidR="00351F2C" w:rsidRPr="007223AA" w:rsidRDefault="00351F2C" w:rsidP="008227FD">
      <w:pPr>
        <w:numPr>
          <w:ilvl w:val="0"/>
          <w:numId w:val="56"/>
        </w:numPr>
        <w:spacing w:after="0" w:line="300" w:lineRule="atLeast"/>
        <w:ind w:left="360"/>
        <w:jc w:val="both"/>
        <w:rPr>
          <w:rFonts w:ascii="Book Antiqua" w:hAnsi="Book Antiqua" w:cs="Arial"/>
        </w:rPr>
      </w:pPr>
      <w:r w:rsidRPr="007223AA">
        <w:rPr>
          <w:rFonts w:ascii="Book Antiqua" w:hAnsi="Book Antiqua" w:cs="Arial"/>
        </w:rPr>
        <w:t xml:space="preserve">For </w:t>
      </w:r>
      <w:r w:rsidR="00480D3D">
        <w:rPr>
          <w:rFonts w:ascii="Book Antiqua" w:hAnsi="Book Antiqua" w:cs="Arial"/>
        </w:rPr>
        <w:t>REDD+</w:t>
      </w:r>
      <w:r w:rsidRPr="007223AA">
        <w:rPr>
          <w:rFonts w:ascii="Book Antiqua" w:hAnsi="Book Antiqua" w:cs="Arial"/>
        </w:rPr>
        <w:t xml:space="preserve">, monitoring is potentially a key, and essential, means of checking on compliance with standards, norms and procedures and identifying enforcement requirements. </w:t>
      </w:r>
    </w:p>
    <w:p w:rsidR="00351F2C" w:rsidRPr="007223AA" w:rsidRDefault="00351F2C" w:rsidP="00F05F95">
      <w:pPr>
        <w:spacing w:after="0" w:line="300" w:lineRule="atLeast"/>
        <w:jc w:val="both"/>
        <w:rPr>
          <w:rFonts w:ascii="Book Antiqua" w:hAnsi="Book Antiqua" w:cs="Arial"/>
        </w:rPr>
      </w:pPr>
    </w:p>
    <w:p w:rsidR="00351F2C" w:rsidRPr="007223AA" w:rsidRDefault="00351F2C" w:rsidP="00F05F95">
      <w:pPr>
        <w:spacing w:after="0" w:line="300" w:lineRule="atLeast"/>
        <w:jc w:val="both"/>
        <w:rPr>
          <w:rFonts w:ascii="Book Antiqua" w:hAnsi="Book Antiqua" w:cs="Arial"/>
        </w:rPr>
      </w:pPr>
      <w:r w:rsidRPr="007223AA">
        <w:rPr>
          <w:rFonts w:ascii="Book Antiqua" w:hAnsi="Book Antiqua" w:cs="Arial"/>
        </w:rPr>
        <w:t xml:space="preserve">One </w:t>
      </w:r>
      <w:r w:rsidR="00480D3D">
        <w:rPr>
          <w:rFonts w:ascii="Book Antiqua" w:hAnsi="Book Antiqua" w:cs="Arial"/>
        </w:rPr>
        <w:t>REDD+</w:t>
      </w:r>
      <w:r w:rsidRPr="007223AA">
        <w:rPr>
          <w:rFonts w:ascii="Book Antiqua" w:hAnsi="Book Antiqua" w:cs="Arial"/>
        </w:rPr>
        <w:t xml:space="preserve"> related proposal</w:t>
      </w:r>
      <w:r w:rsidRPr="007223AA">
        <w:rPr>
          <w:rStyle w:val="FootnoteReference"/>
          <w:rFonts w:ascii="Book Antiqua" w:hAnsi="Book Antiqua" w:cs="Arial"/>
        </w:rPr>
        <w:footnoteReference w:id="47"/>
      </w:r>
      <w:r w:rsidRPr="007223AA">
        <w:rPr>
          <w:rFonts w:ascii="Book Antiqua" w:hAnsi="Book Antiqua" w:cs="Arial"/>
        </w:rPr>
        <w:t xml:space="preserve"> identifies the need for a “Transparent, Multi-stakeholder Disbursement Mechanisms in-country”. For the purposes of the proposal they make the Prince’s Rainforest Project has identified a need to ensure that the “funds provided …. would be used effectively and equitably.” It is appreciated that addressing the drivers of deforestation will require the involvement of local communities, the private sector, indigenous peoples, NGOs and provincial/district governments. They point out national governments would play a key role but a multi-stakeholder approach would also be needed. The incentives and altered circumstances that are directed to influencing the practices and behaviour of the various actors should in principle be provided at the lowest feasible level, down to local communities and local government as much as possible. </w:t>
      </w:r>
    </w:p>
    <w:p w:rsidR="00351F2C" w:rsidRPr="007223AA" w:rsidRDefault="00351F2C" w:rsidP="00F05F95">
      <w:pPr>
        <w:spacing w:after="0" w:line="300" w:lineRule="atLeast"/>
        <w:jc w:val="both"/>
        <w:rPr>
          <w:rFonts w:ascii="Book Antiqua" w:hAnsi="Book Antiqua" w:cs="Arial"/>
        </w:rPr>
      </w:pPr>
    </w:p>
    <w:p w:rsidR="00351F2C" w:rsidRPr="007223AA" w:rsidRDefault="00351F2C" w:rsidP="00605C77">
      <w:pPr>
        <w:spacing w:after="0" w:line="300" w:lineRule="atLeast"/>
        <w:jc w:val="both"/>
        <w:rPr>
          <w:rFonts w:ascii="Book Antiqua" w:hAnsi="Book Antiqua" w:cs="Arial"/>
        </w:rPr>
      </w:pPr>
      <w:r w:rsidRPr="007223AA">
        <w:rPr>
          <w:rFonts w:ascii="Book Antiqua" w:hAnsi="Book Antiqua" w:cs="Arial"/>
        </w:rPr>
        <w:t>Forest Trends</w:t>
      </w:r>
      <w:r w:rsidRPr="007223AA">
        <w:rPr>
          <w:rStyle w:val="FootnoteReference"/>
          <w:rFonts w:ascii="Book Antiqua" w:hAnsi="Book Antiqua" w:cs="Arial"/>
        </w:rPr>
        <w:footnoteReference w:id="48"/>
      </w:r>
      <w:r w:rsidRPr="007223AA">
        <w:rPr>
          <w:rFonts w:ascii="Book Antiqua" w:hAnsi="Book Antiqua" w:cs="Arial"/>
        </w:rPr>
        <w:t xml:space="preserve"> evaluated the key issues and challenges facing evaluation of social benefits from multiple PES projects. </w:t>
      </w:r>
      <w:r w:rsidR="0094625E">
        <w:rPr>
          <w:rFonts w:ascii="Book Antiqua" w:hAnsi="Book Antiqua" w:cs="Arial"/>
        </w:rPr>
        <w:t>They</w:t>
      </w:r>
      <w:r w:rsidRPr="007223AA">
        <w:rPr>
          <w:rFonts w:ascii="Book Antiqua" w:hAnsi="Book Antiqua" w:cs="Arial"/>
        </w:rPr>
        <w:t xml:space="preserve"> found that the cost of conventional impact </w:t>
      </w:r>
      <w:r w:rsidRPr="007223AA">
        <w:rPr>
          <w:rFonts w:ascii="Book Antiqua" w:hAnsi="Book Antiqua" w:cs="Arial"/>
        </w:rPr>
        <w:lastRenderedPageBreak/>
        <w:t xml:space="preserve">assessment “may be prohibitive for community-based projects”. The high cost is due mainly to the problems with being able to demonstrate that changes are due to the interventions implemented. There is also discussion of the issues of indicator selection (what to measure?) and data collection or research methods (how to measure?). </w:t>
      </w:r>
      <w:r w:rsidR="0094625E">
        <w:rPr>
          <w:rFonts w:ascii="Book Antiqua" w:hAnsi="Book Antiqua" w:cs="Arial"/>
        </w:rPr>
        <w:t xml:space="preserve"> T</w:t>
      </w:r>
      <w:r w:rsidRPr="007223AA">
        <w:rPr>
          <w:rFonts w:ascii="Book Antiqua" w:hAnsi="Book Antiqua" w:cs="Arial"/>
        </w:rPr>
        <w:t>here needs to be a balance between a core set of outcome indicators for all projects, and a participatory or stakeholder</w:t>
      </w:r>
      <w:r w:rsidR="0094625E">
        <w:rPr>
          <w:rFonts w:ascii="Book Antiqua" w:hAnsi="Book Antiqua" w:cs="Arial"/>
        </w:rPr>
        <w:t>-</w:t>
      </w:r>
      <w:r w:rsidRPr="007223AA">
        <w:rPr>
          <w:rFonts w:ascii="Book Antiqua" w:hAnsi="Book Antiqua" w:cs="Arial"/>
        </w:rPr>
        <w:t>defined set of indicators for a specific project. Also identified was that the costs of any credible evaluation or impact assessment approach for</w:t>
      </w:r>
      <w:r w:rsidR="001B6D90">
        <w:rPr>
          <w:rFonts w:ascii="Book Antiqua" w:hAnsi="Book Antiqua" w:cs="Arial"/>
        </w:rPr>
        <w:t xml:space="preserve"> PFES</w:t>
      </w:r>
      <w:r w:rsidRPr="007223AA">
        <w:rPr>
          <w:rFonts w:ascii="Book Antiqua" w:hAnsi="Book Antiqua" w:cs="Arial"/>
        </w:rPr>
        <w:t xml:space="preserve"> will be significant. Participatory monitoring </w:t>
      </w:r>
      <w:r w:rsidR="00480D3D">
        <w:rPr>
          <w:rFonts w:ascii="Book Antiqua" w:hAnsi="Book Antiqua" w:cs="Arial"/>
        </w:rPr>
        <w:t>programme</w:t>
      </w:r>
      <w:r w:rsidRPr="007223AA">
        <w:rPr>
          <w:rFonts w:ascii="Book Antiqua" w:hAnsi="Book Antiqua" w:cs="Arial"/>
        </w:rPr>
        <w:t>s have been found to strengthen local institutions and communities</w:t>
      </w:r>
      <w:r w:rsidRPr="007223AA">
        <w:rPr>
          <w:rStyle w:val="FootnoteReference"/>
          <w:rFonts w:ascii="Book Antiqua" w:hAnsi="Book Antiqua" w:cs="Arial"/>
        </w:rPr>
        <w:footnoteReference w:id="49"/>
      </w:r>
      <w:r w:rsidRPr="007223AA">
        <w:rPr>
          <w:rFonts w:ascii="Book Antiqua" w:hAnsi="Book Antiqua" w:cs="Arial"/>
        </w:rPr>
        <w:t xml:space="preserve">. </w:t>
      </w:r>
    </w:p>
    <w:p w:rsidR="00351F2C" w:rsidRPr="007223AA" w:rsidRDefault="00351F2C" w:rsidP="00605C77">
      <w:pPr>
        <w:spacing w:after="0" w:line="300" w:lineRule="atLeast"/>
        <w:jc w:val="both"/>
        <w:rPr>
          <w:rFonts w:ascii="Book Antiqua" w:hAnsi="Book Antiqua" w:cs="Arial"/>
        </w:rPr>
      </w:pPr>
    </w:p>
    <w:p w:rsidR="00351F2C" w:rsidRPr="007223AA" w:rsidRDefault="00351F2C" w:rsidP="00605C77">
      <w:pPr>
        <w:spacing w:after="0" w:line="300" w:lineRule="atLeast"/>
        <w:jc w:val="both"/>
        <w:rPr>
          <w:rFonts w:ascii="Book Antiqua" w:hAnsi="Book Antiqua" w:cs="Arial"/>
        </w:rPr>
      </w:pPr>
      <w:r w:rsidRPr="007223AA">
        <w:rPr>
          <w:rFonts w:ascii="Book Antiqua" w:hAnsi="Book Antiqua" w:cs="Arial"/>
        </w:rPr>
        <w:t xml:space="preserve">So for a balance of increasing engagement, stimulating commitment and conducting monitoring at most efficient and best reasonable costs participatory monitoring has merit. </w:t>
      </w:r>
    </w:p>
    <w:p w:rsidR="00351F2C" w:rsidRPr="00445F77" w:rsidRDefault="00351F2C" w:rsidP="00605C77">
      <w:pPr>
        <w:spacing w:after="0" w:line="300" w:lineRule="atLeast"/>
        <w:jc w:val="both"/>
        <w:rPr>
          <w:rFonts w:ascii="Arial" w:hAnsi="Arial" w:cs="Arial"/>
          <w:sz w:val="24"/>
          <w:szCs w:val="24"/>
        </w:rPr>
      </w:pPr>
    </w:p>
    <w:p w:rsidR="00351F2C" w:rsidRPr="00445F77" w:rsidRDefault="00351F2C" w:rsidP="00605C77">
      <w:pPr>
        <w:pStyle w:val="Heading3"/>
        <w:spacing w:before="0" w:after="0"/>
        <w:rPr>
          <w:rFonts w:ascii="Arial" w:hAnsi="Arial" w:cs="Arial"/>
        </w:rPr>
      </w:pPr>
      <w:bookmarkStart w:id="484" w:name="_Toc243964453"/>
      <w:bookmarkStart w:id="485" w:name="_Toc243984164"/>
      <w:bookmarkStart w:id="486" w:name="_Toc244586240"/>
      <w:bookmarkStart w:id="487" w:name="_Toc244735134"/>
      <w:bookmarkStart w:id="488" w:name="_Toc249079591"/>
      <w:r w:rsidRPr="00445F77">
        <w:rPr>
          <w:rFonts w:ascii="Arial" w:hAnsi="Arial" w:cs="Arial"/>
        </w:rPr>
        <w:t>Characteristics of Participatory Approaches</w:t>
      </w:r>
      <w:bookmarkEnd w:id="484"/>
      <w:bookmarkEnd w:id="485"/>
      <w:bookmarkEnd w:id="486"/>
      <w:bookmarkEnd w:id="487"/>
      <w:bookmarkEnd w:id="488"/>
    </w:p>
    <w:p w:rsidR="00351F2C" w:rsidRPr="007223AA" w:rsidRDefault="00351F2C" w:rsidP="00605C77">
      <w:pPr>
        <w:spacing w:after="0" w:line="300" w:lineRule="atLeast"/>
        <w:jc w:val="both"/>
        <w:rPr>
          <w:rFonts w:ascii="Book Antiqua" w:hAnsi="Book Antiqua" w:cs="Arial"/>
        </w:rPr>
      </w:pPr>
      <w:r w:rsidRPr="007223AA">
        <w:rPr>
          <w:rFonts w:ascii="Book Antiqua" w:hAnsi="Book Antiqua" w:cs="Arial"/>
        </w:rPr>
        <w:t>In one project</w:t>
      </w:r>
      <w:r w:rsidRPr="007223AA">
        <w:rPr>
          <w:rStyle w:val="FootnoteReference"/>
          <w:rFonts w:ascii="Book Antiqua" w:hAnsi="Book Antiqua" w:cs="Arial"/>
        </w:rPr>
        <w:footnoteReference w:id="50"/>
      </w:r>
      <w:r w:rsidRPr="007223AA">
        <w:rPr>
          <w:rFonts w:ascii="Book Antiqua" w:hAnsi="Book Antiqua" w:cs="Arial"/>
        </w:rPr>
        <w:t>, communities of local farmers produced their own monitoring plans and undertook most of the monitoring, with occasional and sample checking by the technical team, a local company contracted for this purpose.  This example suggests that local people can be competent in making measurements, applying in this case a manual of procedures.</w:t>
      </w:r>
    </w:p>
    <w:p w:rsidR="00351F2C" w:rsidRPr="007223AA" w:rsidRDefault="00351F2C" w:rsidP="00605C77">
      <w:pPr>
        <w:spacing w:after="0" w:line="300" w:lineRule="atLeast"/>
        <w:jc w:val="both"/>
        <w:rPr>
          <w:rFonts w:ascii="Book Antiqua" w:hAnsi="Book Antiqua" w:cs="Arial"/>
        </w:rPr>
      </w:pPr>
    </w:p>
    <w:p w:rsidR="00351F2C" w:rsidRPr="007223AA" w:rsidRDefault="00351F2C" w:rsidP="00605C77">
      <w:pPr>
        <w:spacing w:after="0" w:line="300" w:lineRule="atLeast"/>
        <w:jc w:val="both"/>
        <w:rPr>
          <w:rFonts w:ascii="Book Antiqua" w:hAnsi="Book Antiqua" w:cs="Arial"/>
        </w:rPr>
      </w:pPr>
      <w:r w:rsidRPr="007223AA">
        <w:rPr>
          <w:rFonts w:ascii="Book Antiqua" w:hAnsi="Book Antiqua" w:cs="Arial"/>
        </w:rPr>
        <w:t xml:space="preserve">In a review by CIFOR it was noted that when developing a volunteer-based (local) monitoring system of forest ecosystems in </w:t>
      </w:r>
      <w:smartTag w:uri="urn:schemas-microsoft-com:office:smarttags" w:element="country-region">
        <w:smartTag w:uri="urn:schemas-microsoft-com:office:smarttags" w:element="place">
          <w:r w:rsidRPr="007223AA">
            <w:rPr>
              <w:rFonts w:ascii="Book Antiqua" w:hAnsi="Book Antiqua" w:cs="Arial"/>
            </w:rPr>
            <w:t>Canada</w:t>
          </w:r>
        </w:smartTag>
      </w:smartTag>
      <w:r w:rsidRPr="007223AA">
        <w:rPr>
          <w:rFonts w:ascii="Book Antiqua" w:hAnsi="Book Antiqua" w:cs="Arial"/>
        </w:rPr>
        <w:t xml:space="preserve"> it was important to:</w:t>
      </w:r>
    </w:p>
    <w:p w:rsidR="00351F2C" w:rsidRPr="007223AA" w:rsidRDefault="00351F2C" w:rsidP="00605C77">
      <w:pPr>
        <w:spacing w:after="0" w:line="300" w:lineRule="atLeast"/>
        <w:jc w:val="both"/>
        <w:rPr>
          <w:rFonts w:ascii="Book Antiqua" w:hAnsi="Book Antiqua" w:cs="Arial"/>
        </w:rPr>
      </w:pPr>
    </w:p>
    <w:p w:rsidR="00351F2C" w:rsidRPr="007223AA" w:rsidRDefault="00351F2C" w:rsidP="008227FD">
      <w:pPr>
        <w:numPr>
          <w:ilvl w:val="0"/>
          <w:numId w:val="63"/>
        </w:numPr>
        <w:spacing w:after="0" w:line="300" w:lineRule="atLeast"/>
        <w:ind w:left="360"/>
        <w:jc w:val="both"/>
        <w:rPr>
          <w:rFonts w:ascii="Book Antiqua" w:hAnsi="Book Antiqua" w:cs="Arial"/>
        </w:rPr>
      </w:pPr>
      <w:r w:rsidRPr="007223AA">
        <w:rPr>
          <w:rFonts w:ascii="Book Antiqua" w:hAnsi="Book Antiqua" w:cs="Arial"/>
        </w:rPr>
        <w:t>Secure adequate funding and commitment prior to initiation of monitoring activities.</w:t>
      </w:r>
    </w:p>
    <w:p w:rsidR="00351F2C" w:rsidRPr="007223AA" w:rsidRDefault="00351F2C" w:rsidP="008227FD">
      <w:pPr>
        <w:numPr>
          <w:ilvl w:val="0"/>
          <w:numId w:val="63"/>
        </w:numPr>
        <w:spacing w:after="0" w:line="300" w:lineRule="atLeast"/>
        <w:ind w:left="360"/>
        <w:jc w:val="both"/>
        <w:rPr>
          <w:rFonts w:ascii="Book Antiqua" w:hAnsi="Book Antiqua" w:cs="Arial"/>
        </w:rPr>
      </w:pPr>
      <w:r w:rsidRPr="007223AA">
        <w:rPr>
          <w:rFonts w:ascii="Book Antiqua" w:hAnsi="Book Antiqua" w:cs="Arial"/>
        </w:rPr>
        <w:t>Provide feedback to volunteers on how their work was contributing to planning and management.</w:t>
      </w:r>
    </w:p>
    <w:p w:rsidR="00351F2C" w:rsidRPr="007223AA" w:rsidRDefault="00351F2C" w:rsidP="008227FD">
      <w:pPr>
        <w:numPr>
          <w:ilvl w:val="0"/>
          <w:numId w:val="63"/>
        </w:numPr>
        <w:spacing w:after="0" w:line="300" w:lineRule="atLeast"/>
        <w:ind w:left="360"/>
        <w:jc w:val="both"/>
        <w:rPr>
          <w:rFonts w:ascii="Book Antiqua" w:hAnsi="Book Antiqua" w:cs="Arial"/>
        </w:rPr>
      </w:pPr>
      <w:r w:rsidRPr="007223AA">
        <w:rPr>
          <w:rFonts w:ascii="Book Antiqua" w:hAnsi="Book Antiqua" w:cs="Arial"/>
        </w:rPr>
        <w:t>Understand participant motivations and skill level, and match these to the monitoring protocols selected.</w:t>
      </w:r>
    </w:p>
    <w:p w:rsidR="00351F2C" w:rsidRPr="007223AA" w:rsidRDefault="00351F2C" w:rsidP="008227FD">
      <w:pPr>
        <w:numPr>
          <w:ilvl w:val="0"/>
          <w:numId w:val="63"/>
        </w:numPr>
        <w:spacing w:after="0" w:line="300" w:lineRule="atLeast"/>
        <w:ind w:left="360"/>
        <w:jc w:val="both"/>
        <w:rPr>
          <w:rFonts w:ascii="Book Antiqua" w:hAnsi="Book Antiqua" w:cs="Arial"/>
        </w:rPr>
      </w:pPr>
      <w:r w:rsidRPr="007223AA">
        <w:rPr>
          <w:rFonts w:ascii="Book Antiqua" w:hAnsi="Book Antiqua" w:cs="Arial"/>
        </w:rPr>
        <w:t>Collaborate with organizations already monitoring through partnership development.</w:t>
      </w:r>
    </w:p>
    <w:p w:rsidR="00351F2C" w:rsidRPr="007223AA" w:rsidRDefault="00351F2C" w:rsidP="008227FD">
      <w:pPr>
        <w:numPr>
          <w:ilvl w:val="0"/>
          <w:numId w:val="63"/>
        </w:numPr>
        <w:spacing w:after="0" w:line="300" w:lineRule="atLeast"/>
        <w:ind w:left="360"/>
        <w:jc w:val="both"/>
        <w:rPr>
          <w:rFonts w:ascii="Book Antiqua" w:hAnsi="Book Antiqua" w:cs="Arial"/>
        </w:rPr>
      </w:pPr>
      <w:r w:rsidRPr="007223AA">
        <w:rPr>
          <w:rFonts w:ascii="Book Antiqua" w:hAnsi="Book Antiqua" w:cs="Arial"/>
        </w:rPr>
        <w:t>Utilize simple and scientifically tested methodologies.</w:t>
      </w:r>
    </w:p>
    <w:p w:rsidR="00351F2C" w:rsidRPr="007223AA" w:rsidRDefault="00351F2C" w:rsidP="008227FD">
      <w:pPr>
        <w:numPr>
          <w:ilvl w:val="0"/>
          <w:numId w:val="63"/>
        </w:numPr>
        <w:spacing w:after="0" w:line="300" w:lineRule="atLeast"/>
        <w:ind w:left="360"/>
        <w:jc w:val="both"/>
        <w:rPr>
          <w:rFonts w:ascii="Book Antiqua" w:hAnsi="Book Antiqua" w:cs="Arial"/>
        </w:rPr>
      </w:pPr>
      <w:r w:rsidRPr="007223AA">
        <w:rPr>
          <w:rFonts w:ascii="Book Antiqua" w:hAnsi="Book Antiqua" w:cs="Arial"/>
        </w:rPr>
        <w:t>Incorporate training on monitoring protocols, field supervision and data verification into the design of community-based monitoring.</w:t>
      </w:r>
    </w:p>
    <w:p w:rsidR="00351F2C" w:rsidRPr="007223AA" w:rsidRDefault="00351F2C" w:rsidP="008227FD">
      <w:pPr>
        <w:numPr>
          <w:ilvl w:val="0"/>
          <w:numId w:val="63"/>
        </w:numPr>
        <w:spacing w:after="0" w:line="300" w:lineRule="atLeast"/>
        <w:ind w:left="360"/>
        <w:jc w:val="both"/>
        <w:rPr>
          <w:rFonts w:ascii="Book Antiqua" w:hAnsi="Book Antiqua" w:cs="Arial"/>
        </w:rPr>
      </w:pPr>
      <w:r w:rsidRPr="007223AA">
        <w:rPr>
          <w:rFonts w:ascii="Book Antiqua" w:hAnsi="Book Antiqua" w:cs="Arial"/>
        </w:rPr>
        <w:t xml:space="preserve">Establish a “volunteer recognition” </w:t>
      </w:r>
      <w:r w:rsidR="00480D3D">
        <w:rPr>
          <w:rFonts w:ascii="Book Antiqua" w:hAnsi="Book Antiqua" w:cs="Arial"/>
        </w:rPr>
        <w:t>programme</w:t>
      </w:r>
      <w:r w:rsidRPr="007223AA">
        <w:rPr>
          <w:rFonts w:ascii="Book Antiqua" w:hAnsi="Book Antiqua" w:cs="Arial"/>
        </w:rPr>
        <w:t>.</w:t>
      </w:r>
    </w:p>
    <w:p w:rsidR="00351F2C" w:rsidRPr="007223AA" w:rsidRDefault="00351F2C" w:rsidP="008227FD">
      <w:pPr>
        <w:numPr>
          <w:ilvl w:val="0"/>
          <w:numId w:val="63"/>
        </w:numPr>
        <w:spacing w:after="0" w:line="300" w:lineRule="atLeast"/>
        <w:ind w:left="360"/>
        <w:jc w:val="both"/>
        <w:rPr>
          <w:rFonts w:ascii="Book Antiqua" w:hAnsi="Book Antiqua" w:cs="Arial"/>
        </w:rPr>
      </w:pPr>
      <w:r w:rsidRPr="007223AA">
        <w:rPr>
          <w:rFonts w:ascii="Book Antiqua" w:hAnsi="Book Antiqua" w:cs="Arial"/>
        </w:rPr>
        <w:t>Focus on outcomes that serve society by delivering information relevant to policy.</w:t>
      </w:r>
    </w:p>
    <w:p w:rsidR="00351F2C" w:rsidRPr="007223AA" w:rsidRDefault="00351F2C" w:rsidP="00F05F95">
      <w:pPr>
        <w:spacing w:after="0" w:line="300" w:lineRule="atLeast"/>
        <w:jc w:val="both"/>
        <w:rPr>
          <w:rFonts w:ascii="Book Antiqua" w:hAnsi="Book Antiqua" w:cs="Arial"/>
        </w:rPr>
      </w:pPr>
    </w:p>
    <w:p w:rsidR="00351F2C" w:rsidRPr="007223AA" w:rsidRDefault="00351F2C" w:rsidP="00F05F95">
      <w:pPr>
        <w:spacing w:after="0" w:line="300" w:lineRule="atLeast"/>
        <w:jc w:val="both"/>
        <w:rPr>
          <w:rFonts w:ascii="Book Antiqua" w:hAnsi="Book Antiqua" w:cs="Arial"/>
        </w:rPr>
      </w:pPr>
      <w:r w:rsidRPr="007223AA">
        <w:rPr>
          <w:rFonts w:ascii="Book Antiqua" w:hAnsi="Book Antiqua" w:cs="Arial"/>
        </w:rPr>
        <w:t xml:space="preserve">Stuart-Hill et al. (2005) provide recommendations for designing a participatory monitoring system that meets the objectives of managers—not scientists. </w:t>
      </w:r>
      <w:r w:rsidR="0094625E">
        <w:rPr>
          <w:rFonts w:ascii="Book Antiqua" w:hAnsi="Book Antiqua" w:cs="Arial"/>
        </w:rPr>
        <w:t xml:space="preserve"> </w:t>
      </w:r>
      <w:r w:rsidRPr="007223AA">
        <w:rPr>
          <w:rFonts w:ascii="Book Antiqua" w:hAnsi="Book Antiqua" w:cs="Arial"/>
        </w:rPr>
        <w:t>An important separation</w:t>
      </w:r>
      <w:r w:rsidR="0094625E">
        <w:rPr>
          <w:rFonts w:ascii="Book Antiqua" w:hAnsi="Book Antiqua" w:cs="Arial"/>
        </w:rPr>
        <w:t>,</w:t>
      </w:r>
      <w:r w:rsidRPr="007223AA">
        <w:rPr>
          <w:rFonts w:ascii="Book Antiqua" w:hAnsi="Book Antiqua" w:cs="Arial"/>
        </w:rPr>
        <w:t xml:space="preserve"> that in </w:t>
      </w:r>
      <w:r w:rsidR="00480D3D">
        <w:rPr>
          <w:rFonts w:ascii="Book Antiqua" w:hAnsi="Book Antiqua" w:cs="Arial"/>
        </w:rPr>
        <w:t>REDD+</w:t>
      </w:r>
      <w:r w:rsidRPr="007223AA">
        <w:rPr>
          <w:rFonts w:ascii="Book Antiqua" w:hAnsi="Book Antiqua" w:cs="Arial"/>
        </w:rPr>
        <w:t xml:space="preserve"> terms suggest</w:t>
      </w:r>
      <w:r w:rsidR="0094625E">
        <w:rPr>
          <w:rFonts w:ascii="Book Antiqua" w:hAnsi="Book Antiqua" w:cs="Arial"/>
        </w:rPr>
        <w:t>s</w:t>
      </w:r>
      <w:r w:rsidRPr="007223AA">
        <w:rPr>
          <w:rFonts w:ascii="Book Antiqua" w:hAnsi="Book Antiqua" w:cs="Arial"/>
        </w:rPr>
        <w:t xml:space="preserve"> a focus for participatory monitoring on:</w:t>
      </w:r>
    </w:p>
    <w:p w:rsidR="00351F2C" w:rsidRPr="007223AA" w:rsidRDefault="00351F2C" w:rsidP="00F05F95">
      <w:pPr>
        <w:spacing w:after="0" w:line="300" w:lineRule="atLeast"/>
        <w:jc w:val="both"/>
        <w:rPr>
          <w:rFonts w:ascii="Book Antiqua" w:hAnsi="Book Antiqua" w:cs="Arial"/>
        </w:rPr>
      </w:pPr>
    </w:p>
    <w:p w:rsidR="00351F2C" w:rsidRPr="007223AA" w:rsidRDefault="0094625E" w:rsidP="008227FD">
      <w:pPr>
        <w:numPr>
          <w:ilvl w:val="0"/>
          <w:numId w:val="64"/>
        </w:numPr>
        <w:spacing w:after="0" w:line="300" w:lineRule="atLeast"/>
        <w:ind w:left="360"/>
        <w:jc w:val="both"/>
        <w:rPr>
          <w:rFonts w:ascii="Book Antiqua" w:hAnsi="Book Antiqua" w:cs="Arial"/>
        </w:rPr>
      </w:pPr>
      <w:r>
        <w:rPr>
          <w:rFonts w:ascii="Book Antiqua" w:hAnsi="Book Antiqua" w:cs="Arial"/>
        </w:rPr>
        <w:t>B</w:t>
      </w:r>
      <w:r w:rsidR="00351F2C" w:rsidRPr="007223AA">
        <w:rPr>
          <w:rFonts w:ascii="Book Antiqua" w:hAnsi="Book Antiqua" w:cs="Arial"/>
        </w:rPr>
        <w:t>uilding sustainable monitoring systems rather than obtaining data at all costs.</w:t>
      </w:r>
    </w:p>
    <w:p w:rsidR="00351F2C" w:rsidRPr="007223AA" w:rsidRDefault="00351F2C" w:rsidP="008227FD">
      <w:pPr>
        <w:numPr>
          <w:ilvl w:val="0"/>
          <w:numId w:val="64"/>
        </w:numPr>
        <w:spacing w:after="0" w:line="300" w:lineRule="atLeast"/>
        <w:ind w:left="360"/>
        <w:jc w:val="both"/>
        <w:rPr>
          <w:rFonts w:ascii="Book Antiqua" w:hAnsi="Book Antiqua" w:cs="Arial"/>
        </w:rPr>
      </w:pPr>
      <w:r w:rsidRPr="007223AA">
        <w:rPr>
          <w:rFonts w:ascii="Book Antiqua" w:hAnsi="Book Antiqua" w:cs="Arial"/>
        </w:rPr>
        <w:t>Understanding the working environment of local people and forest managers to realistically assess capacity to commit to monitoring.</w:t>
      </w:r>
    </w:p>
    <w:p w:rsidR="00351F2C" w:rsidRPr="007223AA" w:rsidRDefault="00523762" w:rsidP="008227FD">
      <w:pPr>
        <w:numPr>
          <w:ilvl w:val="0"/>
          <w:numId w:val="64"/>
        </w:numPr>
        <w:spacing w:after="0" w:line="300" w:lineRule="exact"/>
        <w:ind w:left="360"/>
        <w:jc w:val="both"/>
        <w:rPr>
          <w:rFonts w:ascii="Book Antiqua" w:hAnsi="Book Antiqua" w:cs="Arial"/>
        </w:rPr>
      </w:pPr>
      <w:r>
        <w:rPr>
          <w:rFonts w:ascii="Book Antiqua" w:hAnsi="Book Antiqua" w:cs="Arial"/>
        </w:rPr>
        <w:t>T</w:t>
      </w:r>
      <w:r w:rsidR="00351F2C" w:rsidRPr="007223AA">
        <w:rPr>
          <w:rFonts w:ascii="Book Antiqua" w:hAnsi="Book Antiqua" w:cs="Arial"/>
        </w:rPr>
        <w:t xml:space="preserve">opics relevant and understood by local people and forest managers. </w:t>
      </w:r>
    </w:p>
    <w:p w:rsidR="00351F2C" w:rsidRPr="007223AA" w:rsidRDefault="00351F2C" w:rsidP="008227FD">
      <w:pPr>
        <w:numPr>
          <w:ilvl w:val="0"/>
          <w:numId w:val="64"/>
        </w:numPr>
        <w:spacing w:after="0" w:line="300" w:lineRule="exact"/>
        <w:ind w:left="360"/>
        <w:jc w:val="both"/>
        <w:rPr>
          <w:rFonts w:ascii="Book Antiqua" w:hAnsi="Book Antiqua" w:cs="Arial"/>
        </w:rPr>
      </w:pPr>
      <w:r w:rsidRPr="007223AA">
        <w:rPr>
          <w:rFonts w:ascii="Book Antiqua" w:hAnsi="Book Antiqua" w:cs="Arial"/>
        </w:rPr>
        <w:lastRenderedPageBreak/>
        <w:t>Build</w:t>
      </w:r>
      <w:r w:rsidR="00523762">
        <w:rPr>
          <w:rFonts w:ascii="Book Antiqua" w:hAnsi="Book Antiqua" w:cs="Arial"/>
        </w:rPr>
        <w:t>ing</w:t>
      </w:r>
      <w:r w:rsidRPr="007223AA">
        <w:rPr>
          <w:rFonts w:ascii="Book Antiqua" w:hAnsi="Book Antiqua" w:cs="Arial"/>
        </w:rPr>
        <w:t xml:space="preserve"> on small successes rather than being too ambitious.</w:t>
      </w:r>
    </w:p>
    <w:p w:rsidR="00351F2C" w:rsidRPr="007223AA" w:rsidRDefault="00351F2C" w:rsidP="00F05F95">
      <w:pPr>
        <w:spacing w:after="0" w:line="300" w:lineRule="exact"/>
        <w:jc w:val="both"/>
        <w:rPr>
          <w:rFonts w:ascii="Book Antiqua" w:hAnsi="Book Antiqua" w:cs="Arial"/>
        </w:rPr>
      </w:pPr>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rPr>
        <w:t xml:space="preserve">CIFOR (2007) discusses two aspects of management that should be examined when developing a monitoring </w:t>
      </w:r>
      <w:r w:rsidR="00480D3D">
        <w:rPr>
          <w:rFonts w:ascii="Book Antiqua" w:hAnsi="Book Antiqua" w:cs="Arial"/>
        </w:rPr>
        <w:t>programme</w:t>
      </w:r>
      <w:r w:rsidRPr="007223AA">
        <w:rPr>
          <w:rFonts w:ascii="Book Antiqua" w:hAnsi="Book Antiqua" w:cs="Arial"/>
        </w:rPr>
        <w:t>: processes and impacts. Process monitoring examines the implementation of management actions in order to understand how—and if—they are being carried out. Impact monitoring examines the changes resulting from management action. By monitoring both, the linkage between action and impact can be established.</w:t>
      </w:r>
    </w:p>
    <w:p w:rsidR="00351F2C" w:rsidRPr="007223AA" w:rsidRDefault="00351F2C" w:rsidP="00F05F95">
      <w:pPr>
        <w:spacing w:after="0" w:line="300" w:lineRule="exact"/>
        <w:jc w:val="both"/>
        <w:rPr>
          <w:rFonts w:ascii="Book Antiqua" w:hAnsi="Book Antiqua" w:cs="Arial"/>
        </w:rPr>
      </w:pPr>
    </w:p>
    <w:p w:rsidR="00351F2C" w:rsidRPr="007223AA" w:rsidRDefault="00C47C3B" w:rsidP="00F05F95">
      <w:pPr>
        <w:spacing w:after="0" w:line="300" w:lineRule="exact"/>
        <w:jc w:val="both"/>
        <w:rPr>
          <w:rFonts w:ascii="Book Antiqua" w:hAnsi="Book Antiqua" w:cs="Arial"/>
        </w:rPr>
      </w:pPr>
      <w:r w:rsidRPr="00C47C3B">
        <w:rPr>
          <w:rFonts w:ascii="Book Antiqua" w:hAnsi="Book Antiqua" w:cs="Arial"/>
          <w:noProof/>
          <w:lang w:eastAsia="zh-TW"/>
        </w:rPr>
        <w:pict>
          <v:shape id="_x0000_s1559" type="#_x0000_t202" style="position:absolute;left:0;text-align:left;margin-left:188.7pt;margin-top:142.5pt;width:259.75pt;height:302.85pt;z-index:251634176;mso-position-horizontal-relative:margin;mso-position-vertical-relative:margin;mso-width-relative:margin;mso-height-relative:margin" fillcolor="#dbe5f1">
            <v:shadow on="t" color="#95b3d7" offset="3pt,4pt" offset2="2pt,4pt"/>
            <v:textbox style="mso-next-textbox:#_x0000_s1559">
              <w:txbxContent>
                <w:p w:rsidR="00B4351F" w:rsidRPr="003D2B4C" w:rsidRDefault="00B4351F" w:rsidP="00522F5C">
                  <w:pPr>
                    <w:spacing w:after="0" w:line="240" w:lineRule="auto"/>
                    <w:jc w:val="both"/>
                    <w:rPr>
                      <w:rFonts w:cs="Arial"/>
                      <w:b/>
                      <w:sz w:val="20"/>
                      <w:szCs w:val="20"/>
                    </w:rPr>
                  </w:pPr>
                  <w:smartTag w:uri="urn:schemas-microsoft-com:office:smarttags" w:element="address">
                    <w:smartTag w:uri="urn:schemas-microsoft-com:office:smarttags" w:element="Street">
                      <w:r w:rsidRPr="003D2B4C">
                        <w:rPr>
                          <w:rFonts w:cs="Arial"/>
                          <w:b/>
                          <w:sz w:val="20"/>
                          <w:szCs w:val="20"/>
                        </w:rPr>
                        <w:t>Box</w:t>
                      </w:r>
                    </w:smartTag>
                    <w:r w:rsidRPr="003D2B4C">
                      <w:rPr>
                        <w:rFonts w:cs="Arial"/>
                        <w:b/>
                        <w:sz w:val="20"/>
                        <w:szCs w:val="20"/>
                      </w:rPr>
                      <w:t xml:space="preserve"> 7.2</w:t>
                    </w:r>
                  </w:smartTag>
                  <w:r w:rsidRPr="003D2B4C">
                    <w:rPr>
                      <w:rFonts w:cs="Arial"/>
                      <w:b/>
                      <w:sz w:val="20"/>
                      <w:szCs w:val="20"/>
                    </w:rPr>
                    <w:t>: Principles of locally-based monitoring (Danielson et al., 2005)</w:t>
                  </w:r>
                </w:p>
                <w:p w:rsidR="00B4351F" w:rsidRPr="003D2B4C" w:rsidRDefault="00B4351F" w:rsidP="00522F5C">
                  <w:pPr>
                    <w:spacing w:after="0" w:line="240" w:lineRule="auto"/>
                    <w:jc w:val="both"/>
                    <w:rPr>
                      <w:rFonts w:cs="Arial"/>
                      <w:sz w:val="20"/>
                      <w:szCs w:val="20"/>
                    </w:rPr>
                  </w:pPr>
                </w:p>
                <w:p w:rsidR="00B4351F" w:rsidRPr="003D2B4C" w:rsidRDefault="00B4351F" w:rsidP="008227FD">
                  <w:pPr>
                    <w:numPr>
                      <w:ilvl w:val="0"/>
                      <w:numId w:val="65"/>
                    </w:numPr>
                    <w:spacing w:after="0" w:line="240" w:lineRule="auto"/>
                    <w:ind w:left="90" w:hanging="180"/>
                    <w:jc w:val="both"/>
                    <w:rPr>
                      <w:rFonts w:cs="Arial"/>
                      <w:sz w:val="20"/>
                      <w:szCs w:val="20"/>
                    </w:rPr>
                  </w:pPr>
                  <w:r w:rsidRPr="003D2B4C">
                    <w:rPr>
                      <w:rFonts w:cs="Arial"/>
                      <w:sz w:val="20"/>
                      <w:szCs w:val="20"/>
                    </w:rPr>
                    <w:t>Locally-based monitoring has to identify and respond to the benefits that the community derives from the habitat or population being monitored.</w:t>
                  </w:r>
                </w:p>
                <w:p w:rsidR="00B4351F" w:rsidRPr="003D2B4C" w:rsidRDefault="00B4351F" w:rsidP="008227FD">
                  <w:pPr>
                    <w:numPr>
                      <w:ilvl w:val="0"/>
                      <w:numId w:val="65"/>
                    </w:numPr>
                    <w:spacing w:after="0" w:line="240" w:lineRule="auto"/>
                    <w:ind w:left="90" w:hanging="180"/>
                    <w:jc w:val="both"/>
                    <w:rPr>
                      <w:rFonts w:cs="Arial"/>
                      <w:sz w:val="20"/>
                      <w:szCs w:val="20"/>
                    </w:rPr>
                  </w:pPr>
                  <w:r w:rsidRPr="003D2B4C">
                    <w:rPr>
                      <w:rFonts w:cs="Arial"/>
                      <w:sz w:val="20"/>
                      <w:szCs w:val="20"/>
                    </w:rPr>
                    <w:t>The benefits to local people participating in monitoring should exceed the costs.</w:t>
                  </w:r>
                </w:p>
                <w:p w:rsidR="00B4351F" w:rsidRPr="003D2B4C" w:rsidRDefault="00B4351F" w:rsidP="008227FD">
                  <w:pPr>
                    <w:numPr>
                      <w:ilvl w:val="0"/>
                      <w:numId w:val="65"/>
                    </w:numPr>
                    <w:spacing w:after="0" w:line="240" w:lineRule="auto"/>
                    <w:ind w:left="90" w:hanging="180"/>
                    <w:jc w:val="both"/>
                    <w:rPr>
                      <w:rFonts w:cs="Arial"/>
                      <w:sz w:val="20"/>
                      <w:szCs w:val="20"/>
                    </w:rPr>
                  </w:pPr>
                  <w:r w:rsidRPr="003D2B4C">
                    <w:rPr>
                      <w:rFonts w:cs="Arial"/>
                      <w:sz w:val="20"/>
                      <w:szCs w:val="20"/>
                    </w:rPr>
                    <w:t>Monitoring schemes must ensure that conflicts and politics between government managers and communities do not constrain the involvement of local stakeholders in the monitoring process.</w:t>
                  </w:r>
                </w:p>
                <w:p w:rsidR="00B4351F" w:rsidRPr="003D2B4C" w:rsidRDefault="00B4351F" w:rsidP="008227FD">
                  <w:pPr>
                    <w:numPr>
                      <w:ilvl w:val="0"/>
                      <w:numId w:val="65"/>
                    </w:numPr>
                    <w:spacing w:after="0" w:line="240" w:lineRule="auto"/>
                    <w:ind w:left="90" w:hanging="180"/>
                    <w:jc w:val="both"/>
                    <w:rPr>
                      <w:rFonts w:cs="Arial"/>
                      <w:sz w:val="20"/>
                      <w:szCs w:val="20"/>
                    </w:rPr>
                  </w:pPr>
                  <w:r w:rsidRPr="003D2B4C">
                    <w:rPr>
                      <w:rFonts w:cs="Arial"/>
                      <w:sz w:val="20"/>
                      <w:szCs w:val="20"/>
                    </w:rPr>
                    <w:t>Monitoring should build on existing traditional institutions and other management structures as much as possible.</w:t>
                  </w:r>
                </w:p>
                <w:p w:rsidR="00B4351F" w:rsidRPr="003D2B4C" w:rsidRDefault="00B4351F" w:rsidP="008227FD">
                  <w:pPr>
                    <w:numPr>
                      <w:ilvl w:val="0"/>
                      <w:numId w:val="65"/>
                    </w:numPr>
                    <w:spacing w:after="0" w:line="240" w:lineRule="auto"/>
                    <w:ind w:left="90" w:hanging="180"/>
                    <w:jc w:val="both"/>
                    <w:rPr>
                      <w:rFonts w:cs="Arial"/>
                      <w:sz w:val="20"/>
                      <w:szCs w:val="20"/>
                    </w:rPr>
                  </w:pPr>
                  <w:r w:rsidRPr="003D2B4C">
                    <w:rPr>
                      <w:rFonts w:cs="Arial"/>
                      <w:sz w:val="20"/>
                      <w:szCs w:val="20"/>
                    </w:rPr>
                    <w:t>It is crucial to institutionalize the work at multiple levels, from countrywide policies down to the job descriptions of local government officers.</w:t>
                  </w:r>
                </w:p>
                <w:p w:rsidR="00B4351F" w:rsidRPr="003D2B4C" w:rsidRDefault="00B4351F" w:rsidP="008227FD">
                  <w:pPr>
                    <w:numPr>
                      <w:ilvl w:val="0"/>
                      <w:numId w:val="65"/>
                    </w:numPr>
                    <w:spacing w:after="0" w:line="240" w:lineRule="auto"/>
                    <w:ind w:left="90" w:hanging="180"/>
                    <w:jc w:val="both"/>
                    <w:rPr>
                      <w:rFonts w:cs="Arial"/>
                      <w:sz w:val="20"/>
                      <w:szCs w:val="20"/>
                    </w:rPr>
                  </w:pPr>
                  <w:r w:rsidRPr="003D2B4C">
                    <w:rPr>
                      <w:rFonts w:cs="Arial"/>
                      <w:sz w:val="20"/>
                      <w:szCs w:val="20"/>
                    </w:rPr>
                    <w:t>Data should be stored and analyzed locally to the extent feasible. It should also remain accessible to local people.</w:t>
                  </w:r>
                </w:p>
                <w:p w:rsidR="00B4351F" w:rsidRPr="003D2B4C" w:rsidRDefault="00B4351F" w:rsidP="008227FD">
                  <w:pPr>
                    <w:numPr>
                      <w:ilvl w:val="0"/>
                      <w:numId w:val="65"/>
                    </w:numPr>
                    <w:spacing w:after="0" w:line="240" w:lineRule="auto"/>
                    <w:ind w:left="90" w:hanging="180"/>
                    <w:jc w:val="both"/>
                    <w:rPr>
                      <w:rFonts w:cs="Arial"/>
                      <w:sz w:val="20"/>
                      <w:szCs w:val="20"/>
                    </w:rPr>
                  </w:pPr>
                  <w:r w:rsidRPr="003D2B4C">
                    <w:rPr>
                      <w:rFonts w:cs="Arial"/>
                      <w:sz w:val="20"/>
                      <w:szCs w:val="20"/>
                    </w:rPr>
                    <w:t xml:space="preserve">Experience in the area of monitoring at local scales provides a clear and strong basis for developing relevant participatory REDD monitoring. Starting the process will require identifying suitable data for both checks and balances and performance measures. These are discussed below. </w:t>
                  </w:r>
                </w:p>
                <w:p w:rsidR="00B4351F" w:rsidRPr="003D2B4C" w:rsidRDefault="00B4351F" w:rsidP="00522F5C"/>
              </w:txbxContent>
            </v:textbox>
            <w10:wrap type="square" anchorx="margin" anchory="margin"/>
          </v:shape>
        </w:pict>
      </w:r>
      <w:r w:rsidR="00351F2C" w:rsidRPr="007223AA">
        <w:rPr>
          <w:rFonts w:ascii="Book Antiqua" w:hAnsi="Book Antiqua" w:cs="Arial"/>
        </w:rPr>
        <w:t xml:space="preserve">Scaling up these mainly small scale monitoring </w:t>
      </w:r>
      <w:r w:rsidR="00480D3D">
        <w:rPr>
          <w:rFonts w:ascii="Book Antiqua" w:hAnsi="Book Antiqua" w:cs="Arial"/>
        </w:rPr>
        <w:t>programme</w:t>
      </w:r>
      <w:r w:rsidR="00351F2C" w:rsidRPr="007223AA">
        <w:rPr>
          <w:rFonts w:ascii="Book Antiqua" w:hAnsi="Book Antiqua" w:cs="Arial"/>
        </w:rPr>
        <w:t xml:space="preserve">s is possible as long as the methods are simple, adaptable and locally relevant. If information between different forests or at different scales needs to be comparable, then a small set of easy-to measure indicators should be selected. Furthermore, information needs to be returned to local communities so that they may understand the monitoring </w:t>
      </w:r>
      <w:r w:rsidR="00480D3D">
        <w:rPr>
          <w:rFonts w:ascii="Book Antiqua" w:hAnsi="Book Antiqua" w:cs="Arial"/>
        </w:rPr>
        <w:t>programme</w:t>
      </w:r>
      <w:r w:rsidR="00351F2C" w:rsidRPr="007223AA">
        <w:rPr>
          <w:rFonts w:ascii="Book Antiqua" w:hAnsi="Book Antiqua" w:cs="Arial"/>
        </w:rPr>
        <w:t xml:space="preserve">’s relevance and can use the information in their own decision-making.  Danielsen et al. (2005b) identify six principles that contribute to the sustainability of a locally-based monitoring </w:t>
      </w:r>
      <w:r w:rsidR="00480D3D">
        <w:rPr>
          <w:rFonts w:ascii="Book Antiqua" w:hAnsi="Book Antiqua" w:cs="Arial"/>
        </w:rPr>
        <w:t>programme</w:t>
      </w:r>
      <w:r w:rsidR="00351F2C" w:rsidRPr="007223AA">
        <w:rPr>
          <w:rFonts w:ascii="Book Antiqua" w:hAnsi="Book Antiqua" w:cs="Arial"/>
        </w:rPr>
        <w:t xml:space="preserve"> without external support (see </w:t>
      </w:r>
      <w:smartTag w:uri="urn:schemas-microsoft-com:office:smarttags" w:element="address">
        <w:smartTag w:uri="urn:schemas-microsoft-com:office:smarttags" w:element="Street">
          <w:r w:rsidR="00351F2C" w:rsidRPr="007223AA">
            <w:rPr>
              <w:rFonts w:ascii="Book Antiqua" w:hAnsi="Book Antiqua" w:cs="Arial"/>
            </w:rPr>
            <w:t>Box</w:t>
          </w:r>
        </w:smartTag>
        <w:r w:rsidR="00351F2C" w:rsidRPr="007223AA">
          <w:rPr>
            <w:rFonts w:ascii="Book Antiqua" w:hAnsi="Book Antiqua" w:cs="Arial"/>
          </w:rPr>
          <w:t xml:space="preserve"> </w:t>
        </w:r>
        <w:r w:rsidR="00523762">
          <w:rPr>
            <w:rFonts w:ascii="Book Antiqua" w:hAnsi="Book Antiqua" w:cs="Arial"/>
          </w:rPr>
          <w:t>7</w:t>
        </w:r>
        <w:r w:rsidR="00351F2C" w:rsidRPr="007223AA">
          <w:rPr>
            <w:rFonts w:ascii="Book Antiqua" w:hAnsi="Book Antiqua" w:cs="Arial"/>
          </w:rPr>
          <w:t>.2</w:t>
        </w:r>
      </w:smartTag>
      <w:r w:rsidR="00351F2C" w:rsidRPr="007223AA">
        <w:rPr>
          <w:rFonts w:ascii="Book Antiqua" w:hAnsi="Book Antiqua" w:cs="Arial"/>
        </w:rPr>
        <w:t>).</w:t>
      </w:r>
    </w:p>
    <w:p w:rsidR="00351F2C" w:rsidRPr="007223AA" w:rsidRDefault="00351F2C" w:rsidP="00F05F95">
      <w:pPr>
        <w:spacing w:after="0" w:line="300" w:lineRule="exact"/>
        <w:jc w:val="both"/>
        <w:rPr>
          <w:rFonts w:ascii="Book Antiqua" w:hAnsi="Book Antiqua" w:cs="Arial"/>
        </w:rPr>
      </w:pPr>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b/>
        </w:rPr>
        <w:t>Monitoring Requirement</w:t>
      </w:r>
      <w:r w:rsidRPr="007223AA">
        <w:rPr>
          <w:rFonts w:ascii="Book Antiqua" w:hAnsi="Book Antiqua" w:cs="Arial"/>
        </w:rPr>
        <w:t xml:space="preserve">: review and identify participatory monitoring methods that have a history of effectiveness. Identify the data to be collected and the metrics and methodology to be applied. Consider the limitations, if any, of the capacity at the local level for participatory monitoring. </w:t>
      </w:r>
    </w:p>
    <w:p w:rsidR="00351F2C" w:rsidRPr="00445F77" w:rsidRDefault="00351F2C" w:rsidP="00F05F95">
      <w:pPr>
        <w:spacing w:after="0" w:line="300" w:lineRule="exact"/>
        <w:jc w:val="both"/>
        <w:rPr>
          <w:rFonts w:ascii="Arial" w:hAnsi="Arial" w:cs="Arial"/>
          <w:sz w:val="24"/>
          <w:szCs w:val="24"/>
        </w:rPr>
      </w:pPr>
    </w:p>
    <w:p w:rsidR="00351F2C" w:rsidRPr="00445F77" w:rsidRDefault="00351F2C" w:rsidP="00A256CB">
      <w:pPr>
        <w:pStyle w:val="Heading3"/>
        <w:rPr>
          <w:rFonts w:ascii="Arial" w:hAnsi="Arial" w:cs="Arial"/>
        </w:rPr>
      </w:pPr>
      <w:bookmarkStart w:id="489" w:name="_Toc243964446"/>
      <w:bookmarkStart w:id="490" w:name="_Toc243984157"/>
      <w:bookmarkStart w:id="491" w:name="_Toc244735135"/>
      <w:bookmarkStart w:id="492" w:name="_Toc249079592"/>
      <w:r w:rsidRPr="00445F77">
        <w:rPr>
          <w:rFonts w:ascii="Arial" w:hAnsi="Arial" w:cs="Arial"/>
        </w:rPr>
        <w:t>National to Local Levels</w:t>
      </w:r>
      <w:bookmarkEnd w:id="489"/>
      <w:bookmarkEnd w:id="490"/>
      <w:bookmarkEnd w:id="491"/>
      <w:bookmarkEnd w:id="492"/>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rPr>
        <w:t>The scale of monitoring may sometimes have important implications for monitoring methodology.  This is most clearly seen in relation to monitoring of performance.  At the national level, performance will be measured against a Reference Emission Level (REL), using methodologies to be determined by the UNFCCC.  It is not unreasonable to anticipate that REL methodology used to establish the national baseline might also be applied sub-nationally, at least provincially.  In such a case, the sum of provincial RELs would equal the national REL.</w:t>
      </w:r>
    </w:p>
    <w:p w:rsidR="00351F2C" w:rsidRPr="007223AA" w:rsidRDefault="00351F2C" w:rsidP="00F05F95">
      <w:pPr>
        <w:spacing w:after="0" w:line="300" w:lineRule="exact"/>
        <w:jc w:val="both"/>
        <w:rPr>
          <w:rFonts w:ascii="Book Antiqua" w:hAnsi="Book Antiqua" w:cs="Arial"/>
        </w:rPr>
      </w:pPr>
    </w:p>
    <w:p w:rsidR="00351F2C" w:rsidRPr="007223AA" w:rsidRDefault="00351F2C" w:rsidP="00894B32">
      <w:pPr>
        <w:spacing w:after="0" w:line="300" w:lineRule="exact"/>
        <w:jc w:val="both"/>
        <w:rPr>
          <w:rFonts w:ascii="Book Antiqua" w:hAnsi="Book Antiqua" w:cs="Arial"/>
        </w:rPr>
      </w:pPr>
      <w:r w:rsidRPr="007223AA">
        <w:rPr>
          <w:rFonts w:ascii="Book Antiqua" w:hAnsi="Book Antiqua" w:cs="Arial"/>
        </w:rPr>
        <w:lastRenderedPageBreak/>
        <w:t xml:space="preserve">However, at lower levels in the performance hierarchy (District/Local/Community) it may not be feasible to apply the yet-to-be-determined REL methodology. </w:t>
      </w:r>
    </w:p>
    <w:p w:rsidR="00F12DE0" w:rsidRPr="007223AA" w:rsidRDefault="00F12DE0" w:rsidP="00894B32">
      <w:pPr>
        <w:spacing w:after="0" w:line="300" w:lineRule="exact"/>
        <w:jc w:val="both"/>
        <w:rPr>
          <w:rFonts w:ascii="Book Antiqua" w:hAnsi="Book Antiqua" w:cs="Arial"/>
        </w:rPr>
      </w:pPr>
    </w:p>
    <w:p w:rsidR="00351F2C" w:rsidRPr="007223AA" w:rsidRDefault="00351F2C" w:rsidP="00894B32">
      <w:pPr>
        <w:spacing w:after="0" w:line="300" w:lineRule="exact"/>
        <w:jc w:val="both"/>
        <w:rPr>
          <w:rFonts w:ascii="Book Antiqua" w:hAnsi="Book Antiqua" w:cs="Arial"/>
        </w:rPr>
      </w:pPr>
      <w:r w:rsidRPr="007223AA">
        <w:rPr>
          <w:rFonts w:ascii="Book Antiqua" w:hAnsi="Book Antiqua" w:cs="Arial"/>
        </w:rPr>
        <w:t xml:space="preserve">There are several reasons why this is the case, but most notably, disaggregation of data at such scales may be too time-consuming, or may generate results that do not accurately reflect local conditions.  Consequently, it may be necessary to identify surrogate measures of performance at local levels.  However, such measures should still demonstrate high correlation with measures that would be generated by application of REL methodology, in order that evidence of performance is consistent with provincial and national levels. </w:t>
      </w:r>
    </w:p>
    <w:p w:rsidR="00351F2C" w:rsidRPr="00445F77" w:rsidRDefault="00351F2C" w:rsidP="00894B32">
      <w:pPr>
        <w:spacing w:after="0"/>
        <w:rPr>
          <w:rFonts w:ascii="Arial" w:hAnsi="Arial" w:cs="Arial"/>
          <w:sz w:val="24"/>
          <w:szCs w:val="24"/>
        </w:rPr>
      </w:pPr>
    </w:p>
    <w:p w:rsidR="00894B32" w:rsidRDefault="00351F2C" w:rsidP="00894B32">
      <w:pPr>
        <w:pStyle w:val="Heading2"/>
        <w:spacing w:before="0" w:after="0"/>
        <w:rPr>
          <w:rFonts w:ascii="Arial" w:hAnsi="Arial" w:cs="Arial"/>
          <w:sz w:val="24"/>
          <w:szCs w:val="24"/>
        </w:rPr>
      </w:pPr>
      <w:bookmarkStart w:id="493" w:name="_Toc252354751"/>
      <w:bookmarkStart w:id="494" w:name="_Toc244735137"/>
      <w:bookmarkStart w:id="495" w:name="_Toc244735674"/>
      <w:r w:rsidRPr="00445F77">
        <w:rPr>
          <w:rFonts w:ascii="Arial" w:hAnsi="Arial" w:cs="Arial"/>
          <w:sz w:val="24"/>
          <w:szCs w:val="24"/>
        </w:rPr>
        <w:t>7.2</w:t>
      </w:r>
      <w:r w:rsidR="00894B32">
        <w:rPr>
          <w:rFonts w:ascii="Arial" w:hAnsi="Arial" w:cs="Arial"/>
          <w:sz w:val="24"/>
          <w:szCs w:val="24"/>
        </w:rPr>
        <w:t xml:space="preserve"> Monitoring functions for REDD+ in the context of </w:t>
      </w:r>
      <w:smartTag w:uri="urn:schemas-microsoft-com:office:smarttags" w:element="country-region">
        <w:smartTag w:uri="urn:schemas-microsoft-com:office:smarttags" w:element="place">
          <w:r w:rsidR="00894B32">
            <w:rPr>
              <w:rFonts w:ascii="Arial" w:hAnsi="Arial" w:cs="Arial"/>
              <w:sz w:val="24"/>
              <w:szCs w:val="24"/>
            </w:rPr>
            <w:t>Viet Nam</w:t>
          </w:r>
        </w:smartTag>
      </w:smartTag>
      <w:bookmarkEnd w:id="493"/>
    </w:p>
    <w:p w:rsidR="00894B32" w:rsidRDefault="00351F2C" w:rsidP="00894B32">
      <w:pPr>
        <w:pStyle w:val="Heading2"/>
        <w:spacing w:before="0" w:after="0"/>
        <w:rPr>
          <w:rFonts w:ascii="Arial" w:hAnsi="Arial" w:cs="Arial"/>
          <w:sz w:val="24"/>
          <w:szCs w:val="24"/>
        </w:rPr>
      </w:pPr>
      <w:r w:rsidRPr="00445F77">
        <w:rPr>
          <w:rFonts w:ascii="Arial" w:hAnsi="Arial" w:cs="Arial"/>
          <w:sz w:val="24"/>
          <w:szCs w:val="24"/>
        </w:rPr>
        <w:t xml:space="preserve"> </w:t>
      </w:r>
    </w:p>
    <w:p w:rsidR="00351F2C" w:rsidRPr="00894B32" w:rsidRDefault="00351F2C" w:rsidP="00894B32">
      <w:pPr>
        <w:pStyle w:val="Heading2"/>
        <w:spacing w:before="0" w:after="0"/>
        <w:rPr>
          <w:rFonts w:ascii="Arial" w:hAnsi="Arial" w:cs="Arial"/>
          <w:i/>
          <w:sz w:val="24"/>
          <w:szCs w:val="24"/>
        </w:rPr>
      </w:pPr>
      <w:bookmarkStart w:id="496" w:name="_Toc252354752"/>
      <w:r w:rsidRPr="00894B32">
        <w:rPr>
          <w:rFonts w:ascii="Arial" w:hAnsi="Arial" w:cs="Arial"/>
          <w:i/>
          <w:sz w:val="24"/>
          <w:szCs w:val="24"/>
        </w:rPr>
        <w:t>Monitoring for performance</w:t>
      </w:r>
      <w:bookmarkEnd w:id="494"/>
      <w:bookmarkEnd w:id="495"/>
      <w:bookmarkEnd w:id="496"/>
    </w:p>
    <w:p w:rsidR="00351F2C" w:rsidRPr="007223AA" w:rsidRDefault="00351F2C" w:rsidP="00894B32">
      <w:pPr>
        <w:spacing w:after="0" w:line="300" w:lineRule="exact"/>
        <w:jc w:val="both"/>
        <w:rPr>
          <w:rFonts w:ascii="Book Antiqua" w:hAnsi="Book Antiqua" w:cs="Arial"/>
        </w:rPr>
      </w:pPr>
      <w:r w:rsidRPr="007223AA">
        <w:rPr>
          <w:rFonts w:ascii="Book Antiqua" w:hAnsi="Book Antiqua" w:cs="Arial"/>
        </w:rPr>
        <w:t xml:space="preserve">As mentioned above, the first function of monitoring under a REDD-compliant </w:t>
      </w:r>
      <w:r w:rsidR="00765C66">
        <w:rPr>
          <w:rFonts w:ascii="Book Antiqua" w:hAnsi="Book Antiqua" w:cs="Arial"/>
        </w:rPr>
        <w:t>BDS</w:t>
      </w:r>
      <w:r w:rsidRPr="007223AA">
        <w:rPr>
          <w:rFonts w:ascii="Book Antiqua" w:hAnsi="Book Antiqua" w:cs="Arial"/>
        </w:rPr>
        <w:t xml:space="preserve"> is monitoring of changes in emissions, which is necessary to satisfy the principle of performance-linkage.  This is a technical process that will have to meet the requirements for Monitoring, Reporting and Verification agreed to at the UNFCCC and articulated in subsequent agreements by subsidiary bodies and ad hoc working groups. Various actors have noted that forest area change may be useful and an initial proxy measure of performance, but that capacity to measure actual emissions should be built over time.  Each of remote sensing, field studies and modelling will be necessary to do this effectively and efficiently. </w:t>
      </w:r>
    </w:p>
    <w:p w:rsidR="00351F2C" w:rsidRPr="007223AA" w:rsidRDefault="00351F2C" w:rsidP="00894B32">
      <w:pPr>
        <w:spacing w:after="0" w:line="300" w:lineRule="exact"/>
        <w:jc w:val="both"/>
        <w:rPr>
          <w:rFonts w:ascii="Book Antiqua" w:hAnsi="Book Antiqua" w:cs="Arial"/>
        </w:rPr>
      </w:pPr>
    </w:p>
    <w:p w:rsidR="00351F2C" w:rsidRPr="007223AA" w:rsidRDefault="00351F2C" w:rsidP="00894B32">
      <w:pPr>
        <w:spacing w:after="0" w:line="300" w:lineRule="exact"/>
        <w:jc w:val="both"/>
        <w:rPr>
          <w:rFonts w:ascii="Book Antiqua" w:hAnsi="Book Antiqua" w:cs="Arial"/>
        </w:rPr>
      </w:pPr>
      <w:r w:rsidRPr="007223AA">
        <w:rPr>
          <w:rFonts w:ascii="Book Antiqua" w:hAnsi="Book Antiqua" w:cs="Arial"/>
        </w:rPr>
        <w:t xml:space="preserve">Some of the operational services required for monitoring carbon stocks and emissions change may be provided by governments, agencies, local people and the private sector. Consequently it could be that one beneficial change to the circumstance of local people is the opportunity for income from such service provision, though the ‘benefit’ is not ‘shared’. However, the process of monitoring changes in emissions comes before </w:t>
      </w:r>
      <w:r w:rsidR="00480D3D">
        <w:rPr>
          <w:rFonts w:ascii="Book Antiqua" w:hAnsi="Book Antiqua" w:cs="Arial"/>
        </w:rPr>
        <w:t>REDD+</w:t>
      </w:r>
      <w:r w:rsidRPr="007223AA">
        <w:rPr>
          <w:rFonts w:ascii="Book Antiqua" w:hAnsi="Book Antiqua" w:cs="Arial"/>
        </w:rPr>
        <w:t xml:space="preserve"> revenues enter the </w:t>
      </w:r>
      <w:r w:rsidR="00765C66">
        <w:rPr>
          <w:rFonts w:ascii="Book Antiqua" w:hAnsi="Book Antiqua" w:cs="Arial"/>
        </w:rPr>
        <w:t>BDS</w:t>
      </w:r>
      <w:r w:rsidRPr="007223AA">
        <w:rPr>
          <w:rFonts w:ascii="Book Antiqua" w:hAnsi="Book Antiqua" w:cs="Arial"/>
        </w:rPr>
        <w:t xml:space="preserve">, and is therefore not a focus for this study.  </w:t>
      </w:r>
    </w:p>
    <w:p w:rsidR="00351F2C" w:rsidRPr="00445F77" w:rsidRDefault="00351F2C" w:rsidP="00894B32">
      <w:pPr>
        <w:spacing w:after="0"/>
        <w:jc w:val="both"/>
        <w:rPr>
          <w:rFonts w:ascii="Arial" w:hAnsi="Arial" w:cs="Arial"/>
          <w:sz w:val="24"/>
          <w:szCs w:val="24"/>
        </w:rPr>
      </w:pPr>
    </w:p>
    <w:p w:rsidR="00351F2C" w:rsidRPr="00894B32" w:rsidRDefault="00351F2C" w:rsidP="00894B32">
      <w:pPr>
        <w:pStyle w:val="Heading2"/>
        <w:spacing w:before="0" w:after="0"/>
        <w:rPr>
          <w:rFonts w:ascii="Arial" w:hAnsi="Arial" w:cs="Arial"/>
          <w:i/>
          <w:sz w:val="24"/>
          <w:szCs w:val="24"/>
        </w:rPr>
      </w:pPr>
      <w:bookmarkStart w:id="497" w:name="_Toc243964454"/>
      <w:bookmarkStart w:id="498" w:name="_Toc243984165"/>
      <w:bookmarkStart w:id="499" w:name="_Toc244735138"/>
      <w:bookmarkStart w:id="500" w:name="_Toc244735675"/>
      <w:bookmarkStart w:id="501" w:name="_Toc252354753"/>
      <w:r w:rsidRPr="00894B32">
        <w:rPr>
          <w:rFonts w:ascii="Arial" w:hAnsi="Arial" w:cs="Arial"/>
          <w:i/>
          <w:sz w:val="24"/>
          <w:szCs w:val="24"/>
        </w:rPr>
        <w:t>Operational Monitoring: Linking performance to payments at all levels of the payment chain</w:t>
      </w:r>
      <w:bookmarkEnd w:id="497"/>
      <w:bookmarkEnd w:id="498"/>
      <w:bookmarkEnd w:id="499"/>
      <w:bookmarkEnd w:id="500"/>
      <w:bookmarkEnd w:id="501"/>
    </w:p>
    <w:p w:rsidR="00351F2C" w:rsidRPr="00445F77" w:rsidRDefault="00C47C3B" w:rsidP="00522F5C">
      <w:pPr>
        <w:spacing w:after="0"/>
        <w:jc w:val="both"/>
        <w:rPr>
          <w:rFonts w:ascii="Arial" w:hAnsi="Arial" w:cs="Arial"/>
          <w:sz w:val="24"/>
          <w:szCs w:val="24"/>
          <w:highlight w:val="green"/>
        </w:rPr>
      </w:pPr>
      <w:r w:rsidRPr="00C47C3B">
        <w:rPr>
          <w:rFonts w:ascii="Arial" w:hAnsi="Arial" w:cs="Arial"/>
          <w:noProof/>
          <w:sz w:val="24"/>
          <w:szCs w:val="24"/>
          <w:highlight w:val="green"/>
          <w:lang w:eastAsia="zh-TW"/>
        </w:rPr>
        <w:pict>
          <v:shape id="_x0000_s1563" type="#_x0000_t202" style="position:absolute;left:0;text-align:left;margin-left:-.25pt;margin-top:5.8pt;width:439.75pt;height:44.55pt;z-index:251638272;mso-height-percent:200;mso-height-percent:200;mso-width-relative:margin;mso-height-relative:margin" fillcolor="#dbe5f1">
            <v:shadow on="t" color="#95b3d7" offset="3pt,4pt" offset2="2pt,4pt"/>
            <v:textbox style="mso-next-textbox:#_x0000_s1563;mso-fit-shape-to-text:t">
              <w:txbxContent>
                <w:p w:rsidR="00B4351F" w:rsidRPr="00565B67" w:rsidRDefault="00B4351F" w:rsidP="00522F5C">
                  <w:pPr>
                    <w:spacing w:after="0" w:line="240" w:lineRule="auto"/>
                    <w:jc w:val="both"/>
                  </w:pPr>
                  <w:r w:rsidRPr="00565B67">
                    <w:rPr>
                      <w:rFonts w:cs="Arial"/>
                      <w:b/>
                      <w:sz w:val="20"/>
                      <w:szCs w:val="20"/>
                    </w:rPr>
                    <w:t>Purpose Statement:</w:t>
                  </w:r>
                  <w:r w:rsidRPr="00565B67">
                    <w:rPr>
                      <w:rFonts w:cs="Arial"/>
                      <w:sz w:val="20"/>
                      <w:szCs w:val="20"/>
                    </w:rPr>
                    <w:t xml:space="preserve"> The performance once measured, triggers payment. This monitoring confirms activities are happening. It could be led by government with </w:t>
                  </w:r>
                  <w:r>
                    <w:rPr>
                      <w:rFonts w:cs="Arial"/>
                      <w:sz w:val="20"/>
                      <w:szCs w:val="20"/>
                    </w:rPr>
                    <w:t>Civil Society Organization (</w:t>
                  </w:r>
                  <w:r w:rsidRPr="00565B67">
                    <w:rPr>
                      <w:rFonts w:cs="Arial"/>
                      <w:sz w:val="20"/>
                      <w:szCs w:val="20"/>
                    </w:rPr>
                    <w:t>CSO</w:t>
                  </w:r>
                  <w:r>
                    <w:rPr>
                      <w:rFonts w:cs="Arial"/>
                      <w:sz w:val="20"/>
                      <w:szCs w:val="20"/>
                    </w:rPr>
                    <w:t>)</w:t>
                  </w:r>
                  <w:r w:rsidRPr="00565B67">
                    <w:rPr>
                      <w:rFonts w:cs="Arial"/>
                      <w:sz w:val="20"/>
                      <w:szCs w:val="20"/>
                    </w:rPr>
                    <w:t xml:space="preserve"> involvement.</w:t>
                  </w:r>
                </w:p>
              </w:txbxContent>
            </v:textbox>
          </v:shape>
        </w:pict>
      </w:r>
    </w:p>
    <w:p w:rsidR="00351F2C" w:rsidRPr="00445F77" w:rsidRDefault="00351F2C" w:rsidP="00522F5C">
      <w:pPr>
        <w:spacing w:after="0"/>
        <w:jc w:val="both"/>
        <w:rPr>
          <w:rFonts w:ascii="Arial" w:hAnsi="Arial" w:cs="Arial"/>
          <w:sz w:val="24"/>
          <w:szCs w:val="24"/>
          <w:highlight w:val="green"/>
        </w:rPr>
      </w:pPr>
    </w:p>
    <w:p w:rsidR="00351F2C" w:rsidRPr="00445F77" w:rsidRDefault="00351F2C" w:rsidP="00522F5C">
      <w:pPr>
        <w:spacing w:after="0"/>
        <w:jc w:val="both"/>
        <w:rPr>
          <w:rFonts w:ascii="Arial" w:hAnsi="Arial" w:cs="Arial"/>
          <w:sz w:val="24"/>
          <w:szCs w:val="24"/>
          <w:highlight w:val="green"/>
        </w:rPr>
      </w:pPr>
    </w:p>
    <w:p w:rsidR="00351F2C" w:rsidRPr="00445F77" w:rsidRDefault="00351F2C" w:rsidP="00522F5C">
      <w:pPr>
        <w:spacing w:after="0"/>
        <w:jc w:val="both"/>
        <w:rPr>
          <w:rFonts w:ascii="Arial" w:hAnsi="Arial" w:cs="Arial"/>
          <w:sz w:val="24"/>
          <w:szCs w:val="24"/>
          <w:highlight w:val="green"/>
        </w:rPr>
      </w:pPr>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rPr>
        <w:t xml:space="preserve">The second function of monitoring is to ensure that the interventions and activities are being implemented as planned, are directly related to avoided deforestation/forest degradation and specified results are being achieved. That is; that the actions, tasks and steps to alter, reduce or reverse the drivers of greenhouse gas emissions change are confirmed. </w:t>
      </w:r>
      <w:r w:rsidR="00B871DD">
        <w:rPr>
          <w:rFonts w:ascii="Book Antiqua" w:hAnsi="Book Antiqua" w:cs="Arial"/>
        </w:rPr>
        <w:t xml:space="preserve"> </w:t>
      </w:r>
      <w:r w:rsidRPr="007223AA">
        <w:rPr>
          <w:rFonts w:ascii="Book Antiqua" w:hAnsi="Book Antiqua" w:cs="Arial"/>
        </w:rPr>
        <w:t xml:space="preserve">Some elements will be monitored by the national MRV system. </w:t>
      </w:r>
      <w:r w:rsidR="00B871DD">
        <w:rPr>
          <w:rFonts w:ascii="Book Antiqua" w:hAnsi="Book Antiqua" w:cs="Arial"/>
        </w:rPr>
        <w:t xml:space="preserve"> </w:t>
      </w:r>
      <w:r w:rsidRPr="007223AA">
        <w:rPr>
          <w:rFonts w:ascii="Book Antiqua" w:hAnsi="Book Antiqua" w:cs="Arial"/>
        </w:rPr>
        <w:t xml:space="preserve">Others require specific reporting against commitments and in relation to the emissions being targeted for change (reduction). </w:t>
      </w:r>
      <w:r w:rsidR="00B871DD">
        <w:rPr>
          <w:rFonts w:ascii="Book Antiqua" w:hAnsi="Book Antiqua" w:cs="Arial"/>
        </w:rPr>
        <w:t xml:space="preserve"> </w:t>
      </w:r>
      <w:r w:rsidRPr="007223AA">
        <w:rPr>
          <w:rFonts w:ascii="Book Antiqua" w:hAnsi="Book Antiqua" w:cs="Arial"/>
        </w:rPr>
        <w:t xml:space="preserve">There is also a need to ensure that the outcomes for social and community aspects are being met, the changes required for that are being undertaken and essential existing local level activities persist as appropriate. This may well deal with indicators of performance, production or persistence. </w:t>
      </w:r>
    </w:p>
    <w:p w:rsidR="00351F2C" w:rsidRPr="007223AA" w:rsidRDefault="00351F2C" w:rsidP="00F05F95">
      <w:pPr>
        <w:spacing w:after="0" w:line="300" w:lineRule="exact"/>
        <w:jc w:val="both"/>
        <w:rPr>
          <w:rFonts w:ascii="Book Antiqua" w:hAnsi="Book Antiqua" w:cs="Arial"/>
        </w:rPr>
      </w:pPr>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rPr>
        <w:t xml:space="preserve">As noted above, monitoring of </w:t>
      </w:r>
      <w:r w:rsidR="00480D3D">
        <w:rPr>
          <w:rFonts w:ascii="Book Antiqua" w:hAnsi="Book Antiqua" w:cs="Arial"/>
        </w:rPr>
        <w:t>REDD+</w:t>
      </w:r>
      <w:r w:rsidRPr="007223AA">
        <w:rPr>
          <w:rFonts w:ascii="Book Antiqua" w:hAnsi="Book Antiqua" w:cs="Arial"/>
        </w:rPr>
        <w:t xml:space="preserve"> interventions and activities is essential in order to satisfy the principle of additionality, that is</w:t>
      </w:r>
      <w:r w:rsidR="00523762">
        <w:rPr>
          <w:rFonts w:ascii="Book Antiqua" w:hAnsi="Book Antiqua" w:cs="Arial"/>
        </w:rPr>
        <w:t>,</w:t>
      </w:r>
      <w:r w:rsidRPr="007223AA">
        <w:rPr>
          <w:rFonts w:ascii="Book Antiqua" w:hAnsi="Book Antiqua" w:cs="Arial"/>
        </w:rPr>
        <w:t xml:space="preserve"> to ensure that </w:t>
      </w:r>
      <w:r w:rsidR="00480D3D">
        <w:rPr>
          <w:rFonts w:ascii="Book Antiqua" w:hAnsi="Book Antiqua" w:cs="Arial"/>
        </w:rPr>
        <w:t>REDD+</w:t>
      </w:r>
      <w:r w:rsidRPr="007223AA">
        <w:rPr>
          <w:rFonts w:ascii="Book Antiqua" w:hAnsi="Book Antiqua" w:cs="Arial"/>
        </w:rPr>
        <w:t xml:space="preserve"> payments are made to reward actions that would not otherwise have occurred.  This is particularly relevant in a country like </w:t>
      </w:r>
      <w:smartTag w:uri="urn:schemas-microsoft-com:office:smarttags" w:element="country-region">
        <w:smartTag w:uri="urn:schemas-microsoft-com:office:smarttags" w:element="place">
          <w:r w:rsidRPr="007223AA">
            <w:rPr>
              <w:rFonts w:ascii="Book Antiqua" w:hAnsi="Book Antiqua" w:cs="Arial"/>
            </w:rPr>
            <w:t>Viet Nam</w:t>
          </w:r>
        </w:smartTag>
      </w:smartTag>
      <w:r w:rsidRPr="007223AA">
        <w:rPr>
          <w:rFonts w:ascii="Book Antiqua" w:hAnsi="Book Antiqua" w:cs="Arial"/>
        </w:rPr>
        <w:t>, which has been very active in promoting</w:t>
      </w:r>
      <w:r w:rsidR="001B6D90">
        <w:rPr>
          <w:rFonts w:ascii="Book Antiqua" w:hAnsi="Book Antiqua" w:cs="Arial"/>
        </w:rPr>
        <w:t xml:space="preserve"> PFES</w:t>
      </w:r>
      <w:r w:rsidRPr="007223AA">
        <w:rPr>
          <w:rFonts w:ascii="Book Antiqua" w:hAnsi="Book Antiqua" w:cs="Arial"/>
        </w:rPr>
        <w:t xml:space="preserve">.  Improved forest conservation that would have occurred in the absence of </w:t>
      </w:r>
      <w:r w:rsidR="00480D3D">
        <w:rPr>
          <w:rFonts w:ascii="Book Antiqua" w:hAnsi="Book Antiqua" w:cs="Arial"/>
        </w:rPr>
        <w:t>REDD+</w:t>
      </w:r>
      <w:r w:rsidRPr="007223AA">
        <w:rPr>
          <w:rFonts w:ascii="Book Antiqua" w:hAnsi="Book Antiqua" w:cs="Arial"/>
        </w:rPr>
        <w:t xml:space="preserve"> should not qualify for </w:t>
      </w:r>
      <w:r w:rsidR="00480D3D">
        <w:rPr>
          <w:rFonts w:ascii="Book Antiqua" w:hAnsi="Book Antiqua" w:cs="Arial"/>
        </w:rPr>
        <w:t>REDD+</w:t>
      </w:r>
      <w:r w:rsidRPr="007223AA">
        <w:rPr>
          <w:rFonts w:ascii="Book Antiqua" w:hAnsi="Book Antiqua" w:cs="Arial"/>
        </w:rPr>
        <w:t xml:space="preserve"> benefits.</w:t>
      </w:r>
    </w:p>
    <w:p w:rsidR="00351F2C" w:rsidRPr="007223AA" w:rsidRDefault="00351F2C" w:rsidP="00F05F95">
      <w:pPr>
        <w:spacing w:after="0" w:line="300" w:lineRule="exact"/>
        <w:jc w:val="both"/>
        <w:rPr>
          <w:rFonts w:ascii="Book Antiqua" w:hAnsi="Book Antiqua" w:cs="Arial"/>
        </w:rPr>
      </w:pPr>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rPr>
        <w:t>The ‘</w:t>
      </w:r>
      <w:r w:rsidR="00523762">
        <w:rPr>
          <w:rFonts w:ascii="Book Antiqua" w:hAnsi="Book Antiqua" w:cs="Arial"/>
        </w:rPr>
        <w:t>operations</w:t>
      </w:r>
      <w:r w:rsidRPr="007223AA">
        <w:rPr>
          <w:rFonts w:ascii="Book Antiqua" w:hAnsi="Book Antiqua" w:cs="Arial"/>
        </w:rPr>
        <w:t xml:space="preserve">’ that </w:t>
      </w:r>
      <w:r w:rsidR="00523762">
        <w:rPr>
          <w:rFonts w:ascii="Book Antiqua" w:hAnsi="Book Antiqua" w:cs="Arial"/>
        </w:rPr>
        <w:t>are to be monitored</w:t>
      </w:r>
      <w:r w:rsidRPr="007223AA">
        <w:rPr>
          <w:rFonts w:ascii="Book Antiqua" w:hAnsi="Book Antiqua" w:cs="Arial"/>
        </w:rPr>
        <w:t xml:space="preserve"> must include all </w:t>
      </w:r>
      <w:r w:rsidR="00523762">
        <w:rPr>
          <w:rFonts w:ascii="Book Antiqua" w:hAnsi="Book Antiqua" w:cs="Arial"/>
        </w:rPr>
        <w:t>interventions</w:t>
      </w:r>
      <w:r w:rsidRPr="007223AA">
        <w:rPr>
          <w:rFonts w:ascii="Book Antiqua" w:hAnsi="Book Antiqua" w:cs="Arial"/>
        </w:rPr>
        <w:t xml:space="preserve"> that might </w:t>
      </w:r>
      <w:r w:rsidR="00523762">
        <w:rPr>
          <w:rFonts w:ascii="Book Antiqua" w:hAnsi="Book Antiqua" w:cs="Arial"/>
        </w:rPr>
        <w:t xml:space="preserve">address </w:t>
      </w:r>
      <w:r w:rsidRPr="007223AA">
        <w:rPr>
          <w:rFonts w:ascii="Book Antiqua" w:hAnsi="Book Antiqua" w:cs="Arial"/>
        </w:rPr>
        <w:t>drive</w:t>
      </w:r>
      <w:r w:rsidR="00523762">
        <w:rPr>
          <w:rFonts w:ascii="Book Antiqua" w:hAnsi="Book Antiqua" w:cs="Arial"/>
        </w:rPr>
        <w:t>rs of</w:t>
      </w:r>
      <w:r w:rsidRPr="007223AA">
        <w:rPr>
          <w:rFonts w:ascii="Book Antiqua" w:hAnsi="Book Antiqua" w:cs="Arial"/>
        </w:rPr>
        <w:t xml:space="preserve"> forest change</w:t>
      </w:r>
      <w:r w:rsidR="00523762">
        <w:rPr>
          <w:rFonts w:ascii="Book Antiqua" w:hAnsi="Book Antiqua" w:cs="Arial"/>
        </w:rPr>
        <w:t>, designed</w:t>
      </w:r>
      <w:r w:rsidRPr="007223AA">
        <w:rPr>
          <w:rFonts w:ascii="Book Antiqua" w:hAnsi="Book Antiqua" w:cs="Arial"/>
        </w:rPr>
        <w:t xml:space="preserve"> to reduce emissions below the baseline. </w:t>
      </w:r>
      <w:r w:rsidR="00523762">
        <w:rPr>
          <w:rFonts w:ascii="Book Antiqua" w:hAnsi="Book Antiqua" w:cs="Arial"/>
        </w:rPr>
        <w:t xml:space="preserve"> </w:t>
      </w:r>
      <w:bookmarkStart w:id="502" w:name="_Toc243964455"/>
      <w:r w:rsidR="00523762">
        <w:rPr>
          <w:rFonts w:ascii="Book Antiqua" w:hAnsi="Book Antiqua" w:cs="Arial"/>
        </w:rPr>
        <w:t>Such operations</w:t>
      </w:r>
      <w:r w:rsidRPr="007223AA">
        <w:rPr>
          <w:rFonts w:ascii="Book Antiqua" w:hAnsi="Book Antiqua" w:cs="Arial"/>
        </w:rPr>
        <w:t xml:space="preserve"> may include:</w:t>
      </w:r>
    </w:p>
    <w:p w:rsidR="00351F2C" w:rsidRPr="007223AA" w:rsidRDefault="00351F2C" w:rsidP="008227FD">
      <w:pPr>
        <w:numPr>
          <w:ilvl w:val="0"/>
          <w:numId w:val="66"/>
        </w:numPr>
        <w:spacing w:after="0" w:line="300" w:lineRule="exact"/>
        <w:ind w:left="360"/>
        <w:jc w:val="both"/>
        <w:rPr>
          <w:rFonts w:ascii="Book Antiqua" w:hAnsi="Book Antiqua" w:cs="Arial"/>
        </w:rPr>
      </w:pPr>
      <w:r w:rsidRPr="007223AA">
        <w:rPr>
          <w:rFonts w:ascii="Book Antiqua" w:hAnsi="Book Antiqua" w:cs="Arial"/>
        </w:rPr>
        <w:t>Resol</w:t>
      </w:r>
      <w:r w:rsidR="00523762">
        <w:rPr>
          <w:rFonts w:ascii="Book Antiqua" w:hAnsi="Book Antiqua" w:cs="Arial"/>
        </w:rPr>
        <w:t>ution of perverse policy incentives to deforest or degrade forest land</w:t>
      </w:r>
    </w:p>
    <w:p w:rsidR="00351F2C" w:rsidRPr="007223AA" w:rsidRDefault="00351F2C" w:rsidP="008227FD">
      <w:pPr>
        <w:numPr>
          <w:ilvl w:val="0"/>
          <w:numId w:val="66"/>
        </w:numPr>
        <w:spacing w:after="0" w:line="300" w:lineRule="exact"/>
        <w:ind w:left="360"/>
        <w:jc w:val="both"/>
        <w:rPr>
          <w:rFonts w:ascii="Book Antiqua" w:hAnsi="Book Antiqua" w:cs="Arial"/>
        </w:rPr>
      </w:pPr>
      <w:r w:rsidRPr="007223AA">
        <w:rPr>
          <w:rFonts w:ascii="Book Antiqua" w:hAnsi="Book Antiqua" w:cs="Arial"/>
        </w:rPr>
        <w:t xml:space="preserve">Spatial Planning at the </w:t>
      </w:r>
      <w:r w:rsidR="00523762">
        <w:rPr>
          <w:rFonts w:ascii="Book Antiqua" w:hAnsi="Book Antiqua" w:cs="Arial"/>
        </w:rPr>
        <w:t>l</w:t>
      </w:r>
      <w:r w:rsidRPr="007223AA">
        <w:rPr>
          <w:rFonts w:ascii="Book Antiqua" w:hAnsi="Book Antiqua" w:cs="Arial"/>
        </w:rPr>
        <w:t xml:space="preserve">ocal </w:t>
      </w:r>
      <w:r w:rsidR="00523762">
        <w:rPr>
          <w:rFonts w:ascii="Book Antiqua" w:hAnsi="Book Antiqua" w:cs="Arial"/>
        </w:rPr>
        <w:t>l</w:t>
      </w:r>
      <w:r w:rsidRPr="007223AA">
        <w:rPr>
          <w:rFonts w:ascii="Book Antiqua" w:hAnsi="Book Antiqua" w:cs="Arial"/>
        </w:rPr>
        <w:t xml:space="preserve">evel </w:t>
      </w:r>
    </w:p>
    <w:p w:rsidR="00351F2C" w:rsidRPr="007223AA" w:rsidRDefault="00351F2C" w:rsidP="008227FD">
      <w:pPr>
        <w:numPr>
          <w:ilvl w:val="0"/>
          <w:numId w:val="66"/>
        </w:numPr>
        <w:spacing w:after="0" w:line="300" w:lineRule="exact"/>
        <w:ind w:left="360"/>
        <w:jc w:val="both"/>
        <w:rPr>
          <w:rFonts w:ascii="Book Antiqua" w:hAnsi="Book Antiqua" w:cs="Arial"/>
        </w:rPr>
      </w:pPr>
      <w:r w:rsidRPr="007223AA">
        <w:rPr>
          <w:rFonts w:ascii="Book Antiqua" w:hAnsi="Book Antiqua" w:cs="Arial"/>
        </w:rPr>
        <w:t xml:space="preserve">Clarification and security of </w:t>
      </w:r>
      <w:r w:rsidR="00523762">
        <w:rPr>
          <w:rFonts w:ascii="Book Antiqua" w:hAnsi="Book Antiqua" w:cs="Arial"/>
        </w:rPr>
        <w:t>l</w:t>
      </w:r>
      <w:r w:rsidRPr="007223AA">
        <w:rPr>
          <w:rFonts w:ascii="Book Antiqua" w:hAnsi="Book Antiqua" w:cs="Arial"/>
        </w:rPr>
        <w:t xml:space="preserve">and </w:t>
      </w:r>
      <w:r w:rsidR="00523762">
        <w:rPr>
          <w:rFonts w:ascii="Book Antiqua" w:hAnsi="Book Antiqua" w:cs="Arial"/>
        </w:rPr>
        <w:t>t</w:t>
      </w:r>
      <w:r w:rsidRPr="007223AA">
        <w:rPr>
          <w:rFonts w:ascii="Book Antiqua" w:hAnsi="Book Antiqua" w:cs="Arial"/>
        </w:rPr>
        <w:t>enure</w:t>
      </w:r>
    </w:p>
    <w:p w:rsidR="00351F2C" w:rsidRPr="007223AA" w:rsidRDefault="00351F2C" w:rsidP="008227FD">
      <w:pPr>
        <w:numPr>
          <w:ilvl w:val="0"/>
          <w:numId w:val="66"/>
        </w:numPr>
        <w:spacing w:after="0" w:line="300" w:lineRule="exact"/>
        <w:ind w:left="360"/>
        <w:jc w:val="both"/>
        <w:rPr>
          <w:rFonts w:ascii="Book Antiqua" w:hAnsi="Book Antiqua" w:cs="Arial"/>
        </w:rPr>
      </w:pPr>
      <w:r w:rsidRPr="007223AA">
        <w:rPr>
          <w:rFonts w:ascii="Book Antiqua" w:hAnsi="Book Antiqua" w:cs="Arial"/>
        </w:rPr>
        <w:t>Creation of alternative incomes and livelihood options</w:t>
      </w:r>
    </w:p>
    <w:p w:rsidR="00351F2C" w:rsidRPr="007223AA" w:rsidRDefault="00351F2C" w:rsidP="008227FD">
      <w:pPr>
        <w:numPr>
          <w:ilvl w:val="0"/>
          <w:numId w:val="66"/>
        </w:numPr>
        <w:spacing w:after="0" w:line="300" w:lineRule="exact"/>
        <w:ind w:left="360"/>
        <w:jc w:val="both"/>
        <w:rPr>
          <w:rFonts w:ascii="Book Antiqua" w:hAnsi="Book Antiqua" w:cs="Arial"/>
        </w:rPr>
      </w:pPr>
      <w:r w:rsidRPr="007223AA">
        <w:rPr>
          <w:rFonts w:ascii="Book Antiqua" w:hAnsi="Book Antiqua" w:cs="Arial"/>
        </w:rPr>
        <w:t>Rehabilitat</w:t>
      </w:r>
      <w:r w:rsidR="00523762">
        <w:rPr>
          <w:rFonts w:ascii="Book Antiqua" w:hAnsi="Book Antiqua" w:cs="Arial"/>
        </w:rPr>
        <w:t>ion of</w:t>
      </w:r>
      <w:r w:rsidRPr="007223AA">
        <w:rPr>
          <w:rFonts w:ascii="Book Antiqua" w:hAnsi="Book Antiqua" w:cs="Arial"/>
        </w:rPr>
        <w:t xml:space="preserve"> degraded areas</w:t>
      </w:r>
    </w:p>
    <w:p w:rsidR="00351F2C" w:rsidRPr="007223AA" w:rsidRDefault="00351F2C" w:rsidP="008227FD">
      <w:pPr>
        <w:numPr>
          <w:ilvl w:val="0"/>
          <w:numId w:val="66"/>
        </w:numPr>
        <w:spacing w:after="0" w:line="300" w:lineRule="exact"/>
        <w:ind w:left="360"/>
        <w:jc w:val="both"/>
        <w:rPr>
          <w:rFonts w:ascii="Book Antiqua" w:hAnsi="Book Antiqua" w:cs="Arial"/>
        </w:rPr>
      </w:pPr>
      <w:r w:rsidRPr="007223AA">
        <w:rPr>
          <w:rFonts w:ascii="Book Antiqua" w:hAnsi="Book Antiqua" w:cs="Arial"/>
        </w:rPr>
        <w:t>Mitigat</w:t>
      </w:r>
      <w:r w:rsidR="00523762">
        <w:rPr>
          <w:rFonts w:ascii="Book Antiqua" w:hAnsi="Book Antiqua" w:cs="Arial"/>
        </w:rPr>
        <w:t>ion</w:t>
      </w:r>
      <w:r w:rsidRPr="007223AA">
        <w:rPr>
          <w:rFonts w:ascii="Book Antiqua" w:hAnsi="Book Antiqua" w:cs="Arial"/>
        </w:rPr>
        <w:t xml:space="preserve"> or revers</w:t>
      </w:r>
      <w:r w:rsidR="00523762">
        <w:rPr>
          <w:rFonts w:ascii="Book Antiqua" w:hAnsi="Book Antiqua" w:cs="Arial"/>
        </w:rPr>
        <w:t>al of</w:t>
      </w:r>
      <w:r w:rsidRPr="007223AA">
        <w:rPr>
          <w:rFonts w:ascii="Book Antiqua" w:hAnsi="Book Antiqua" w:cs="Arial"/>
        </w:rPr>
        <w:t xml:space="preserve"> negative impacts of infrastructure developments, plantations and resettlement </w:t>
      </w:r>
      <w:r w:rsidR="00480D3D">
        <w:rPr>
          <w:rFonts w:ascii="Book Antiqua" w:hAnsi="Book Antiqua" w:cs="Arial"/>
        </w:rPr>
        <w:t>programme</w:t>
      </w:r>
      <w:r w:rsidRPr="007223AA">
        <w:rPr>
          <w:rFonts w:ascii="Book Antiqua" w:hAnsi="Book Antiqua" w:cs="Arial"/>
        </w:rPr>
        <w:t>s</w:t>
      </w:r>
    </w:p>
    <w:p w:rsidR="00351F2C" w:rsidRPr="007223AA" w:rsidRDefault="00351F2C" w:rsidP="008227FD">
      <w:pPr>
        <w:numPr>
          <w:ilvl w:val="0"/>
          <w:numId w:val="66"/>
        </w:numPr>
        <w:spacing w:after="0" w:line="300" w:lineRule="exact"/>
        <w:ind w:left="360"/>
        <w:jc w:val="both"/>
        <w:rPr>
          <w:rFonts w:ascii="Book Antiqua" w:hAnsi="Book Antiqua" w:cs="Arial"/>
        </w:rPr>
      </w:pPr>
      <w:r w:rsidRPr="007223AA">
        <w:rPr>
          <w:rFonts w:ascii="Book Antiqua" w:hAnsi="Book Antiqua" w:cs="Arial"/>
        </w:rPr>
        <w:t xml:space="preserve">Support </w:t>
      </w:r>
      <w:r w:rsidR="00523762">
        <w:rPr>
          <w:rFonts w:ascii="Book Antiqua" w:hAnsi="Book Antiqua" w:cs="Arial"/>
        </w:rPr>
        <w:t xml:space="preserve">to </w:t>
      </w:r>
      <w:r w:rsidRPr="007223AA">
        <w:rPr>
          <w:rFonts w:ascii="Book Antiqua" w:hAnsi="Book Antiqua" w:cs="Arial"/>
        </w:rPr>
        <w:t>preventative enforcement</w:t>
      </w:r>
    </w:p>
    <w:p w:rsidR="00351F2C" w:rsidRPr="007223AA" w:rsidRDefault="00351F2C" w:rsidP="008227FD">
      <w:pPr>
        <w:numPr>
          <w:ilvl w:val="0"/>
          <w:numId w:val="66"/>
        </w:numPr>
        <w:spacing w:after="0" w:line="300" w:lineRule="exact"/>
        <w:ind w:left="360"/>
        <w:jc w:val="both"/>
        <w:rPr>
          <w:rFonts w:ascii="Book Antiqua" w:hAnsi="Book Antiqua" w:cs="Arial"/>
        </w:rPr>
      </w:pPr>
      <w:r w:rsidRPr="007223AA">
        <w:rPr>
          <w:rFonts w:ascii="Book Antiqua" w:hAnsi="Book Antiqua" w:cs="Arial"/>
        </w:rPr>
        <w:t>Facilita</w:t>
      </w:r>
      <w:r w:rsidR="00523762">
        <w:rPr>
          <w:rFonts w:ascii="Book Antiqua" w:hAnsi="Book Antiqua" w:cs="Arial"/>
        </w:rPr>
        <w:t>tion of</w:t>
      </w:r>
      <w:r w:rsidRPr="007223AA">
        <w:rPr>
          <w:rFonts w:ascii="Book Antiqua" w:hAnsi="Book Antiqua" w:cs="Arial"/>
        </w:rPr>
        <w:t xml:space="preserve"> regular </w:t>
      </w:r>
      <w:r w:rsidR="00523762">
        <w:rPr>
          <w:rFonts w:ascii="Book Antiqua" w:hAnsi="Book Antiqua" w:cs="Arial"/>
        </w:rPr>
        <w:t xml:space="preserve">law </w:t>
      </w:r>
      <w:r w:rsidRPr="007223AA">
        <w:rPr>
          <w:rFonts w:ascii="Book Antiqua" w:hAnsi="Book Antiqua" w:cs="Arial"/>
        </w:rPr>
        <w:t>enforcement</w:t>
      </w:r>
    </w:p>
    <w:bookmarkEnd w:id="502"/>
    <w:p w:rsidR="00351F2C" w:rsidRPr="007223AA" w:rsidRDefault="00351F2C" w:rsidP="00F05F95">
      <w:pPr>
        <w:spacing w:after="0" w:line="300" w:lineRule="exact"/>
        <w:jc w:val="both"/>
        <w:rPr>
          <w:rFonts w:ascii="Book Antiqua" w:hAnsi="Book Antiqua" w:cs="Arial"/>
        </w:rPr>
      </w:pPr>
    </w:p>
    <w:p w:rsidR="00351F2C" w:rsidRPr="007223AA" w:rsidRDefault="00351F2C" w:rsidP="00894B32">
      <w:pPr>
        <w:spacing w:after="0" w:line="300" w:lineRule="exact"/>
        <w:jc w:val="both"/>
        <w:rPr>
          <w:rFonts w:ascii="Book Antiqua" w:hAnsi="Book Antiqua" w:cs="Arial"/>
        </w:rPr>
      </w:pPr>
      <w:r w:rsidRPr="007223AA">
        <w:rPr>
          <w:rFonts w:ascii="Book Antiqua" w:hAnsi="Book Antiqua" w:cs="Arial"/>
        </w:rPr>
        <w:t xml:space="preserve">All of the potential actions noted will be conducted or manifested at the local level. Some of them will be the responsibility, at least in terms of documentation and records, of offices of government at the local level or higher. Others may follow from the provision of related services, contracted locally, by contractors or generated at the community level. A number require formalisation at higher levels. This suggests overall that, depending on the action, the appropriate monitoring may be conducted by local people, local government staff, independent actors or groups or a combination of these. </w:t>
      </w:r>
    </w:p>
    <w:p w:rsidR="00605C77" w:rsidRDefault="00605C77" w:rsidP="00894B32">
      <w:pPr>
        <w:spacing w:after="0" w:line="300" w:lineRule="exact"/>
        <w:jc w:val="both"/>
        <w:rPr>
          <w:rFonts w:ascii="Book Antiqua" w:hAnsi="Book Antiqua" w:cs="Arial"/>
          <w:b/>
        </w:rPr>
      </w:pPr>
    </w:p>
    <w:p w:rsidR="00351F2C" w:rsidRPr="007223AA" w:rsidRDefault="00351F2C" w:rsidP="00894B32">
      <w:pPr>
        <w:spacing w:after="0" w:line="300" w:lineRule="exact"/>
        <w:jc w:val="both"/>
        <w:rPr>
          <w:rFonts w:ascii="Book Antiqua" w:hAnsi="Book Antiqua" w:cs="Arial"/>
        </w:rPr>
      </w:pPr>
      <w:r w:rsidRPr="007223AA">
        <w:rPr>
          <w:rFonts w:ascii="Book Antiqua" w:hAnsi="Book Antiqua" w:cs="Arial"/>
          <w:b/>
        </w:rPr>
        <w:t>Monitoring Requirement</w:t>
      </w:r>
      <w:r w:rsidRPr="007223AA">
        <w:rPr>
          <w:rFonts w:ascii="Book Antiqua" w:hAnsi="Book Antiqua" w:cs="Arial"/>
        </w:rPr>
        <w:t xml:space="preserve">: </w:t>
      </w:r>
      <w:r w:rsidR="00B871DD">
        <w:rPr>
          <w:rFonts w:ascii="Book Antiqua" w:hAnsi="Book Antiqua" w:cs="Arial"/>
        </w:rPr>
        <w:t>R</w:t>
      </w:r>
      <w:r w:rsidRPr="007223AA">
        <w:rPr>
          <w:rFonts w:ascii="Book Antiqua" w:hAnsi="Book Antiqua" w:cs="Arial"/>
        </w:rPr>
        <w:t xml:space="preserve">eview and identify the performance metrics that relate to effective implementation of activities and tasks. </w:t>
      </w:r>
      <w:r w:rsidR="00B871DD">
        <w:rPr>
          <w:rFonts w:ascii="Book Antiqua" w:hAnsi="Book Antiqua" w:cs="Arial"/>
        </w:rPr>
        <w:t xml:space="preserve"> </w:t>
      </w:r>
      <w:r w:rsidRPr="007223AA">
        <w:rPr>
          <w:rFonts w:ascii="Book Antiqua" w:hAnsi="Book Antiqua" w:cs="Arial"/>
        </w:rPr>
        <w:t>Identify the data to be collected and the metrics and methodology to be applied. Consider the mix of monitoring metrics and approaches in terms of the existing capacity and skills needed consistent with the principle that monitoring should be at the lowest level that balances costs of monitoring and meaningful metrics.</w:t>
      </w:r>
    </w:p>
    <w:p w:rsidR="00351F2C" w:rsidRPr="00445F77" w:rsidRDefault="00351F2C" w:rsidP="00894B32">
      <w:pPr>
        <w:spacing w:after="0"/>
        <w:jc w:val="both"/>
        <w:rPr>
          <w:rFonts w:ascii="Arial" w:hAnsi="Arial" w:cs="Arial"/>
          <w:b/>
          <w:sz w:val="24"/>
          <w:szCs w:val="24"/>
        </w:rPr>
      </w:pPr>
    </w:p>
    <w:p w:rsidR="00351F2C" w:rsidRPr="00894B32" w:rsidRDefault="00351F2C" w:rsidP="00894B32">
      <w:pPr>
        <w:pStyle w:val="Heading2"/>
        <w:spacing w:before="0" w:after="0"/>
        <w:rPr>
          <w:rFonts w:ascii="Arial" w:hAnsi="Arial" w:cs="Arial"/>
          <w:i/>
          <w:sz w:val="24"/>
          <w:szCs w:val="24"/>
        </w:rPr>
      </w:pPr>
      <w:bookmarkStart w:id="503" w:name="_Toc244735139"/>
      <w:bookmarkStart w:id="504" w:name="_Toc244735676"/>
      <w:bookmarkStart w:id="505" w:name="_Toc252354754"/>
      <w:r w:rsidRPr="00894B32">
        <w:rPr>
          <w:rFonts w:ascii="Arial" w:hAnsi="Arial" w:cs="Arial"/>
          <w:i/>
          <w:sz w:val="24"/>
          <w:szCs w:val="24"/>
        </w:rPr>
        <w:t>Monitoring Investment and Expenditure on Interventions and Activities</w:t>
      </w:r>
      <w:bookmarkEnd w:id="503"/>
      <w:bookmarkEnd w:id="504"/>
      <w:bookmarkEnd w:id="505"/>
    </w:p>
    <w:p w:rsidR="00351F2C" w:rsidRPr="00445F77" w:rsidRDefault="00C47C3B" w:rsidP="00522F5C">
      <w:pPr>
        <w:spacing w:after="0"/>
        <w:jc w:val="both"/>
        <w:rPr>
          <w:rFonts w:ascii="Arial" w:hAnsi="Arial" w:cs="Arial"/>
          <w:sz w:val="24"/>
          <w:szCs w:val="24"/>
        </w:rPr>
      </w:pPr>
      <w:r w:rsidRPr="00C47C3B">
        <w:rPr>
          <w:rFonts w:ascii="Arial" w:hAnsi="Arial" w:cs="Arial"/>
          <w:noProof/>
          <w:sz w:val="24"/>
          <w:szCs w:val="24"/>
          <w:lang w:eastAsia="zh-TW"/>
        </w:rPr>
        <w:pict>
          <v:shape id="_x0000_s1562" type="#_x0000_t202" style="position:absolute;left:0;text-align:left;margin-left:-1.75pt;margin-top:9.65pt;width:440.05pt;height:69pt;z-index:251637248;mso-height-percent:200;mso-height-percent:200;mso-width-relative:margin;mso-height-relative:margin" fillcolor="#dbe5f1">
            <v:shadow on="t" color="#95b3d7" offset="3pt,4pt" offset2="2pt,4pt"/>
            <v:textbox style="mso-next-textbox:#_x0000_s1562;mso-fit-shape-to-text:t">
              <w:txbxContent>
                <w:p w:rsidR="00B4351F" w:rsidRPr="00C36F1B" w:rsidRDefault="00B4351F" w:rsidP="00522F5C">
                  <w:pPr>
                    <w:spacing w:after="0" w:line="240" w:lineRule="auto"/>
                    <w:jc w:val="both"/>
                  </w:pPr>
                  <w:r w:rsidRPr="00C36F1B">
                    <w:rPr>
                      <w:rFonts w:cs="Arial"/>
                      <w:b/>
                      <w:sz w:val="20"/>
                      <w:szCs w:val="20"/>
                    </w:rPr>
                    <w:t>Purpose Statement:</w:t>
                  </w:r>
                  <w:r w:rsidRPr="00C36F1B">
                    <w:rPr>
                      <w:rFonts w:cs="Arial"/>
                      <w:sz w:val="20"/>
                      <w:szCs w:val="20"/>
                    </w:rPr>
                    <w:t xml:space="preserve"> The investment and expenditure is monitored to ensure it is being applied to the interventions and activities specified. This is to ensure that the funds are directed to REDD activities as planned and not held up, redirected or dissipated. Financial processes must meet standards for probity in both government and others. This is similar to the third party financial audit role as already practiced by the ‘big five’ auditing firms and others.</w:t>
                  </w:r>
                </w:p>
              </w:txbxContent>
            </v:textbox>
          </v:shape>
        </w:pict>
      </w:r>
    </w:p>
    <w:p w:rsidR="00351F2C" w:rsidRPr="00445F77" w:rsidRDefault="00351F2C" w:rsidP="00522F5C">
      <w:pPr>
        <w:spacing w:after="0"/>
        <w:jc w:val="both"/>
        <w:rPr>
          <w:rFonts w:ascii="Arial" w:hAnsi="Arial" w:cs="Arial"/>
          <w:sz w:val="24"/>
          <w:szCs w:val="24"/>
        </w:rPr>
      </w:pPr>
    </w:p>
    <w:p w:rsidR="00351F2C" w:rsidRPr="00445F77" w:rsidRDefault="00351F2C" w:rsidP="00522F5C">
      <w:pPr>
        <w:spacing w:after="0"/>
        <w:jc w:val="both"/>
        <w:rPr>
          <w:rFonts w:ascii="Arial" w:hAnsi="Arial" w:cs="Arial"/>
          <w:sz w:val="24"/>
          <w:szCs w:val="24"/>
        </w:rPr>
      </w:pPr>
    </w:p>
    <w:p w:rsidR="00351F2C" w:rsidRPr="00445F77" w:rsidRDefault="00351F2C" w:rsidP="00522F5C">
      <w:pPr>
        <w:spacing w:after="0"/>
        <w:jc w:val="both"/>
        <w:rPr>
          <w:rFonts w:ascii="Arial" w:hAnsi="Arial" w:cs="Arial"/>
          <w:sz w:val="24"/>
          <w:szCs w:val="24"/>
        </w:rPr>
      </w:pPr>
    </w:p>
    <w:p w:rsidR="00351F2C" w:rsidRPr="00445F77" w:rsidRDefault="00351F2C" w:rsidP="00522F5C">
      <w:pPr>
        <w:spacing w:after="0"/>
        <w:jc w:val="both"/>
        <w:rPr>
          <w:rFonts w:ascii="Arial" w:hAnsi="Arial" w:cs="Arial"/>
          <w:sz w:val="24"/>
          <w:szCs w:val="24"/>
        </w:rPr>
      </w:pPr>
    </w:p>
    <w:p w:rsidR="00351F2C" w:rsidRPr="007223AA" w:rsidRDefault="00351F2C" w:rsidP="00522F5C">
      <w:pPr>
        <w:spacing w:after="0"/>
        <w:jc w:val="both"/>
        <w:rPr>
          <w:rFonts w:ascii="Book Antiqua" w:hAnsi="Book Antiqua" w:cs="Arial"/>
        </w:rPr>
      </w:pPr>
    </w:p>
    <w:p w:rsidR="000756F3" w:rsidRPr="007223AA" w:rsidRDefault="00351F2C" w:rsidP="000756F3">
      <w:pPr>
        <w:spacing w:after="0" w:line="300" w:lineRule="exact"/>
        <w:jc w:val="both"/>
        <w:rPr>
          <w:rFonts w:ascii="Book Antiqua" w:hAnsi="Book Antiqua" w:cs="Arial"/>
        </w:rPr>
      </w:pPr>
      <w:r w:rsidRPr="007223AA">
        <w:rPr>
          <w:rFonts w:ascii="Book Antiqua" w:hAnsi="Book Antiqua" w:cs="Arial"/>
        </w:rPr>
        <w:t xml:space="preserve">The third function of monitoring involves reporting on the investment and expenditures being made to undertake the interventions and activities </w:t>
      </w:r>
      <w:r w:rsidR="00523762">
        <w:rPr>
          <w:rFonts w:ascii="Book Antiqua" w:hAnsi="Book Antiqua" w:cs="Arial"/>
        </w:rPr>
        <w:t>designed to reduce deforestation and forest degradation</w:t>
      </w:r>
      <w:r w:rsidRPr="007223AA">
        <w:rPr>
          <w:rFonts w:ascii="Book Antiqua" w:hAnsi="Book Antiqua" w:cs="Arial"/>
        </w:rPr>
        <w:t xml:space="preserve">. </w:t>
      </w:r>
      <w:r w:rsidR="00523762">
        <w:rPr>
          <w:rFonts w:ascii="Book Antiqua" w:hAnsi="Book Antiqua" w:cs="Arial"/>
        </w:rPr>
        <w:t xml:space="preserve"> </w:t>
      </w:r>
      <w:r w:rsidRPr="007223AA">
        <w:rPr>
          <w:rFonts w:ascii="Book Antiqua" w:hAnsi="Book Antiqua" w:cs="Arial"/>
        </w:rPr>
        <w:t>Th</w:t>
      </w:r>
      <w:r w:rsidR="00523762">
        <w:rPr>
          <w:rFonts w:ascii="Book Antiqua" w:hAnsi="Book Antiqua" w:cs="Arial"/>
        </w:rPr>
        <w:t>i</w:t>
      </w:r>
      <w:r w:rsidRPr="007223AA">
        <w:rPr>
          <w:rFonts w:ascii="Book Antiqua" w:hAnsi="Book Antiqua" w:cs="Arial"/>
        </w:rPr>
        <w:t>s</w:t>
      </w:r>
      <w:r w:rsidR="00523762">
        <w:rPr>
          <w:rFonts w:ascii="Book Antiqua" w:hAnsi="Book Antiqua" w:cs="Arial"/>
        </w:rPr>
        <w:t xml:space="preserve"> relates to </w:t>
      </w:r>
      <w:r w:rsidRPr="007223AA">
        <w:rPr>
          <w:rFonts w:ascii="Book Antiqua" w:hAnsi="Book Antiqua" w:cs="Arial"/>
        </w:rPr>
        <w:t xml:space="preserve">plans and budgets </w:t>
      </w:r>
      <w:r w:rsidR="00523762">
        <w:rPr>
          <w:rFonts w:ascii="Book Antiqua" w:hAnsi="Book Antiqua" w:cs="Arial"/>
        </w:rPr>
        <w:t xml:space="preserve">of </w:t>
      </w:r>
      <w:r w:rsidR="000756F3">
        <w:rPr>
          <w:rFonts w:ascii="Book Antiqua" w:hAnsi="Book Antiqua" w:cs="Arial"/>
        </w:rPr>
        <w:t xml:space="preserve">REDD-related interventions </w:t>
      </w:r>
      <w:r w:rsidR="000756F3">
        <w:rPr>
          <w:rFonts w:ascii="Book Antiqua" w:hAnsi="Book Antiqua" w:cs="Arial"/>
        </w:rPr>
        <w:lastRenderedPageBreak/>
        <w:t xml:space="preserve">and activities, </w:t>
      </w:r>
      <w:r w:rsidRPr="007223AA">
        <w:rPr>
          <w:rFonts w:ascii="Book Antiqua" w:hAnsi="Book Antiqua" w:cs="Arial"/>
        </w:rPr>
        <w:t xml:space="preserve">so the monitoring </w:t>
      </w:r>
      <w:r w:rsidR="000756F3">
        <w:rPr>
          <w:rFonts w:ascii="Book Antiqua" w:hAnsi="Book Antiqua" w:cs="Arial"/>
        </w:rPr>
        <w:t>needs to be tied to plans and budgets</w:t>
      </w:r>
      <w:r w:rsidRPr="007223AA">
        <w:rPr>
          <w:rFonts w:ascii="Book Antiqua" w:hAnsi="Book Antiqua" w:cs="Arial"/>
        </w:rPr>
        <w:t xml:space="preserve">. </w:t>
      </w:r>
      <w:r w:rsidR="000756F3">
        <w:rPr>
          <w:rFonts w:ascii="Book Antiqua" w:hAnsi="Book Antiqua" w:cs="Arial"/>
        </w:rPr>
        <w:t xml:space="preserve"> </w:t>
      </w:r>
      <w:r w:rsidRPr="007223AA">
        <w:rPr>
          <w:rFonts w:ascii="Book Antiqua" w:hAnsi="Book Antiqua" w:cs="Arial"/>
        </w:rPr>
        <w:t xml:space="preserve">The approach will be a straight forward checking against the plan, costs and achievements. </w:t>
      </w:r>
      <w:r w:rsidR="000756F3">
        <w:rPr>
          <w:rFonts w:ascii="Book Antiqua" w:hAnsi="Book Antiqua" w:cs="Arial"/>
        </w:rPr>
        <w:t xml:space="preserve"> </w:t>
      </w:r>
      <w:r w:rsidRPr="007223AA">
        <w:rPr>
          <w:rFonts w:ascii="Book Antiqua" w:hAnsi="Book Antiqua" w:cs="Arial"/>
        </w:rPr>
        <w:t xml:space="preserve">One aspect of planning that will be critical is formulation of measurable milestones and concrete actions that can be assessed when completed. These will both provide a focus for where the funds go and a basis for monitoring performance. </w:t>
      </w:r>
      <w:r w:rsidR="000756F3">
        <w:rPr>
          <w:rFonts w:ascii="Book Antiqua" w:hAnsi="Book Antiqua" w:cs="Arial"/>
        </w:rPr>
        <w:t xml:space="preserve"> </w:t>
      </w:r>
      <w:r w:rsidR="000756F3" w:rsidRPr="007223AA">
        <w:rPr>
          <w:rFonts w:ascii="Book Antiqua" w:hAnsi="Book Antiqua" w:cs="Arial"/>
        </w:rPr>
        <w:t xml:space="preserve">Additionally the criteria used to develop the benefit sharing proportions (R-coefficients) will have to be reviewed periodically to ensure that the intent of applying them, equity and transparency, are met. </w:t>
      </w:r>
    </w:p>
    <w:p w:rsidR="00351F2C" w:rsidRPr="007223AA" w:rsidRDefault="00351F2C" w:rsidP="00F05F95">
      <w:pPr>
        <w:spacing w:after="0" w:line="300" w:lineRule="exact"/>
        <w:jc w:val="both"/>
        <w:rPr>
          <w:rFonts w:ascii="Book Antiqua" w:hAnsi="Book Antiqua" w:cs="Arial"/>
        </w:rPr>
      </w:pPr>
    </w:p>
    <w:p w:rsidR="00351F2C" w:rsidRPr="007223AA" w:rsidRDefault="00351F2C">
      <w:pPr>
        <w:spacing w:after="0" w:line="300" w:lineRule="atLeast"/>
        <w:jc w:val="both"/>
        <w:rPr>
          <w:rFonts w:ascii="Book Antiqua" w:hAnsi="Book Antiqua" w:cs="Arial"/>
        </w:rPr>
      </w:pPr>
      <w:r w:rsidRPr="007223AA">
        <w:rPr>
          <w:rFonts w:ascii="Book Antiqua" w:hAnsi="Book Antiqua" w:cs="Arial"/>
        </w:rPr>
        <w:t xml:space="preserve">As a guide to the costs that can be included as additional due to </w:t>
      </w:r>
      <w:r w:rsidR="00480D3D">
        <w:rPr>
          <w:rFonts w:ascii="Book Antiqua" w:hAnsi="Book Antiqua" w:cs="Arial"/>
        </w:rPr>
        <w:t>REDD+</w:t>
      </w:r>
      <w:r w:rsidRPr="007223AA">
        <w:rPr>
          <w:rFonts w:ascii="Book Antiqua" w:hAnsi="Book Antiqua" w:cs="Arial"/>
        </w:rPr>
        <w:t xml:space="preserve">, ‘admissible’, some </w:t>
      </w:r>
      <w:r w:rsidRPr="00077097">
        <w:rPr>
          <w:rFonts w:ascii="Book Antiqua" w:hAnsi="Book Antiqua" w:cs="Arial"/>
        </w:rPr>
        <w:t>guidance should be provided on these and also on ‘non-admissible’ costs</w:t>
      </w:r>
      <w:r w:rsidR="000756F3" w:rsidRPr="00077097">
        <w:rPr>
          <w:rFonts w:ascii="Book Antiqua" w:hAnsi="Book Antiqua" w:cs="Arial"/>
        </w:rPr>
        <w:t xml:space="preserve"> (see Section 5.</w:t>
      </w:r>
      <w:r w:rsidR="00077097" w:rsidRPr="00077097">
        <w:rPr>
          <w:rFonts w:ascii="Book Antiqua" w:hAnsi="Book Antiqua" w:cs="Arial"/>
        </w:rPr>
        <w:t>3</w:t>
      </w:r>
      <w:r w:rsidR="000756F3">
        <w:rPr>
          <w:rFonts w:ascii="Book Antiqua" w:hAnsi="Book Antiqua" w:cs="Arial"/>
        </w:rPr>
        <w:t>)</w:t>
      </w:r>
      <w:r w:rsidRPr="007223AA">
        <w:rPr>
          <w:rFonts w:ascii="Book Antiqua" w:hAnsi="Book Antiqua" w:cs="Arial"/>
        </w:rPr>
        <w:t xml:space="preserve">. Experience in </w:t>
      </w:r>
      <w:smartTag w:uri="urn:schemas-microsoft-com:office:smarttags" w:element="country-region">
        <w:smartTag w:uri="urn:schemas-microsoft-com:office:smarttags" w:element="place">
          <w:r w:rsidR="00480D3D">
            <w:rPr>
              <w:rFonts w:ascii="Book Antiqua" w:hAnsi="Book Antiqua" w:cs="Arial"/>
            </w:rPr>
            <w:t>Viet Nam</w:t>
          </w:r>
        </w:smartTag>
      </w:smartTag>
      <w:r w:rsidRPr="007223AA">
        <w:rPr>
          <w:rFonts w:ascii="Book Antiqua" w:hAnsi="Book Antiqua" w:cs="Arial"/>
        </w:rPr>
        <w:t xml:space="preserve"> suggests that the definition of 'other costs associated with activities reducing carbon emissions' is insufficient to prevent the misuse of funds or the use of funds for counter-productive activities (e.g., forest law enforcement following the current approach).  In this case, </w:t>
      </w:r>
      <w:r w:rsidR="00480D3D">
        <w:rPr>
          <w:rFonts w:ascii="Book Antiqua" w:hAnsi="Book Antiqua" w:cs="Arial"/>
        </w:rPr>
        <w:t>REDD+</w:t>
      </w:r>
      <w:r w:rsidRPr="007223AA">
        <w:rPr>
          <w:rFonts w:ascii="Book Antiqua" w:hAnsi="Book Antiqua" w:cs="Arial"/>
        </w:rPr>
        <w:t xml:space="preserve">, the performance is critical so the definition of admissible and non-admissible costs will support the preparation of plans that include the detail of those costs explicitly. These would be “retained costs” subtracted from the gross revenues at each level before the net revenues are distributed. </w:t>
      </w:r>
    </w:p>
    <w:p w:rsidR="00351F2C" w:rsidRPr="007223AA" w:rsidRDefault="00351F2C">
      <w:pPr>
        <w:spacing w:after="0" w:line="300" w:lineRule="atLeast"/>
        <w:jc w:val="both"/>
        <w:rPr>
          <w:rFonts w:ascii="Book Antiqua" w:hAnsi="Book Antiqua" w:cs="Arial"/>
        </w:rPr>
      </w:pPr>
    </w:p>
    <w:p w:rsidR="00351F2C" w:rsidRPr="007223AA" w:rsidRDefault="00351F2C">
      <w:pPr>
        <w:spacing w:after="0" w:line="300" w:lineRule="atLeast"/>
        <w:jc w:val="both"/>
        <w:rPr>
          <w:rFonts w:ascii="Book Antiqua" w:hAnsi="Book Antiqua" w:cs="Arial"/>
        </w:rPr>
      </w:pPr>
      <w:r w:rsidRPr="007223AA">
        <w:rPr>
          <w:rFonts w:ascii="Book Antiqua" w:hAnsi="Book Antiqua" w:cs="Arial"/>
        </w:rPr>
        <w:t>There is strong experience that the most effective way to achieve a sensible use of funds is to give as much as possible to forest owners and managers and let them decide how to use them (this will require a concerted and inclusive programme of awareness raising)</w:t>
      </w:r>
      <w:r w:rsidR="000756F3">
        <w:rPr>
          <w:rFonts w:ascii="Book Antiqua" w:hAnsi="Book Antiqua" w:cs="Arial"/>
        </w:rPr>
        <w:t>, providing adequate checks and balances are in place to ensure that funds are used for REDD-related investments.</w:t>
      </w:r>
      <w:r w:rsidRPr="007223AA">
        <w:rPr>
          <w:rFonts w:ascii="Book Antiqua" w:hAnsi="Book Antiqua" w:cs="Arial"/>
        </w:rPr>
        <w:t xml:space="preserve">  Funding provided to the administrative bureaucracy tends to generate bureaucratic measures that do not address the field problems.  </w:t>
      </w:r>
      <w:r w:rsidR="00480D3D">
        <w:rPr>
          <w:rFonts w:ascii="Book Antiqua" w:hAnsi="Book Antiqua" w:cs="Arial"/>
        </w:rPr>
        <w:t>REDD+</w:t>
      </w:r>
      <w:r w:rsidRPr="007223AA">
        <w:rPr>
          <w:rFonts w:ascii="Book Antiqua" w:hAnsi="Book Antiqua" w:cs="Arial"/>
        </w:rPr>
        <w:t xml:space="preserve"> will involve many participants and</w:t>
      </w:r>
      <w:r w:rsidR="000756F3">
        <w:rPr>
          <w:rFonts w:ascii="Book Antiqua" w:hAnsi="Book Antiqua" w:cs="Arial"/>
        </w:rPr>
        <w:t>,</w:t>
      </w:r>
      <w:r w:rsidRPr="007223AA">
        <w:rPr>
          <w:rFonts w:ascii="Book Antiqua" w:hAnsi="Book Antiqua" w:cs="Arial"/>
        </w:rPr>
        <w:t xml:space="preserve"> as identified in Chapter 5</w:t>
      </w:r>
      <w:r w:rsidR="000756F3">
        <w:rPr>
          <w:rFonts w:ascii="Book Antiqua" w:hAnsi="Book Antiqua" w:cs="Arial"/>
        </w:rPr>
        <w:t>,</w:t>
      </w:r>
      <w:r w:rsidRPr="007223AA">
        <w:rPr>
          <w:rFonts w:ascii="Book Antiqua" w:hAnsi="Book Antiqua" w:cs="Arial"/>
        </w:rPr>
        <w:t xml:space="preserve"> it will be crucial to involve a wide range of stakeholders from inside and outside the GoV in a learning process on </w:t>
      </w:r>
      <w:r w:rsidR="00480D3D">
        <w:rPr>
          <w:rFonts w:ascii="Book Antiqua" w:hAnsi="Book Antiqua" w:cs="Arial"/>
        </w:rPr>
        <w:t>REDD+</w:t>
      </w:r>
      <w:r w:rsidRPr="007223AA">
        <w:rPr>
          <w:rFonts w:ascii="Book Antiqua" w:hAnsi="Book Antiqua" w:cs="Arial"/>
        </w:rPr>
        <w:t xml:space="preserve">.  The combination of devolving responsibility as close to the field as reasonable and enhanced appreciation of </w:t>
      </w:r>
      <w:r w:rsidR="00480D3D">
        <w:rPr>
          <w:rFonts w:ascii="Book Antiqua" w:hAnsi="Book Antiqua" w:cs="Arial"/>
        </w:rPr>
        <w:t>REDD+</w:t>
      </w:r>
      <w:r w:rsidRPr="007223AA">
        <w:rPr>
          <w:rFonts w:ascii="Book Antiqua" w:hAnsi="Book Antiqua" w:cs="Arial"/>
        </w:rPr>
        <w:t xml:space="preserve"> will support the sensible use of funds. </w:t>
      </w:r>
    </w:p>
    <w:p w:rsidR="00351F2C" w:rsidRPr="007223AA" w:rsidRDefault="00351F2C" w:rsidP="00522F5C">
      <w:pPr>
        <w:pStyle w:val="Heading4"/>
        <w:jc w:val="center"/>
        <w:rPr>
          <w:rFonts w:ascii="Book Antiqua" w:hAnsi="Book Antiqua" w:cs="Arial"/>
          <w:i w:val="0"/>
          <w:color w:val="000000"/>
          <w:sz w:val="22"/>
        </w:rPr>
      </w:pPr>
      <w:r w:rsidRPr="007223AA">
        <w:rPr>
          <w:rFonts w:ascii="Book Antiqua" w:hAnsi="Book Antiqua" w:cs="Arial"/>
          <w:i w:val="0"/>
          <w:color w:val="000000"/>
          <w:sz w:val="22"/>
        </w:rPr>
        <w:t>Table 7.2: Possible Admissible and Non-admissible costs by Administrative Level</w:t>
      </w:r>
    </w:p>
    <w:tbl>
      <w:tblPr>
        <w:tblW w:w="9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tblPr>
      <w:tblGrid>
        <w:gridCol w:w="1188"/>
        <w:gridCol w:w="3780"/>
        <w:gridCol w:w="4140"/>
      </w:tblGrid>
      <w:tr w:rsidR="00351F2C" w:rsidRPr="00445F77">
        <w:tc>
          <w:tcPr>
            <w:tcW w:w="1188" w:type="dxa"/>
            <w:shd w:val="clear" w:color="auto" w:fill="95B3D7"/>
            <w:tcMar>
              <w:top w:w="0" w:type="dxa"/>
              <w:left w:w="108" w:type="dxa"/>
              <w:bottom w:w="0" w:type="dxa"/>
              <w:right w:w="108" w:type="dxa"/>
            </w:tcMar>
          </w:tcPr>
          <w:p w:rsidR="00351F2C" w:rsidRPr="007223AA" w:rsidRDefault="00351F2C" w:rsidP="00177382">
            <w:pPr>
              <w:spacing w:after="0"/>
              <w:jc w:val="center"/>
              <w:rPr>
                <w:rFonts w:ascii="Book Antiqua" w:hAnsi="Book Antiqua" w:cs="Arial"/>
                <w:b/>
              </w:rPr>
            </w:pPr>
            <w:r w:rsidRPr="007223AA">
              <w:rPr>
                <w:rFonts w:ascii="Book Antiqua" w:hAnsi="Book Antiqua" w:cs="Arial"/>
                <w:b/>
              </w:rPr>
              <w:t>Level</w:t>
            </w:r>
          </w:p>
        </w:tc>
        <w:tc>
          <w:tcPr>
            <w:tcW w:w="3780" w:type="dxa"/>
            <w:shd w:val="clear" w:color="auto" w:fill="95B3D7"/>
            <w:tcMar>
              <w:top w:w="0" w:type="dxa"/>
              <w:left w:w="108" w:type="dxa"/>
              <w:bottom w:w="0" w:type="dxa"/>
              <w:right w:w="108" w:type="dxa"/>
            </w:tcMar>
          </w:tcPr>
          <w:p w:rsidR="00351F2C" w:rsidRPr="007223AA" w:rsidRDefault="00351F2C" w:rsidP="00177382">
            <w:pPr>
              <w:spacing w:after="0"/>
              <w:jc w:val="center"/>
              <w:rPr>
                <w:rFonts w:ascii="Book Antiqua" w:hAnsi="Book Antiqua" w:cs="Arial"/>
                <w:b/>
              </w:rPr>
            </w:pPr>
            <w:r w:rsidRPr="007223AA">
              <w:rPr>
                <w:rFonts w:ascii="Book Antiqua" w:hAnsi="Book Antiqua" w:cs="Arial"/>
                <w:b/>
              </w:rPr>
              <w:t>Admissible Costs</w:t>
            </w:r>
          </w:p>
        </w:tc>
        <w:tc>
          <w:tcPr>
            <w:tcW w:w="4140" w:type="dxa"/>
            <w:shd w:val="clear" w:color="auto" w:fill="95B3D7"/>
            <w:tcMar>
              <w:top w:w="0" w:type="dxa"/>
              <w:left w:w="108" w:type="dxa"/>
              <w:bottom w:w="0" w:type="dxa"/>
              <w:right w:w="108" w:type="dxa"/>
            </w:tcMar>
          </w:tcPr>
          <w:p w:rsidR="00351F2C" w:rsidRPr="007223AA" w:rsidRDefault="00351F2C" w:rsidP="00177382">
            <w:pPr>
              <w:spacing w:after="0"/>
              <w:jc w:val="center"/>
              <w:rPr>
                <w:rFonts w:ascii="Book Antiqua" w:hAnsi="Book Antiqua" w:cs="Arial"/>
                <w:b/>
              </w:rPr>
            </w:pPr>
            <w:r w:rsidRPr="007223AA">
              <w:rPr>
                <w:rFonts w:ascii="Book Antiqua" w:hAnsi="Book Antiqua" w:cs="Arial"/>
                <w:b/>
              </w:rPr>
              <w:t>Non-admissible Costs</w:t>
            </w:r>
          </w:p>
        </w:tc>
      </w:tr>
      <w:tr w:rsidR="00351F2C" w:rsidRPr="00445F77">
        <w:tc>
          <w:tcPr>
            <w:tcW w:w="1188" w:type="dxa"/>
            <w:shd w:val="clear" w:color="auto" w:fill="DBE5F1"/>
            <w:tcMar>
              <w:top w:w="0" w:type="dxa"/>
              <w:left w:w="108" w:type="dxa"/>
              <w:bottom w:w="0" w:type="dxa"/>
              <w:right w:w="108" w:type="dxa"/>
            </w:tcMar>
          </w:tcPr>
          <w:p w:rsidR="00351F2C" w:rsidRPr="007223AA" w:rsidRDefault="00351F2C" w:rsidP="00177382">
            <w:pPr>
              <w:spacing w:after="0" w:line="240" w:lineRule="auto"/>
              <w:rPr>
                <w:rFonts w:ascii="Book Antiqua" w:hAnsi="Book Antiqua" w:cs="Arial"/>
                <w:sz w:val="20"/>
                <w:szCs w:val="20"/>
              </w:rPr>
            </w:pPr>
            <w:r w:rsidRPr="007223AA">
              <w:rPr>
                <w:rFonts w:ascii="Book Antiqua" w:hAnsi="Book Antiqua" w:cs="Arial"/>
                <w:sz w:val="20"/>
                <w:szCs w:val="20"/>
              </w:rPr>
              <w:t>National</w:t>
            </w:r>
          </w:p>
        </w:tc>
        <w:tc>
          <w:tcPr>
            <w:tcW w:w="3780" w:type="dxa"/>
            <w:shd w:val="clear" w:color="auto" w:fill="DBE5F1"/>
            <w:tcMar>
              <w:top w:w="0" w:type="dxa"/>
              <w:left w:w="108" w:type="dxa"/>
              <w:bottom w:w="0" w:type="dxa"/>
              <w:right w:w="108" w:type="dxa"/>
            </w:tcMar>
          </w:tcPr>
          <w:p w:rsidR="00351F2C" w:rsidRPr="007223AA" w:rsidRDefault="00351F2C" w:rsidP="008227FD">
            <w:pPr>
              <w:pStyle w:val="ListParagraph"/>
              <w:numPr>
                <w:ilvl w:val="0"/>
                <w:numId w:val="57"/>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 xml:space="preserve">Administration of National </w:t>
            </w:r>
            <w:r w:rsidR="00480D3D">
              <w:rPr>
                <w:rFonts w:ascii="Book Antiqua" w:hAnsi="Book Antiqua" w:cs="Arial"/>
                <w:sz w:val="20"/>
                <w:szCs w:val="20"/>
                <w:lang w:val="en-GB"/>
              </w:rPr>
              <w:t>REDD+</w:t>
            </w:r>
            <w:r w:rsidRPr="007223AA">
              <w:rPr>
                <w:rFonts w:ascii="Book Antiqua" w:hAnsi="Book Antiqua" w:cs="Arial"/>
                <w:sz w:val="20"/>
                <w:szCs w:val="20"/>
                <w:lang w:val="en-GB"/>
              </w:rPr>
              <w:t xml:space="preserve"> strategy</w:t>
            </w:r>
          </w:p>
          <w:p w:rsidR="00351F2C" w:rsidRPr="007223AA" w:rsidRDefault="00351F2C" w:rsidP="008227FD">
            <w:pPr>
              <w:pStyle w:val="ListParagraph"/>
              <w:numPr>
                <w:ilvl w:val="0"/>
                <w:numId w:val="57"/>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 xml:space="preserve">Administration of </w:t>
            </w:r>
            <w:r w:rsidR="00765C66">
              <w:rPr>
                <w:rFonts w:ascii="Book Antiqua" w:hAnsi="Book Antiqua" w:cs="Arial"/>
                <w:sz w:val="20"/>
                <w:szCs w:val="20"/>
                <w:lang w:val="en-GB"/>
              </w:rPr>
              <w:t>BDS</w:t>
            </w:r>
          </w:p>
          <w:p w:rsidR="00351F2C" w:rsidRPr="007223AA" w:rsidRDefault="00351F2C" w:rsidP="008227FD">
            <w:pPr>
              <w:pStyle w:val="ListParagraph"/>
              <w:numPr>
                <w:ilvl w:val="0"/>
                <w:numId w:val="57"/>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Monitoring of forest cover/carbon stocks/emissions</w:t>
            </w:r>
          </w:p>
          <w:p w:rsidR="00351F2C" w:rsidRPr="007223AA" w:rsidRDefault="00351F2C" w:rsidP="008227FD">
            <w:pPr>
              <w:pStyle w:val="ListParagraph"/>
              <w:numPr>
                <w:ilvl w:val="0"/>
                <w:numId w:val="57"/>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 xml:space="preserve">Monitoring of </w:t>
            </w:r>
            <w:r w:rsidR="00480D3D">
              <w:rPr>
                <w:rFonts w:ascii="Book Antiqua" w:hAnsi="Book Antiqua" w:cs="Arial"/>
                <w:sz w:val="20"/>
                <w:szCs w:val="20"/>
                <w:lang w:val="en-GB"/>
              </w:rPr>
              <w:t>REDD+</w:t>
            </w:r>
            <w:r w:rsidRPr="007223AA">
              <w:rPr>
                <w:rFonts w:ascii="Book Antiqua" w:hAnsi="Book Antiqua" w:cs="Arial"/>
                <w:sz w:val="20"/>
                <w:szCs w:val="20"/>
                <w:lang w:val="en-GB"/>
              </w:rPr>
              <w:t xml:space="preserve"> investments</w:t>
            </w:r>
          </w:p>
          <w:p w:rsidR="00351F2C" w:rsidRPr="007223AA" w:rsidRDefault="00351F2C" w:rsidP="008227FD">
            <w:pPr>
              <w:pStyle w:val="ListParagraph"/>
              <w:numPr>
                <w:ilvl w:val="0"/>
                <w:numId w:val="57"/>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Independent external audits</w:t>
            </w:r>
          </w:p>
          <w:p w:rsidR="00351F2C" w:rsidRPr="007223AA" w:rsidRDefault="00351F2C" w:rsidP="008227FD">
            <w:pPr>
              <w:pStyle w:val="ListParagraph"/>
              <w:numPr>
                <w:ilvl w:val="0"/>
                <w:numId w:val="57"/>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 xml:space="preserve">Investments in measures to reduce emissions, for example, increased capacity for </w:t>
            </w:r>
            <w:r w:rsidR="00480D3D">
              <w:rPr>
                <w:rFonts w:ascii="Book Antiqua" w:hAnsi="Book Antiqua" w:cs="Arial"/>
                <w:sz w:val="20"/>
                <w:szCs w:val="20"/>
                <w:lang w:val="en-GB"/>
              </w:rPr>
              <w:t>REDD+</w:t>
            </w:r>
            <w:r w:rsidRPr="007223AA">
              <w:rPr>
                <w:rFonts w:ascii="Book Antiqua" w:hAnsi="Book Antiqua" w:cs="Arial"/>
                <w:sz w:val="20"/>
                <w:szCs w:val="20"/>
                <w:lang w:val="en-GB"/>
              </w:rPr>
              <w:t xml:space="preserve"> specific forest law enforcement; targeted public awareness campaigns, etc.</w:t>
            </w:r>
          </w:p>
        </w:tc>
        <w:tc>
          <w:tcPr>
            <w:tcW w:w="4140" w:type="dxa"/>
            <w:shd w:val="clear" w:color="auto" w:fill="DBE5F1"/>
            <w:tcMar>
              <w:top w:w="0" w:type="dxa"/>
              <w:left w:w="108" w:type="dxa"/>
              <w:bottom w:w="0" w:type="dxa"/>
              <w:right w:w="108" w:type="dxa"/>
            </w:tcMar>
          </w:tcPr>
          <w:p w:rsidR="00351F2C" w:rsidRPr="007223AA" w:rsidRDefault="00351F2C" w:rsidP="008227FD">
            <w:pPr>
              <w:pStyle w:val="ListParagraph"/>
              <w:numPr>
                <w:ilvl w:val="0"/>
                <w:numId w:val="60"/>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Normal budgetary costs of MARD (or other ministries/ agencies)</w:t>
            </w:r>
          </w:p>
          <w:p w:rsidR="00351F2C" w:rsidRPr="007223AA" w:rsidRDefault="00351F2C" w:rsidP="008227FD">
            <w:pPr>
              <w:pStyle w:val="ListParagraph"/>
              <w:numPr>
                <w:ilvl w:val="0"/>
                <w:numId w:val="60"/>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Investment in national social development programmes, such as education, health</w:t>
            </w:r>
          </w:p>
          <w:p w:rsidR="00351F2C" w:rsidRPr="007223AA" w:rsidRDefault="00351F2C" w:rsidP="008227FD">
            <w:pPr>
              <w:pStyle w:val="ListParagraph"/>
              <w:numPr>
                <w:ilvl w:val="0"/>
                <w:numId w:val="60"/>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Investment in infrastructure (roads, schools, buildings, offices, dams, bridges etc) unless specifically required for AD/D activities</w:t>
            </w:r>
          </w:p>
        </w:tc>
      </w:tr>
      <w:tr w:rsidR="00351F2C" w:rsidRPr="00445F77">
        <w:tc>
          <w:tcPr>
            <w:tcW w:w="1188" w:type="dxa"/>
            <w:shd w:val="clear" w:color="auto" w:fill="DBE5F1"/>
            <w:tcMar>
              <w:top w:w="0" w:type="dxa"/>
              <w:left w:w="108" w:type="dxa"/>
              <w:bottom w:w="0" w:type="dxa"/>
              <w:right w:w="108" w:type="dxa"/>
            </w:tcMar>
          </w:tcPr>
          <w:p w:rsidR="00351F2C" w:rsidRPr="007223AA" w:rsidRDefault="00351F2C" w:rsidP="00177382">
            <w:pPr>
              <w:spacing w:after="0" w:line="240" w:lineRule="auto"/>
              <w:rPr>
                <w:rFonts w:ascii="Book Antiqua" w:hAnsi="Book Antiqua" w:cs="Arial"/>
                <w:sz w:val="20"/>
                <w:szCs w:val="20"/>
              </w:rPr>
            </w:pPr>
            <w:r w:rsidRPr="007223AA">
              <w:rPr>
                <w:rFonts w:ascii="Book Antiqua" w:hAnsi="Book Antiqua" w:cs="Arial"/>
                <w:sz w:val="20"/>
                <w:szCs w:val="20"/>
              </w:rPr>
              <w:t>Provincial/ District</w:t>
            </w:r>
          </w:p>
        </w:tc>
        <w:tc>
          <w:tcPr>
            <w:tcW w:w="3780" w:type="dxa"/>
            <w:shd w:val="clear" w:color="auto" w:fill="DBE5F1"/>
            <w:tcMar>
              <w:top w:w="0" w:type="dxa"/>
              <w:left w:w="108" w:type="dxa"/>
              <w:bottom w:w="0" w:type="dxa"/>
              <w:right w:w="108" w:type="dxa"/>
            </w:tcMar>
          </w:tcPr>
          <w:p w:rsidR="00351F2C" w:rsidRPr="007223AA" w:rsidRDefault="00351F2C" w:rsidP="008227FD">
            <w:pPr>
              <w:pStyle w:val="ListParagraph"/>
              <w:numPr>
                <w:ilvl w:val="0"/>
                <w:numId w:val="58"/>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 xml:space="preserve">Administration of </w:t>
            </w:r>
            <w:r w:rsidR="00765C66">
              <w:rPr>
                <w:rFonts w:ascii="Book Antiqua" w:hAnsi="Book Antiqua" w:cs="Arial"/>
                <w:sz w:val="20"/>
                <w:szCs w:val="20"/>
                <w:lang w:val="en-GB"/>
              </w:rPr>
              <w:t>BDS</w:t>
            </w:r>
            <w:r w:rsidRPr="007223AA">
              <w:rPr>
                <w:rFonts w:ascii="Book Antiqua" w:hAnsi="Book Antiqua" w:cs="Arial"/>
                <w:sz w:val="20"/>
                <w:szCs w:val="20"/>
                <w:lang w:val="en-GB"/>
              </w:rPr>
              <w:t xml:space="preserve"> at provincial//district level</w:t>
            </w:r>
          </w:p>
          <w:p w:rsidR="00351F2C" w:rsidRPr="007223AA" w:rsidRDefault="00351F2C" w:rsidP="008227FD">
            <w:pPr>
              <w:pStyle w:val="ListParagraph"/>
              <w:numPr>
                <w:ilvl w:val="0"/>
                <w:numId w:val="58"/>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Participatory monitoring of forest cover/carbon stocks/emissions</w:t>
            </w:r>
          </w:p>
          <w:p w:rsidR="00351F2C" w:rsidRPr="007223AA" w:rsidRDefault="00351F2C" w:rsidP="008227FD">
            <w:pPr>
              <w:pStyle w:val="ListParagraph"/>
              <w:numPr>
                <w:ilvl w:val="0"/>
                <w:numId w:val="58"/>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 xml:space="preserve">Participatory monitoring of </w:t>
            </w:r>
            <w:r w:rsidR="00480D3D">
              <w:rPr>
                <w:rFonts w:ascii="Book Antiqua" w:hAnsi="Book Antiqua" w:cs="Arial"/>
                <w:sz w:val="20"/>
                <w:szCs w:val="20"/>
                <w:lang w:val="en-GB"/>
              </w:rPr>
              <w:t>REDD+</w:t>
            </w:r>
            <w:r w:rsidRPr="007223AA">
              <w:rPr>
                <w:rFonts w:ascii="Book Antiqua" w:hAnsi="Book Antiqua" w:cs="Arial"/>
                <w:sz w:val="20"/>
                <w:szCs w:val="20"/>
                <w:lang w:val="en-GB"/>
              </w:rPr>
              <w:t xml:space="preserve"> investments</w:t>
            </w:r>
          </w:p>
          <w:p w:rsidR="00351F2C" w:rsidRPr="007223AA" w:rsidRDefault="00351F2C" w:rsidP="008227FD">
            <w:pPr>
              <w:pStyle w:val="ListParagraph"/>
              <w:numPr>
                <w:ilvl w:val="0"/>
                <w:numId w:val="58"/>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lastRenderedPageBreak/>
              <w:t xml:space="preserve">Public awareness campaigns on </w:t>
            </w:r>
            <w:r w:rsidR="00480D3D">
              <w:rPr>
                <w:rFonts w:ascii="Book Antiqua" w:hAnsi="Book Antiqua" w:cs="Arial"/>
                <w:sz w:val="20"/>
                <w:szCs w:val="20"/>
                <w:lang w:val="en-GB"/>
              </w:rPr>
              <w:t>REDD+</w:t>
            </w:r>
            <w:r w:rsidRPr="007223AA">
              <w:rPr>
                <w:rFonts w:ascii="Book Antiqua" w:hAnsi="Book Antiqua" w:cs="Arial"/>
                <w:sz w:val="20"/>
                <w:szCs w:val="20"/>
                <w:lang w:val="en-GB"/>
              </w:rPr>
              <w:t xml:space="preserve"> and measures to reduce emissions</w:t>
            </w:r>
          </w:p>
          <w:p w:rsidR="00351F2C" w:rsidRPr="007223AA" w:rsidRDefault="00351F2C" w:rsidP="008227FD">
            <w:pPr>
              <w:pStyle w:val="ListParagraph"/>
              <w:numPr>
                <w:ilvl w:val="0"/>
                <w:numId w:val="58"/>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Other investments in measures to reduce emissions, for example, increased capacity for participatory forest planning, etc.</w:t>
            </w:r>
          </w:p>
        </w:tc>
        <w:tc>
          <w:tcPr>
            <w:tcW w:w="4140" w:type="dxa"/>
            <w:shd w:val="clear" w:color="auto" w:fill="DBE5F1"/>
            <w:tcMar>
              <w:top w:w="0" w:type="dxa"/>
              <w:left w:w="108" w:type="dxa"/>
              <w:bottom w:w="0" w:type="dxa"/>
              <w:right w:w="108" w:type="dxa"/>
            </w:tcMar>
          </w:tcPr>
          <w:p w:rsidR="00351F2C" w:rsidRPr="007223AA" w:rsidRDefault="00351F2C" w:rsidP="008227FD">
            <w:pPr>
              <w:pStyle w:val="ListParagraph"/>
              <w:numPr>
                <w:ilvl w:val="0"/>
                <w:numId w:val="60"/>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lastRenderedPageBreak/>
              <w:t>Normal budgetary costs of PPC, DARD (or other departments/ agencies)</w:t>
            </w:r>
          </w:p>
          <w:p w:rsidR="00351F2C" w:rsidRPr="007223AA" w:rsidRDefault="00351F2C" w:rsidP="008227FD">
            <w:pPr>
              <w:pStyle w:val="ListParagraph"/>
              <w:numPr>
                <w:ilvl w:val="0"/>
                <w:numId w:val="60"/>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 xml:space="preserve">Investment in provincial social development programmes, such as education, health (at District level some would be admissible, if a strong </w:t>
            </w:r>
            <w:r w:rsidRPr="007223AA">
              <w:rPr>
                <w:rFonts w:ascii="Book Antiqua" w:hAnsi="Book Antiqua" w:cs="Arial"/>
                <w:sz w:val="20"/>
                <w:szCs w:val="20"/>
                <w:lang w:val="en-GB"/>
              </w:rPr>
              <w:lastRenderedPageBreak/>
              <w:t>justification of link to emissions reductions can be made and is demonstrated that is an agreed/effective incentive for avoided deforestation/forest degradation)</w:t>
            </w:r>
          </w:p>
          <w:p w:rsidR="00351F2C" w:rsidRPr="007223AA" w:rsidRDefault="00351F2C" w:rsidP="008227FD">
            <w:pPr>
              <w:pStyle w:val="ListParagraph"/>
              <w:numPr>
                <w:ilvl w:val="0"/>
                <w:numId w:val="60"/>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Infrastructure development projects unless specifically required for AD/D activities</w:t>
            </w:r>
          </w:p>
        </w:tc>
      </w:tr>
      <w:tr w:rsidR="00351F2C" w:rsidRPr="00445F77">
        <w:tc>
          <w:tcPr>
            <w:tcW w:w="1188" w:type="dxa"/>
            <w:shd w:val="clear" w:color="auto" w:fill="DBE5F1"/>
            <w:tcMar>
              <w:top w:w="0" w:type="dxa"/>
              <w:left w:w="108" w:type="dxa"/>
              <w:bottom w:w="0" w:type="dxa"/>
              <w:right w:w="108" w:type="dxa"/>
            </w:tcMar>
          </w:tcPr>
          <w:p w:rsidR="00351F2C" w:rsidRPr="007223AA" w:rsidRDefault="00351F2C" w:rsidP="00177382">
            <w:pPr>
              <w:spacing w:after="0" w:line="240" w:lineRule="auto"/>
              <w:rPr>
                <w:rFonts w:ascii="Book Antiqua" w:hAnsi="Book Antiqua" w:cs="Arial"/>
                <w:sz w:val="20"/>
                <w:szCs w:val="20"/>
              </w:rPr>
            </w:pPr>
            <w:r w:rsidRPr="007223AA">
              <w:rPr>
                <w:rFonts w:ascii="Book Antiqua" w:hAnsi="Book Antiqua" w:cs="Arial"/>
                <w:sz w:val="20"/>
                <w:szCs w:val="20"/>
              </w:rPr>
              <w:lastRenderedPageBreak/>
              <w:t>Local</w:t>
            </w:r>
          </w:p>
        </w:tc>
        <w:tc>
          <w:tcPr>
            <w:tcW w:w="3780" w:type="dxa"/>
            <w:shd w:val="clear" w:color="auto" w:fill="DBE5F1"/>
            <w:tcMar>
              <w:top w:w="0" w:type="dxa"/>
              <w:left w:w="108" w:type="dxa"/>
              <w:bottom w:w="0" w:type="dxa"/>
              <w:right w:w="108" w:type="dxa"/>
            </w:tcMar>
          </w:tcPr>
          <w:p w:rsidR="00351F2C" w:rsidRPr="007223AA" w:rsidRDefault="00351F2C" w:rsidP="008227FD">
            <w:pPr>
              <w:pStyle w:val="ListParagraph"/>
              <w:numPr>
                <w:ilvl w:val="0"/>
                <w:numId w:val="59"/>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 xml:space="preserve">Actual costs of activities to reduce emissions </w:t>
            </w:r>
          </w:p>
        </w:tc>
        <w:tc>
          <w:tcPr>
            <w:tcW w:w="4140" w:type="dxa"/>
            <w:shd w:val="clear" w:color="auto" w:fill="DBE5F1"/>
            <w:tcMar>
              <w:top w:w="0" w:type="dxa"/>
              <w:left w:w="108" w:type="dxa"/>
              <w:bottom w:w="0" w:type="dxa"/>
              <w:right w:w="108" w:type="dxa"/>
            </w:tcMar>
          </w:tcPr>
          <w:p w:rsidR="00351F2C" w:rsidRPr="007223AA" w:rsidRDefault="00351F2C" w:rsidP="008227FD">
            <w:pPr>
              <w:pStyle w:val="ListParagraph"/>
              <w:numPr>
                <w:ilvl w:val="0"/>
                <w:numId w:val="60"/>
              </w:numPr>
              <w:spacing w:after="0" w:line="240" w:lineRule="auto"/>
              <w:ind w:left="158" w:hanging="158"/>
              <w:jc w:val="both"/>
              <w:rPr>
                <w:rFonts w:ascii="Book Antiqua" w:hAnsi="Book Antiqua" w:cs="Arial"/>
                <w:sz w:val="20"/>
                <w:szCs w:val="20"/>
                <w:lang w:val="en-GB"/>
              </w:rPr>
            </w:pPr>
            <w:r w:rsidRPr="007223AA">
              <w:rPr>
                <w:rFonts w:ascii="Book Antiqua" w:hAnsi="Book Antiqua" w:cs="Arial"/>
                <w:sz w:val="20"/>
                <w:szCs w:val="20"/>
                <w:lang w:val="en-GB"/>
              </w:rPr>
              <w:t>Infrastructure development projects unless specifically required for AD/D activities or is demonstrated that is an agreed/effective incentive for avoided deforestation/forest degradation</w:t>
            </w:r>
          </w:p>
        </w:tc>
      </w:tr>
    </w:tbl>
    <w:p w:rsidR="00351F2C" w:rsidRPr="00445F77" w:rsidRDefault="00351F2C" w:rsidP="00522F5C">
      <w:pPr>
        <w:spacing w:after="0"/>
        <w:rPr>
          <w:rFonts w:ascii="Arial" w:hAnsi="Arial" w:cs="Arial"/>
          <w:sz w:val="24"/>
          <w:szCs w:val="24"/>
        </w:rPr>
      </w:pPr>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rPr>
        <w:t xml:space="preserve">As discussed in Chapter 5, transaction costs are distinct from implementation costs. They comprise expenditures on quantifying existing carbon stocks and measuring changes in them, developing a </w:t>
      </w:r>
      <w:r w:rsidR="00480D3D">
        <w:rPr>
          <w:rFonts w:ascii="Book Antiqua" w:hAnsi="Book Antiqua" w:cs="Arial"/>
        </w:rPr>
        <w:t>REDD+</w:t>
      </w:r>
      <w:r w:rsidRPr="007223AA">
        <w:rPr>
          <w:rFonts w:ascii="Book Antiqua" w:hAnsi="Book Antiqua" w:cs="Arial"/>
        </w:rPr>
        <w:t xml:space="preserve"> strategy, preparing and negotiating </w:t>
      </w:r>
      <w:r w:rsidR="00480D3D">
        <w:rPr>
          <w:rFonts w:ascii="Book Antiqua" w:hAnsi="Book Antiqua" w:cs="Arial"/>
        </w:rPr>
        <w:t>REDD+</w:t>
      </w:r>
      <w:r w:rsidRPr="007223AA">
        <w:rPr>
          <w:rFonts w:ascii="Book Antiqua" w:hAnsi="Book Antiqua" w:cs="Arial"/>
        </w:rPr>
        <w:t xml:space="preserve"> projects, validating and verifying them; monitoring and reporting on </w:t>
      </w:r>
      <w:r w:rsidR="00480D3D">
        <w:rPr>
          <w:rFonts w:ascii="Book Antiqua" w:hAnsi="Book Antiqua" w:cs="Arial"/>
        </w:rPr>
        <w:t>REDD+</w:t>
      </w:r>
      <w:r w:rsidRPr="007223AA">
        <w:rPr>
          <w:rFonts w:ascii="Book Antiqua" w:hAnsi="Book Antiqua" w:cs="Arial"/>
        </w:rPr>
        <w:t xml:space="preserve"> compliance, and so on.  These are included as admissible costs in Table 7.2.  Chapter 5 also explains that opportunity costs will accrue at all levels in Viet Nam, but will be felt for the most part as real losses and expenses to forest managers and owners – and are thus reflected as admissible costs in Table 7.2. </w:t>
      </w:r>
    </w:p>
    <w:p w:rsidR="00351F2C" w:rsidRPr="007223AA" w:rsidRDefault="00351F2C" w:rsidP="00F05F95">
      <w:pPr>
        <w:spacing w:after="0" w:line="300" w:lineRule="exact"/>
        <w:jc w:val="both"/>
        <w:rPr>
          <w:rFonts w:ascii="Book Antiqua" w:hAnsi="Book Antiqua" w:cs="Arial"/>
        </w:rPr>
      </w:pPr>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rPr>
        <w:t>The nature of monitoring the activities to be undertaken lends itself to the existing approaches of ensuring planning is in place, plans are implemented</w:t>
      </w:r>
      <w:r w:rsidR="000756F3">
        <w:rPr>
          <w:rFonts w:ascii="Book Antiqua" w:hAnsi="Book Antiqua" w:cs="Arial"/>
        </w:rPr>
        <w:t>,</w:t>
      </w:r>
      <w:r w:rsidRPr="007223AA">
        <w:rPr>
          <w:rFonts w:ascii="Book Antiqua" w:hAnsi="Book Antiqua" w:cs="Arial"/>
        </w:rPr>
        <w:t xml:space="preserve"> and </w:t>
      </w:r>
      <w:r w:rsidR="000756F3">
        <w:rPr>
          <w:rFonts w:ascii="Book Antiqua" w:hAnsi="Book Antiqua" w:cs="Arial"/>
        </w:rPr>
        <w:t>confirmation</w:t>
      </w:r>
      <w:r w:rsidRPr="007223AA">
        <w:rPr>
          <w:rFonts w:ascii="Book Antiqua" w:hAnsi="Book Antiqua" w:cs="Arial"/>
        </w:rPr>
        <w:t xml:space="preserve"> that the activities are carried out to the appropriate standards.  The existing processes of checks and balances for planning and the financial checks and balances on expenditure should be reviewed to ensure applicability for </w:t>
      </w:r>
      <w:r w:rsidR="00480D3D">
        <w:rPr>
          <w:rFonts w:ascii="Book Antiqua" w:hAnsi="Book Antiqua" w:cs="Arial"/>
        </w:rPr>
        <w:t>REDD+</w:t>
      </w:r>
      <w:r w:rsidRPr="007223AA">
        <w:rPr>
          <w:rFonts w:ascii="Book Antiqua" w:hAnsi="Book Antiqua" w:cs="Arial"/>
        </w:rPr>
        <w:t xml:space="preserve">.  As with activities there would be some monitoring required from the local level with financial checks and balances occurring through all levels to ensure funds are directed to </w:t>
      </w:r>
      <w:r w:rsidR="00480D3D">
        <w:rPr>
          <w:rFonts w:ascii="Book Antiqua" w:hAnsi="Book Antiqua" w:cs="Arial"/>
        </w:rPr>
        <w:t>REDD+</w:t>
      </w:r>
      <w:r w:rsidRPr="007223AA">
        <w:rPr>
          <w:rFonts w:ascii="Book Antiqua" w:hAnsi="Book Antiqua" w:cs="Arial"/>
        </w:rPr>
        <w:t xml:space="preserve"> activities as planned and not held up, redirected or dissipated. </w:t>
      </w:r>
    </w:p>
    <w:p w:rsidR="00351F2C" w:rsidRPr="007223AA" w:rsidRDefault="00351F2C" w:rsidP="00F05F95">
      <w:pPr>
        <w:spacing w:after="0" w:line="300" w:lineRule="exact"/>
        <w:jc w:val="both"/>
        <w:rPr>
          <w:rFonts w:ascii="Book Antiqua" w:hAnsi="Book Antiqua" w:cs="Arial"/>
        </w:rPr>
      </w:pPr>
    </w:p>
    <w:p w:rsidR="00351F2C" w:rsidRDefault="00351F2C" w:rsidP="00F05F95">
      <w:pPr>
        <w:spacing w:after="0" w:line="300" w:lineRule="exact"/>
        <w:jc w:val="both"/>
        <w:rPr>
          <w:rFonts w:ascii="Book Antiqua" w:hAnsi="Book Antiqua" w:cs="Arial"/>
        </w:rPr>
      </w:pPr>
      <w:r w:rsidRPr="007223AA">
        <w:rPr>
          <w:rFonts w:ascii="Book Antiqua" w:hAnsi="Book Antiqua" w:cs="Arial"/>
          <w:b/>
        </w:rPr>
        <w:t>Monitoring Requirement:</w:t>
      </w:r>
      <w:r w:rsidRPr="007223AA">
        <w:rPr>
          <w:rFonts w:ascii="Book Antiqua" w:hAnsi="Book Antiqua" w:cs="Arial"/>
        </w:rPr>
        <w:t xml:space="preserve"> Analy</w:t>
      </w:r>
      <w:r w:rsidR="00894B32">
        <w:rPr>
          <w:rFonts w:ascii="Book Antiqua" w:hAnsi="Book Antiqua" w:cs="Arial"/>
        </w:rPr>
        <w:t>ze</w:t>
      </w:r>
      <w:r w:rsidRPr="007223AA">
        <w:rPr>
          <w:rFonts w:ascii="Book Antiqua" w:hAnsi="Book Antiqua" w:cs="Arial"/>
        </w:rPr>
        <w:t xml:space="preserve"> and confirm specific budgets for reducing emissions under </w:t>
      </w:r>
      <w:r w:rsidR="00480D3D">
        <w:rPr>
          <w:rFonts w:ascii="Book Antiqua" w:hAnsi="Book Antiqua" w:cs="Arial"/>
        </w:rPr>
        <w:t>REDD+</w:t>
      </w:r>
      <w:r w:rsidRPr="007223AA">
        <w:rPr>
          <w:rFonts w:ascii="Book Antiqua" w:hAnsi="Book Antiqua" w:cs="Arial"/>
        </w:rPr>
        <w:t xml:space="preserve"> produced with the necessary level of detail and clarity. </w:t>
      </w:r>
      <w:r w:rsidR="00894B32">
        <w:rPr>
          <w:rFonts w:ascii="Book Antiqua" w:hAnsi="Book Antiqua" w:cs="Arial"/>
        </w:rPr>
        <w:t xml:space="preserve"> </w:t>
      </w:r>
      <w:r w:rsidRPr="007223AA">
        <w:rPr>
          <w:rFonts w:ascii="Book Antiqua" w:hAnsi="Book Antiqua" w:cs="Arial"/>
        </w:rPr>
        <w:t>Identif</w:t>
      </w:r>
      <w:r w:rsidR="00894B32">
        <w:rPr>
          <w:rFonts w:ascii="Book Antiqua" w:hAnsi="Book Antiqua" w:cs="Arial"/>
        </w:rPr>
        <w:t>y</w:t>
      </w:r>
      <w:r w:rsidRPr="007223AA">
        <w:rPr>
          <w:rFonts w:ascii="Book Antiqua" w:hAnsi="Book Antiqua" w:cs="Arial"/>
        </w:rPr>
        <w:t xml:space="preserve"> the standards, norms and procedures to be put in place and </w:t>
      </w:r>
      <w:r w:rsidR="000756F3">
        <w:rPr>
          <w:rFonts w:ascii="Book Antiqua" w:hAnsi="Book Antiqua" w:cs="Arial"/>
        </w:rPr>
        <w:t>a transparent monitoring process</w:t>
      </w:r>
      <w:r w:rsidRPr="007223AA">
        <w:rPr>
          <w:rFonts w:ascii="Book Antiqua" w:hAnsi="Book Antiqua" w:cs="Arial"/>
        </w:rPr>
        <w:t xml:space="preserve"> will be applied to them.</w:t>
      </w:r>
      <w:r w:rsidR="000756F3">
        <w:rPr>
          <w:rFonts w:ascii="Book Antiqua" w:hAnsi="Book Antiqua" w:cs="Arial"/>
        </w:rPr>
        <w:t xml:space="preserve">  </w:t>
      </w:r>
      <w:r w:rsidRPr="007223AA">
        <w:rPr>
          <w:rFonts w:ascii="Book Antiqua" w:hAnsi="Book Antiqua" w:cs="Arial"/>
        </w:rPr>
        <w:t xml:space="preserve"> </w:t>
      </w:r>
      <w:r w:rsidR="00894B32" w:rsidRPr="007223AA">
        <w:rPr>
          <w:rFonts w:ascii="Book Antiqua" w:hAnsi="Book Antiqua" w:cs="Arial"/>
        </w:rPr>
        <w:t>Assess and review the criteria (R-coefficients) used to allocate benefits for anomalies, distortion and balance.</w:t>
      </w:r>
    </w:p>
    <w:p w:rsidR="00894B32" w:rsidRDefault="00894B32" w:rsidP="00F05F95">
      <w:pPr>
        <w:spacing w:after="0" w:line="300" w:lineRule="exact"/>
        <w:jc w:val="both"/>
        <w:rPr>
          <w:rFonts w:ascii="Book Antiqua" w:hAnsi="Book Antiqua" w:cs="Arial"/>
        </w:rPr>
      </w:pPr>
    </w:p>
    <w:p w:rsidR="00351F2C" w:rsidRPr="00894B32" w:rsidRDefault="00351F2C" w:rsidP="00A256CB">
      <w:pPr>
        <w:pStyle w:val="Heading2"/>
        <w:rPr>
          <w:rFonts w:ascii="Arial" w:hAnsi="Arial" w:cs="Arial"/>
          <w:i/>
          <w:sz w:val="24"/>
          <w:szCs w:val="24"/>
        </w:rPr>
      </w:pPr>
      <w:bookmarkStart w:id="506" w:name="_Toc244735141"/>
      <w:bookmarkStart w:id="507" w:name="_Toc244735677"/>
      <w:bookmarkStart w:id="508" w:name="_Toc252354755"/>
      <w:bookmarkStart w:id="509" w:name="_Toc243964459"/>
      <w:bookmarkStart w:id="510" w:name="_Toc243984170"/>
      <w:r w:rsidRPr="00894B32">
        <w:rPr>
          <w:rFonts w:ascii="Arial" w:hAnsi="Arial" w:cs="Arial"/>
          <w:i/>
          <w:sz w:val="24"/>
          <w:szCs w:val="24"/>
        </w:rPr>
        <w:t>Monitoring Effectiveness and Efficiency of the BDS System – Financial Flows and Process</w:t>
      </w:r>
      <w:bookmarkEnd w:id="506"/>
      <w:bookmarkEnd w:id="507"/>
      <w:bookmarkEnd w:id="508"/>
      <w:r w:rsidRPr="00894B32">
        <w:rPr>
          <w:rFonts w:ascii="Arial" w:hAnsi="Arial" w:cs="Arial"/>
          <w:i/>
          <w:sz w:val="24"/>
          <w:szCs w:val="24"/>
        </w:rPr>
        <w:t xml:space="preserve"> </w:t>
      </w:r>
      <w:bookmarkEnd w:id="509"/>
      <w:bookmarkEnd w:id="510"/>
    </w:p>
    <w:p w:rsidR="00351F2C" w:rsidRPr="00445F77" w:rsidRDefault="00C47C3B" w:rsidP="00522F5C">
      <w:pPr>
        <w:spacing w:after="0"/>
        <w:jc w:val="both"/>
        <w:rPr>
          <w:rFonts w:ascii="Arial" w:hAnsi="Arial" w:cs="Arial"/>
          <w:sz w:val="24"/>
          <w:szCs w:val="24"/>
        </w:rPr>
      </w:pPr>
      <w:r w:rsidRPr="00C47C3B">
        <w:rPr>
          <w:rFonts w:ascii="Arial" w:hAnsi="Arial" w:cs="Arial"/>
          <w:noProof/>
          <w:sz w:val="24"/>
          <w:szCs w:val="24"/>
          <w:lang w:eastAsia="zh-TW"/>
        </w:rPr>
        <w:pict>
          <v:shape id="_x0000_s1561" type="#_x0000_t202" style="position:absolute;left:0;text-align:left;margin-left:.35pt;margin-top:4.15pt;width:443.85pt;height:44.55pt;z-index:251636224;mso-height-percent:200;mso-height-percent:200;mso-width-relative:margin;mso-height-relative:margin" fillcolor="#dbe5f1">
            <v:shadow on="t" color="#95b3d7" offset="3pt,4pt" offset2="2pt,4pt"/>
            <v:textbox style="mso-next-textbox:#_x0000_s1561;mso-fit-shape-to-text:t">
              <w:txbxContent>
                <w:p w:rsidR="00B4351F" w:rsidRPr="00C36F1B" w:rsidRDefault="00B4351F" w:rsidP="00522F5C">
                  <w:pPr>
                    <w:spacing w:after="0" w:line="240" w:lineRule="auto"/>
                  </w:pPr>
                  <w:r w:rsidRPr="00C36F1B">
                    <w:rPr>
                      <w:rFonts w:cs="Arial"/>
                      <w:b/>
                      <w:sz w:val="20"/>
                      <w:szCs w:val="20"/>
                    </w:rPr>
                    <w:t>Purpose Statement:</w:t>
                  </w:r>
                  <w:r w:rsidRPr="00C36F1B">
                    <w:rPr>
                      <w:rFonts w:cs="Arial"/>
                      <w:sz w:val="20"/>
                      <w:szCs w:val="20"/>
                    </w:rPr>
                    <w:t xml:space="preserve"> Ensuring the distribution of the benefits is effective and efficient; that benefit distribution is to the right people. That is; cash and non-cash benefit gets to the households, communities and government agencies to which it is due.</w:t>
                  </w:r>
                </w:p>
              </w:txbxContent>
            </v:textbox>
          </v:shape>
        </w:pict>
      </w:r>
    </w:p>
    <w:p w:rsidR="00351F2C" w:rsidRPr="00445F77" w:rsidRDefault="00351F2C" w:rsidP="00522F5C">
      <w:pPr>
        <w:spacing w:after="0"/>
        <w:jc w:val="both"/>
        <w:rPr>
          <w:rFonts w:ascii="Arial" w:hAnsi="Arial" w:cs="Arial"/>
          <w:sz w:val="24"/>
          <w:szCs w:val="24"/>
        </w:rPr>
      </w:pPr>
    </w:p>
    <w:p w:rsidR="00351F2C" w:rsidRPr="00445F77" w:rsidRDefault="00351F2C" w:rsidP="00522F5C">
      <w:pPr>
        <w:spacing w:after="0"/>
        <w:jc w:val="both"/>
        <w:rPr>
          <w:rFonts w:ascii="Arial" w:hAnsi="Arial" w:cs="Arial"/>
          <w:sz w:val="24"/>
          <w:szCs w:val="24"/>
        </w:rPr>
      </w:pPr>
    </w:p>
    <w:p w:rsidR="00351F2C" w:rsidRPr="00445F77" w:rsidRDefault="00351F2C" w:rsidP="00522F5C">
      <w:pPr>
        <w:spacing w:after="0"/>
        <w:jc w:val="both"/>
        <w:rPr>
          <w:rFonts w:ascii="Arial" w:hAnsi="Arial" w:cs="Arial"/>
          <w:sz w:val="24"/>
          <w:szCs w:val="24"/>
        </w:rPr>
      </w:pPr>
    </w:p>
    <w:p w:rsidR="000756F3" w:rsidRDefault="00351F2C" w:rsidP="00F05F95">
      <w:pPr>
        <w:spacing w:after="0" w:line="300" w:lineRule="exact"/>
        <w:jc w:val="both"/>
        <w:rPr>
          <w:rFonts w:ascii="Book Antiqua" w:hAnsi="Book Antiqua" w:cs="Arial"/>
        </w:rPr>
      </w:pPr>
      <w:r w:rsidRPr="007223AA">
        <w:rPr>
          <w:rFonts w:ascii="Book Antiqua" w:hAnsi="Book Antiqua" w:cs="Arial"/>
        </w:rPr>
        <w:t>The final component of REDD-related monitoring involves assurance that the performance-linked, additional, and equitable</w:t>
      </w:r>
      <w:r w:rsidR="000756F3">
        <w:rPr>
          <w:rFonts w:ascii="Book Antiqua" w:hAnsi="Book Antiqua" w:cs="Arial"/>
        </w:rPr>
        <w:t xml:space="preserve"> financial flows</w:t>
      </w:r>
      <w:r w:rsidRPr="007223AA">
        <w:rPr>
          <w:rFonts w:ascii="Book Antiqua" w:hAnsi="Book Antiqua" w:cs="Arial"/>
        </w:rPr>
        <w:t xml:space="preserve"> have actually </w:t>
      </w:r>
      <w:r w:rsidR="000756F3">
        <w:rPr>
          <w:rFonts w:ascii="Book Antiqua" w:hAnsi="Book Antiqua" w:cs="Arial"/>
        </w:rPr>
        <w:t>taken place – this is a classical auditing process</w:t>
      </w:r>
      <w:r w:rsidRPr="007223AA">
        <w:rPr>
          <w:rFonts w:ascii="Book Antiqua" w:hAnsi="Book Antiqua" w:cs="Arial"/>
        </w:rPr>
        <w:t xml:space="preserve">.  </w:t>
      </w:r>
    </w:p>
    <w:p w:rsidR="000756F3" w:rsidRDefault="000756F3" w:rsidP="00F05F95">
      <w:pPr>
        <w:spacing w:after="0" w:line="300" w:lineRule="exact"/>
        <w:jc w:val="both"/>
        <w:rPr>
          <w:rFonts w:ascii="Book Antiqua" w:hAnsi="Book Antiqua" w:cs="Arial"/>
        </w:rPr>
      </w:pPr>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rPr>
        <w:t xml:space="preserve">It is likely that local payment mechanisms will have to consider the provision of both cash and non-cash benefits. </w:t>
      </w:r>
      <w:r w:rsidR="000756F3">
        <w:rPr>
          <w:rFonts w:ascii="Book Antiqua" w:hAnsi="Book Antiqua" w:cs="Arial"/>
        </w:rPr>
        <w:t xml:space="preserve"> </w:t>
      </w:r>
      <w:r w:rsidRPr="007223AA">
        <w:rPr>
          <w:rFonts w:ascii="Book Antiqua" w:hAnsi="Book Antiqua" w:cs="Arial"/>
        </w:rPr>
        <w:t>The</w:t>
      </w:r>
      <w:r w:rsidR="000756F3">
        <w:rPr>
          <w:rFonts w:ascii="Book Antiqua" w:hAnsi="Book Antiqua" w:cs="Arial"/>
        </w:rPr>
        <w:t>refore, the</w:t>
      </w:r>
      <w:r w:rsidRPr="007223AA">
        <w:rPr>
          <w:rFonts w:ascii="Book Antiqua" w:hAnsi="Book Antiqua" w:cs="Arial"/>
        </w:rPr>
        <w:t xml:space="preserve"> distribution of cash and non-cash benefits will have to be monitored </w:t>
      </w:r>
      <w:r w:rsidR="000756F3">
        <w:rPr>
          <w:rFonts w:ascii="Book Antiqua" w:hAnsi="Book Antiqua" w:cs="Arial"/>
        </w:rPr>
        <w:t xml:space="preserve">and audited </w:t>
      </w:r>
      <w:r w:rsidRPr="007223AA">
        <w:rPr>
          <w:rFonts w:ascii="Book Antiqua" w:hAnsi="Book Antiqua" w:cs="Arial"/>
        </w:rPr>
        <w:t xml:space="preserve">to ensure effectiveness and efficiency.  Generally this task is allocated to independent firms that specialise in this sort of work. </w:t>
      </w:r>
    </w:p>
    <w:p w:rsidR="00351F2C" w:rsidRPr="007223AA" w:rsidRDefault="00351F2C" w:rsidP="00F05F95">
      <w:pPr>
        <w:spacing w:after="0" w:line="300" w:lineRule="exact"/>
        <w:jc w:val="both"/>
        <w:rPr>
          <w:rFonts w:ascii="Book Antiqua" w:hAnsi="Book Antiqua" w:cs="Arial"/>
          <w:b/>
        </w:rPr>
      </w:pPr>
    </w:p>
    <w:p w:rsidR="00351F2C" w:rsidRPr="007223AA" w:rsidRDefault="00351F2C" w:rsidP="00894B32">
      <w:pPr>
        <w:spacing w:after="0" w:line="300" w:lineRule="exact"/>
        <w:jc w:val="both"/>
        <w:rPr>
          <w:rFonts w:ascii="Book Antiqua" w:hAnsi="Book Antiqua" w:cs="Arial"/>
        </w:rPr>
      </w:pPr>
      <w:r w:rsidRPr="007223AA">
        <w:rPr>
          <w:rFonts w:ascii="Book Antiqua" w:hAnsi="Book Antiqua" w:cs="Arial"/>
          <w:b/>
        </w:rPr>
        <w:t>Monitoring Requirement:</w:t>
      </w:r>
      <w:r w:rsidRPr="007223AA">
        <w:rPr>
          <w:rFonts w:ascii="Book Antiqua" w:hAnsi="Book Antiqua" w:cs="Arial"/>
        </w:rPr>
        <w:t xml:space="preserve"> Identify the criteria and the metrics to assess effectiveness and efficiency of financial flows and processes. Apply the standards, norms and procedures selected to the financial flows and processes of the benefit sharing system. Independent audit and review is required. </w:t>
      </w:r>
    </w:p>
    <w:p w:rsidR="007223AA" w:rsidRDefault="007223AA" w:rsidP="00894B32">
      <w:pPr>
        <w:pStyle w:val="Heading2"/>
        <w:spacing w:before="0" w:after="0"/>
        <w:rPr>
          <w:rFonts w:ascii="Arial" w:hAnsi="Arial" w:cs="Arial"/>
          <w:sz w:val="24"/>
          <w:szCs w:val="24"/>
        </w:rPr>
      </w:pPr>
      <w:bookmarkStart w:id="511" w:name="_Toc249079597"/>
    </w:p>
    <w:p w:rsidR="00351F2C" w:rsidRPr="00445F77" w:rsidRDefault="00894B32" w:rsidP="00894B32">
      <w:pPr>
        <w:pStyle w:val="Heading2"/>
        <w:spacing w:before="0" w:after="0"/>
        <w:rPr>
          <w:rFonts w:ascii="Arial" w:hAnsi="Arial" w:cs="Arial"/>
          <w:sz w:val="24"/>
          <w:szCs w:val="24"/>
        </w:rPr>
      </w:pPr>
      <w:bookmarkStart w:id="512" w:name="_Toc252354756"/>
      <w:r>
        <w:rPr>
          <w:rFonts w:ascii="Arial" w:hAnsi="Arial" w:cs="Arial"/>
          <w:sz w:val="24"/>
          <w:szCs w:val="24"/>
        </w:rPr>
        <w:t xml:space="preserve">7.3 </w:t>
      </w:r>
      <w:r w:rsidR="00351F2C" w:rsidRPr="00445F77">
        <w:rPr>
          <w:rFonts w:ascii="Arial" w:hAnsi="Arial" w:cs="Arial"/>
          <w:sz w:val="24"/>
          <w:szCs w:val="24"/>
        </w:rPr>
        <w:t>Institutions and Bodies for Monitoring</w:t>
      </w:r>
      <w:bookmarkEnd w:id="511"/>
      <w:bookmarkEnd w:id="512"/>
    </w:p>
    <w:p w:rsidR="005D4CA4" w:rsidRDefault="00351F2C" w:rsidP="00894B32">
      <w:pPr>
        <w:spacing w:after="0"/>
        <w:jc w:val="both"/>
        <w:rPr>
          <w:rFonts w:ascii="Book Antiqua" w:hAnsi="Book Antiqua" w:cs="Arial"/>
        </w:rPr>
      </w:pPr>
      <w:r w:rsidRPr="007223AA">
        <w:rPr>
          <w:rFonts w:ascii="Book Antiqua" w:hAnsi="Book Antiqua" w:cs="Arial"/>
        </w:rPr>
        <w:t xml:space="preserve">In considering the </w:t>
      </w:r>
      <w:r w:rsidR="00894B32">
        <w:rPr>
          <w:rFonts w:ascii="Book Antiqua" w:hAnsi="Book Antiqua" w:cs="Arial"/>
        </w:rPr>
        <w:t>scope</w:t>
      </w:r>
      <w:r w:rsidRPr="007223AA">
        <w:rPr>
          <w:rFonts w:ascii="Book Antiqua" w:hAnsi="Book Antiqua" w:cs="Arial"/>
        </w:rPr>
        <w:t xml:space="preserve"> and complexity of </w:t>
      </w:r>
      <w:r w:rsidR="00480D3D">
        <w:rPr>
          <w:rFonts w:ascii="Book Antiqua" w:hAnsi="Book Antiqua" w:cs="Arial"/>
        </w:rPr>
        <w:t>REDD+</w:t>
      </w:r>
      <w:r w:rsidRPr="007223AA">
        <w:rPr>
          <w:rFonts w:ascii="Book Antiqua" w:hAnsi="Book Antiqua" w:cs="Arial"/>
        </w:rPr>
        <w:t xml:space="preserve"> </w:t>
      </w:r>
      <w:r w:rsidR="00894B32">
        <w:rPr>
          <w:rFonts w:ascii="Book Antiqua" w:hAnsi="Book Antiqua" w:cs="Arial"/>
        </w:rPr>
        <w:t xml:space="preserve">monitoring requirements, </w:t>
      </w:r>
      <w:r w:rsidRPr="007223AA">
        <w:rPr>
          <w:rFonts w:ascii="Book Antiqua" w:hAnsi="Book Antiqua" w:cs="Arial"/>
        </w:rPr>
        <w:t xml:space="preserve">it is a challenge to identify suitable bodies for monitoring. </w:t>
      </w:r>
      <w:r w:rsidR="00894B32">
        <w:rPr>
          <w:rFonts w:ascii="Book Antiqua" w:hAnsi="Book Antiqua" w:cs="Arial"/>
        </w:rPr>
        <w:t xml:space="preserve"> There are two basic approaches – either the different monitoring requirements can be assigned piecemeal to various bodies having relevant mandates, or </w:t>
      </w:r>
      <w:r w:rsidR="005D4CA4">
        <w:rPr>
          <w:rFonts w:ascii="Book Antiqua" w:hAnsi="Book Antiqua" w:cs="Arial"/>
        </w:rPr>
        <w:t>overall responsibility can be assigned to a single body which is then responsible for ensuring that the necessary expertise in different institutions is mobilized effectively.  Either approach also requires that the requirements for certain levels of participation are met, as discussed above.</w:t>
      </w:r>
    </w:p>
    <w:p w:rsidR="005D4CA4" w:rsidRDefault="005D4CA4" w:rsidP="00894B32">
      <w:pPr>
        <w:spacing w:after="0"/>
        <w:jc w:val="both"/>
        <w:rPr>
          <w:rFonts w:ascii="Book Antiqua" w:hAnsi="Book Antiqua" w:cs="Arial"/>
        </w:rPr>
      </w:pPr>
    </w:p>
    <w:p w:rsidR="00351F2C" w:rsidRPr="007223AA" w:rsidRDefault="005D4CA4" w:rsidP="00894B32">
      <w:pPr>
        <w:spacing w:after="0"/>
        <w:jc w:val="both"/>
        <w:rPr>
          <w:rFonts w:ascii="Book Antiqua" w:hAnsi="Book Antiqua" w:cs="Arial"/>
        </w:rPr>
      </w:pPr>
      <w:r>
        <w:rPr>
          <w:rFonts w:ascii="Book Antiqua" w:hAnsi="Book Antiqua" w:cs="Arial"/>
        </w:rPr>
        <w:t xml:space="preserve">The need for effectiveness and efficiency in overall implementation of REDD+ suggests that the second option is preferable.  </w:t>
      </w:r>
      <w:r w:rsidR="00351F2C" w:rsidRPr="007223AA">
        <w:rPr>
          <w:rFonts w:ascii="Book Antiqua" w:hAnsi="Book Antiqua" w:cs="Arial"/>
        </w:rPr>
        <w:t>At the national level, a '</w:t>
      </w:r>
      <w:r w:rsidR="00480D3D">
        <w:rPr>
          <w:rFonts w:ascii="Book Antiqua" w:hAnsi="Book Antiqua" w:cs="Arial"/>
        </w:rPr>
        <w:t>REDD+</w:t>
      </w:r>
      <w:r w:rsidR="00351F2C" w:rsidRPr="007223AA">
        <w:rPr>
          <w:rFonts w:ascii="Book Antiqua" w:hAnsi="Book Antiqua" w:cs="Arial"/>
        </w:rPr>
        <w:t xml:space="preserve"> monitoring body' </w:t>
      </w:r>
      <w:r>
        <w:rPr>
          <w:rFonts w:ascii="Book Antiqua" w:hAnsi="Book Antiqua" w:cs="Arial"/>
        </w:rPr>
        <w:t xml:space="preserve">should be established </w:t>
      </w:r>
      <w:r w:rsidR="00351F2C" w:rsidRPr="007223AA">
        <w:rPr>
          <w:rFonts w:ascii="Book Antiqua" w:hAnsi="Book Antiqua" w:cs="Arial"/>
        </w:rPr>
        <w:t xml:space="preserve">to take care of all independent monitoring matters related to </w:t>
      </w:r>
      <w:r w:rsidR="00480D3D">
        <w:rPr>
          <w:rFonts w:ascii="Book Antiqua" w:hAnsi="Book Antiqua" w:cs="Arial"/>
        </w:rPr>
        <w:t>REDD+</w:t>
      </w:r>
      <w:r w:rsidR="00351F2C" w:rsidRPr="007223AA">
        <w:rPr>
          <w:rFonts w:ascii="Book Antiqua" w:hAnsi="Book Antiqua" w:cs="Arial"/>
        </w:rPr>
        <w:t>. Members of this body could be drawn from Government Inspection (and probably M</w:t>
      </w:r>
      <w:r>
        <w:rPr>
          <w:rFonts w:ascii="Book Antiqua" w:hAnsi="Book Antiqua" w:cs="Arial"/>
        </w:rPr>
        <w:t>o</w:t>
      </w:r>
      <w:r w:rsidR="00351F2C" w:rsidRPr="007223AA">
        <w:rPr>
          <w:rFonts w:ascii="Book Antiqua" w:hAnsi="Book Antiqua" w:cs="Arial"/>
        </w:rPr>
        <w:t xml:space="preserve">F, depending how much they are involved in the disbursement), an independent financial auditing company (e.g. </w:t>
      </w:r>
      <w:r w:rsidR="00480D3D">
        <w:rPr>
          <w:rFonts w:ascii="Book Antiqua" w:hAnsi="Book Antiqua" w:cs="Arial"/>
        </w:rPr>
        <w:t>Viet Nam</w:t>
      </w:r>
      <w:r w:rsidR="00351F2C" w:rsidRPr="007223AA">
        <w:rPr>
          <w:rFonts w:ascii="Book Antiqua" w:hAnsi="Book Antiqua" w:cs="Arial"/>
        </w:rPr>
        <w:t xml:space="preserve"> National Independent Auditing Company Limited) and </w:t>
      </w:r>
      <w:r w:rsidR="00480D3D">
        <w:rPr>
          <w:rFonts w:ascii="Book Antiqua" w:hAnsi="Book Antiqua" w:cs="Arial"/>
        </w:rPr>
        <w:t>Vietnamese</w:t>
      </w:r>
      <w:r w:rsidR="00351F2C" w:rsidRPr="007223AA">
        <w:rPr>
          <w:rFonts w:ascii="Book Antiqua" w:hAnsi="Book Antiqua" w:cs="Arial"/>
        </w:rPr>
        <w:t xml:space="preserve"> civil societ</w:t>
      </w:r>
      <w:r>
        <w:rPr>
          <w:rFonts w:ascii="Book Antiqua" w:hAnsi="Book Antiqua" w:cs="Arial"/>
        </w:rPr>
        <w:t>y organizations</w:t>
      </w:r>
      <w:r w:rsidR="00351F2C" w:rsidRPr="007223AA">
        <w:rPr>
          <w:rFonts w:ascii="Book Antiqua" w:hAnsi="Book Antiqua" w:cs="Arial"/>
        </w:rPr>
        <w:t xml:space="preserve"> (e.g. Education for </w:t>
      </w:r>
      <w:smartTag w:uri="urn:schemas-microsoft-com:office:smarttags" w:element="place">
        <w:smartTag w:uri="urn:schemas-microsoft-com:office:smarttags" w:element="City">
          <w:r w:rsidR="00351F2C" w:rsidRPr="007223AA">
            <w:rPr>
              <w:rFonts w:ascii="Book Antiqua" w:hAnsi="Book Antiqua" w:cs="Arial"/>
            </w:rPr>
            <w:t>Nature-</w:t>
          </w:r>
          <w:r w:rsidR="00480D3D">
            <w:rPr>
              <w:rFonts w:ascii="Book Antiqua" w:hAnsi="Book Antiqua" w:cs="Arial"/>
            </w:rPr>
            <w:t>Viet</w:t>
          </w:r>
        </w:smartTag>
        <w:r w:rsidR="00480D3D">
          <w:rPr>
            <w:rFonts w:ascii="Book Antiqua" w:hAnsi="Book Antiqua" w:cs="Arial"/>
          </w:rPr>
          <w:t xml:space="preserve"> </w:t>
        </w:r>
        <w:smartTag w:uri="urn:schemas-microsoft-com:office:smarttags" w:element="country-region">
          <w:r w:rsidR="00480D3D">
            <w:rPr>
              <w:rFonts w:ascii="Book Antiqua" w:hAnsi="Book Antiqua" w:cs="Arial"/>
            </w:rPr>
            <w:t>Nam</w:t>
          </w:r>
        </w:smartTag>
      </w:smartTag>
      <w:r w:rsidR="00351F2C" w:rsidRPr="007223AA">
        <w:rPr>
          <w:rFonts w:ascii="Book Antiqua" w:hAnsi="Book Antiqua" w:cs="Arial"/>
        </w:rPr>
        <w:t xml:space="preserve">). </w:t>
      </w:r>
      <w:r>
        <w:rPr>
          <w:rFonts w:ascii="Book Antiqua" w:hAnsi="Book Antiqua" w:cs="Arial"/>
        </w:rPr>
        <w:t xml:space="preserve"> </w:t>
      </w:r>
      <w:r w:rsidR="00351F2C" w:rsidRPr="007223AA">
        <w:rPr>
          <w:rFonts w:ascii="Book Antiqua" w:hAnsi="Book Antiqua" w:cs="Arial"/>
        </w:rPr>
        <w:t xml:space="preserve">FPD and FIPI can be involved in this body given the experience they have on forest resource monitoring at national and local level. While it might initially have a full time secretariat, a decision could be made later </w:t>
      </w:r>
      <w:r>
        <w:rPr>
          <w:rFonts w:ascii="Book Antiqua" w:hAnsi="Book Antiqua" w:cs="Arial"/>
        </w:rPr>
        <w:t>as to whether</w:t>
      </w:r>
      <w:r w:rsidR="00351F2C" w:rsidRPr="007223AA">
        <w:rPr>
          <w:rFonts w:ascii="Book Antiqua" w:hAnsi="Book Antiqua" w:cs="Arial"/>
        </w:rPr>
        <w:t xml:space="preserve"> members of this body </w:t>
      </w:r>
      <w:r>
        <w:rPr>
          <w:rFonts w:ascii="Book Antiqua" w:hAnsi="Book Antiqua" w:cs="Arial"/>
        </w:rPr>
        <w:t xml:space="preserve">should </w:t>
      </w:r>
      <w:r w:rsidR="00351F2C" w:rsidRPr="007223AA">
        <w:rPr>
          <w:rFonts w:ascii="Book Antiqua" w:hAnsi="Book Antiqua" w:cs="Arial"/>
        </w:rPr>
        <w:t>be full time</w:t>
      </w:r>
      <w:r>
        <w:rPr>
          <w:rFonts w:ascii="Book Antiqua" w:hAnsi="Book Antiqua" w:cs="Arial"/>
        </w:rPr>
        <w:t>,</w:t>
      </w:r>
      <w:r w:rsidR="00351F2C" w:rsidRPr="007223AA">
        <w:rPr>
          <w:rFonts w:ascii="Book Antiqua" w:hAnsi="Book Antiqua" w:cs="Arial"/>
        </w:rPr>
        <w:t xml:space="preserve"> depending on the scale of the work required. </w:t>
      </w:r>
    </w:p>
    <w:p w:rsidR="00894B32" w:rsidRDefault="00894B32" w:rsidP="00894B32">
      <w:pPr>
        <w:spacing w:after="0"/>
        <w:jc w:val="both"/>
        <w:rPr>
          <w:rFonts w:ascii="Book Antiqua" w:hAnsi="Book Antiqua" w:cs="Arial"/>
        </w:rPr>
      </w:pPr>
    </w:p>
    <w:p w:rsidR="00351F2C" w:rsidRPr="007223AA" w:rsidRDefault="00351F2C" w:rsidP="00894B32">
      <w:pPr>
        <w:spacing w:after="0"/>
        <w:jc w:val="both"/>
        <w:rPr>
          <w:rFonts w:ascii="Book Antiqua" w:hAnsi="Book Antiqua" w:cs="Arial"/>
        </w:rPr>
      </w:pPr>
      <w:r w:rsidRPr="007223AA">
        <w:rPr>
          <w:rFonts w:ascii="Book Antiqua" w:hAnsi="Book Antiqua" w:cs="Arial"/>
        </w:rPr>
        <w:t>A</w:t>
      </w:r>
      <w:r w:rsidR="005D4CA4">
        <w:rPr>
          <w:rFonts w:ascii="Book Antiqua" w:hAnsi="Book Antiqua" w:cs="Arial"/>
        </w:rPr>
        <w:t xml:space="preserve"> national </w:t>
      </w:r>
      <w:r w:rsidR="005D4CA4" w:rsidRPr="007223AA">
        <w:rPr>
          <w:rFonts w:ascii="Book Antiqua" w:hAnsi="Book Antiqua" w:cs="Arial"/>
        </w:rPr>
        <w:t>'</w:t>
      </w:r>
      <w:r w:rsidR="005D4CA4">
        <w:rPr>
          <w:rFonts w:ascii="Book Antiqua" w:hAnsi="Book Antiqua" w:cs="Arial"/>
        </w:rPr>
        <w:t>REDD+</w:t>
      </w:r>
      <w:r w:rsidR="005D4CA4" w:rsidRPr="007223AA">
        <w:rPr>
          <w:rFonts w:ascii="Book Antiqua" w:hAnsi="Book Antiqua" w:cs="Arial"/>
        </w:rPr>
        <w:t xml:space="preserve"> monitoring body' </w:t>
      </w:r>
      <w:r w:rsidR="005D4CA4">
        <w:rPr>
          <w:rFonts w:ascii="Book Antiqua" w:hAnsi="Book Antiqua" w:cs="Arial"/>
        </w:rPr>
        <w:t xml:space="preserve">could have </w:t>
      </w:r>
      <w:r w:rsidRPr="007223AA">
        <w:rPr>
          <w:rFonts w:ascii="Book Antiqua" w:hAnsi="Book Antiqua" w:cs="Arial"/>
        </w:rPr>
        <w:t>provincial level</w:t>
      </w:r>
      <w:r w:rsidR="005D4CA4">
        <w:rPr>
          <w:rFonts w:ascii="Book Antiqua" w:hAnsi="Book Antiqua" w:cs="Arial"/>
        </w:rPr>
        <w:t xml:space="preserve"> subsidiaries, under the</w:t>
      </w:r>
      <w:r w:rsidRPr="007223AA">
        <w:rPr>
          <w:rFonts w:ascii="Book Antiqua" w:hAnsi="Book Antiqua" w:cs="Arial"/>
        </w:rPr>
        <w:t xml:space="preserve"> PPC. </w:t>
      </w:r>
      <w:r w:rsidR="005D4CA4">
        <w:rPr>
          <w:rFonts w:ascii="Book Antiqua" w:hAnsi="Book Antiqua" w:cs="Arial"/>
        </w:rPr>
        <w:t>The provincial body would have a</w:t>
      </w:r>
      <w:r w:rsidRPr="007223AA">
        <w:rPr>
          <w:rFonts w:ascii="Book Antiqua" w:hAnsi="Book Antiqua" w:cs="Arial"/>
        </w:rPr>
        <w:t xml:space="preserve"> similar structure to that of </w:t>
      </w:r>
      <w:r w:rsidR="005D4CA4">
        <w:rPr>
          <w:rFonts w:ascii="Book Antiqua" w:hAnsi="Book Antiqua" w:cs="Arial"/>
        </w:rPr>
        <w:t>the</w:t>
      </w:r>
      <w:r w:rsidRPr="007223AA">
        <w:rPr>
          <w:rFonts w:ascii="Book Antiqua" w:hAnsi="Book Antiqua" w:cs="Arial"/>
        </w:rPr>
        <w:t xml:space="preserve"> national body</w:t>
      </w:r>
      <w:r w:rsidR="005D4CA4">
        <w:rPr>
          <w:rFonts w:ascii="Book Antiqua" w:hAnsi="Book Antiqua" w:cs="Arial"/>
        </w:rPr>
        <w:t>, but m</w:t>
      </w:r>
      <w:r w:rsidRPr="007223AA">
        <w:rPr>
          <w:rFonts w:ascii="Book Antiqua" w:hAnsi="Book Antiqua" w:cs="Arial"/>
        </w:rPr>
        <w:t xml:space="preserve">embers of the provincial body would not </w:t>
      </w:r>
      <w:r w:rsidR="005D4CA4">
        <w:rPr>
          <w:rFonts w:ascii="Book Antiqua" w:hAnsi="Book Antiqua" w:cs="Arial"/>
        </w:rPr>
        <w:t xml:space="preserve">necessarily </w:t>
      </w:r>
      <w:r w:rsidRPr="007223AA">
        <w:rPr>
          <w:rFonts w:ascii="Book Antiqua" w:hAnsi="Book Antiqua" w:cs="Arial"/>
        </w:rPr>
        <w:t xml:space="preserve">have to come from within the province. For example, civil societies or sub-FIPI can come from outside (regional or national level). </w:t>
      </w:r>
      <w:r w:rsidR="005D4CA4">
        <w:rPr>
          <w:rFonts w:ascii="Book Antiqua" w:hAnsi="Book Antiqua" w:cs="Arial"/>
        </w:rPr>
        <w:t xml:space="preserve"> </w:t>
      </w:r>
      <w:r w:rsidRPr="007223AA">
        <w:rPr>
          <w:rFonts w:ascii="Book Antiqua" w:hAnsi="Book Antiqua" w:cs="Arial"/>
        </w:rPr>
        <w:t xml:space="preserve">If there is much work to do, members from provincial monitoring body should work on full-time basis. </w:t>
      </w:r>
    </w:p>
    <w:p w:rsidR="00894B32" w:rsidRDefault="00894B32" w:rsidP="00894B32">
      <w:pPr>
        <w:spacing w:after="0"/>
        <w:jc w:val="both"/>
        <w:rPr>
          <w:rFonts w:ascii="Book Antiqua" w:hAnsi="Book Antiqua" w:cs="Arial"/>
        </w:rPr>
      </w:pPr>
    </w:p>
    <w:p w:rsidR="00351F2C" w:rsidRDefault="005D4CA4" w:rsidP="00894B32">
      <w:pPr>
        <w:spacing w:after="0"/>
        <w:jc w:val="both"/>
        <w:rPr>
          <w:rFonts w:ascii="Book Antiqua" w:hAnsi="Book Antiqua" w:cs="Arial"/>
        </w:rPr>
      </w:pPr>
      <w:r>
        <w:rPr>
          <w:rFonts w:ascii="Book Antiqua" w:hAnsi="Book Antiqua" w:cs="Arial"/>
        </w:rPr>
        <w:t>Below</w:t>
      </w:r>
      <w:r w:rsidR="00351F2C" w:rsidRPr="007223AA">
        <w:rPr>
          <w:rFonts w:ascii="Book Antiqua" w:hAnsi="Book Antiqua" w:cs="Arial"/>
        </w:rPr>
        <w:t xml:space="preserve"> the </w:t>
      </w:r>
      <w:r>
        <w:rPr>
          <w:rFonts w:ascii="Book Antiqua" w:hAnsi="Book Antiqua" w:cs="Arial"/>
        </w:rPr>
        <w:t>provincial</w:t>
      </w:r>
      <w:r w:rsidR="00351F2C" w:rsidRPr="007223AA">
        <w:rPr>
          <w:rFonts w:ascii="Book Antiqua" w:hAnsi="Book Antiqua" w:cs="Arial"/>
        </w:rPr>
        <w:t xml:space="preserve"> level</w:t>
      </w:r>
      <w:r>
        <w:rPr>
          <w:rFonts w:ascii="Book Antiqua" w:hAnsi="Book Antiqua" w:cs="Arial"/>
        </w:rPr>
        <w:t>, transaction costs would likely be too great to justify similar, local organizations</w:t>
      </w:r>
      <w:r w:rsidR="00351F2C" w:rsidRPr="007223AA">
        <w:rPr>
          <w:rFonts w:ascii="Book Antiqua" w:hAnsi="Book Antiqua" w:cs="Arial"/>
        </w:rPr>
        <w:t xml:space="preserve">. </w:t>
      </w:r>
      <w:r>
        <w:rPr>
          <w:rFonts w:ascii="Book Antiqua" w:hAnsi="Book Antiqua" w:cs="Arial"/>
        </w:rPr>
        <w:t xml:space="preserve"> However, m</w:t>
      </w:r>
      <w:r w:rsidR="00351F2C" w:rsidRPr="007223AA">
        <w:rPr>
          <w:rFonts w:ascii="Book Antiqua" w:hAnsi="Book Antiqua" w:cs="Arial"/>
        </w:rPr>
        <w:t xml:space="preserve">ass organizations like </w:t>
      </w:r>
      <w:r>
        <w:rPr>
          <w:rFonts w:ascii="Book Antiqua" w:hAnsi="Book Antiqua" w:cs="Arial"/>
        </w:rPr>
        <w:t xml:space="preserve">the </w:t>
      </w:r>
      <w:r w:rsidR="00351F2C" w:rsidRPr="007223AA">
        <w:rPr>
          <w:rFonts w:ascii="Book Antiqua" w:hAnsi="Book Antiqua" w:cs="Arial"/>
        </w:rPr>
        <w:t>Farmers' Association</w:t>
      </w:r>
      <w:r>
        <w:rPr>
          <w:rFonts w:ascii="Book Antiqua" w:hAnsi="Book Antiqua" w:cs="Arial"/>
        </w:rPr>
        <w:t>s</w:t>
      </w:r>
      <w:r w:rsidR="00351F2C" w:rsidRPr="007223AA">
        <w:rPr>
          <w:rFonts w:ascii="Book Antiqua" w:hAnsi="Book Antiqua" w:cs="Arial"/>
        </w:rPr>
        <w:t>, Women's Union</w:t>
      </w:r>
      <w:r>
        <w:rPr>
          <w:rFonts w:ascii="Book Antiqua" w:hAnsi="Book Antiqua" w:cs="Arial"/>
        </w:rPr>
        <w:t>s</w:t>
      </w:r>
      <w:r w:rsidR="00351F2C" w:rsidRPr="007223AA">
        <w:rPr>
          <w:rFonts w:ascii="Book Antiqua" w:hAnsi="Book Antiqua" w:cs="Arial"/>
        </w:rPr>
        <w:t xml:space="preserve"> and Youth Union</w:t>
      </w:r>
      <w:r>
        <w:rPr>
          <w:rFonts w:ascii="Book Antiqua" w:hAnsi="Book Antiqua" w:cs="Arial"/>
        </w:rPr>
        <w:t>s</w:t>
      </w:r>
      <w:r w:rsidR="00351F2C" w:rsidRPr="007223AA">
        <w:rPr>
          <w:rFonts w:ascii="Book Antiqua" w:hAnsi="Book Antiqua" w:cs="Arial"/>
        </w:rPr>
        <w:t xml:space="preserve"> may </w:t>
      </w:r>
      <w:r>
        <w:rPr>
          <w:rFonts w:ascii="Book Antiqua" w:hAnsi="Book Antiqua" w:cs="Arial"/>
        </w:rPr>
        <w:t>play roles in</w:t>
      </w:r>
      <w:r w:rsidR="00351F2C" w:rsidRPr="007223AA">
        <w:rPr>
          <w:rFonts w:ascii="Book Antiqua" w:hAnsi="Book Antiqua" w:cs="Arial"/>
        </w:rPr>
        <w:t xml:space="preserve"> monitoring of </w:t>
      </w:r>
      <w:r w:rsidR="00480D3D">
        <w:rPr>
          <w:rFonts w:ascii="Book Antiqua" w:hAnsi="Book Antiqua" w:cs="Arial"/>
        </w:rPr>
        <w:t>REDD+</w:t>
      </w:r>
      <w:r w:rsidR="00351F2C" w:rsidRPr="007223AA">
        <w:rPr>
          <w:rFonts w:ascii="Book Antiqua" w:hAnsi="Book Antiqua" w:cs="Arial"/>
        </w:rPr>
        <w:t>, particularly as they have branches down to commune/village level.</w:t>
      </w:r>
    </w:p>
    <w:p w:rsidR="004C481E" w:rsidRDefault="004C481E" w:rsidP="00894B32">
      <w:pPr>
        <w:spacing w:after="0"/>
        <w:jc w:val="both"/>
        <w:rPr>
          <w:rFonts w:ascii="Book Antiqua" w:hAnsi="Book Antiqua" w:cs="Arial"/>
        </w:rPr>
      </w:pPr>
    </w:p>
    <w:p w:rsidR="004C481E" w:rsidRPr="007223AA" w:rsidRDefault="004C481E" w:rsidP="004C481E">
      <w:pPr>
        <w:spacing w:after="0"/>
        <w:jc w:val="both"/>
        <w:rPr>
          <w:rFonts w:ascii="Book Antiqua" w:hAnsi="Book Antiqua" w:cs="Arial"/>
        </w:rPr>
      </w:pPr>
      <w:r>
        <w:rPr>
          <w:rFonts w:ascii="Book Antiqua" w:hAnsi="Book Antiqua" w:cs="Arial"/>
        </w:rPr>
        <w:lastRenderedPageBreak/>
        <w:t>Funding of monitoring</w:t>
      </w:r>
      <w:r w:rsidRPr="007223AA">
        <w:rPr>
          <w:rFonts w:ascii="Book Antiqua" w:hAnsi="Book Antiqua" w:cs="Arial"/>
        </w:rPr>
        <w:t xml:space="preserve"> operation</w:t>
      </w:r>
      <w:r>
        <w:rPr>
          <w:rFonts w:ascii="Book Antiqua" w:hAnsi="Book Antiqua" w:cs="Arial"/>
        </w:rPr>
        <w:t>s</w:t>
      </w:r>
      <w:r w:rsidRPr="007223AA">
        <w:rPr>
          <w:rFonts w:ascii="Book Antiqua" w:hAnsi="Book Antiqua" w:cs="Arial"/>
        </w:rPr>
        <w:t xml:space="preserve"> would </w:t>
      </w:r>
      <w:r>
        <w:rPr>
          <w:rFonts w:ascii="Book Antiqua" w:hAnsi="Book Antiqua" w:cs="Arial"/>
        </w:rPr>
        <w:t>be part of the “retained revenues” at the national level.  This approach</w:t>
      </w:r>
      <w:r w:rsidRPr="007223AA">
        <w:rPr>
          <w:rFonts w:ascii="Book Antiqua" w:hAnsi="Book Antiqua" w:cs="Arial"/>
        </w:rPr>
        <w:t xml:space="preserve"> complies with the government’s traditional approach in monitoring in </w:t>
      </w:r>
      <w:smartTag w:uri="urn:schemas-microsoft-com:office:smarttags" w:element="country-region">
        <w:smartTag w:uri="urn:schemas-microsoft-com:office:smarttags" w:element="place">
          <w:r w:rsidRPr="007223AA">
            <w:rPr>
              <w:rFonts w:ascii="Book Antiqua" w:hAnsi="Book Antiqua" w:cs="Arial"/>
            </w:rPr>
            <w:t>Viet Nam</w:t>
          </w:r>
        </w:smartTag>
      </w:smartTag>
      <w:r w:rsidRPr="007223AA">
        <w:rPr>
          <w:rFonts w:ascii="Book Antiqua" w:hAnsi="Book Antiqua" w:cs="Arial"/>
        </w:rPr>
        <w:t>, government organizations monitoring the government’s activities</w:t>
      </w:r>
      <w:r>
        <w:rPr>
          <w:rFonts w:ascii="Book Antiqua" w:hAnsi="Book Antiqua" w:cs="Arial"/>
        </w:rPr>
        <w:t xml:space="preserve">, but with additional measures to ensure transparency, and with </w:t>
      </w:r>
      <w:r w:rsidRPr="007223AA">
        <w:rPr>
          <w:rFonts w:ascii="Book Antiqua" w:hAnsi="Book Antiqua" w:cs="Arial"/>
        </w:rPr>
        <w:t xml:space="preserve">checks and balances to minimise the risks of collusion, corruption and distortion of the monitoring. </w:t>
      </w:r>
      <w:r>
        <w:rPr>
          <w:rFonts w:ascii="Book Antiqua" w:hAnsi="Book Antiqua" w:cs="Arial"/>
        </w:rPr>
        <w:t>For example, h</w:t>
      </w:r>
      <w:r w:rsidRPr="007223AA">
        <w:rPr>
          <w:rFonts w:ascii="Book Antiqua" w:hAnsi="Book Antiqua" w:cs="Arial"/>
        </w:rPr>
        <w:t xml:space="preserve">aving members from </w:t>
      </w:r>
      <w:r w:rsidR="000D7D36">
        <w:rPr>
          <w:rFonts w:ascii="Book Antiqua" w:hAnsi="Book Antiqua" w:cs="Arial"/>
        </w:rPr>
        <w:t>Civil Society Organizations (</w:t>
      </w:r>
      <w:r w:rsidRPr="007223AA">
        <w:rPr>
          <w:rFonts w:ascii="Book Antiqua" w:hAnsi="Book Antiqua" w:cs="Arial"/>
        </w:rPr>
        <w:t>CSO</w:t>
      </w:r>
      <w:r>
        <w:rPr>
          <w:rFonts w:ascii="Book Antiqua" w:hAnsi="Book Antiqua" w:cs="Arial"/>
        </w:rPr>
        <w:t>s</w:t>
      </w:r>
      <w:r w:rsidR="000D7D36">
        <w:rPr>
          <w:rFonts w:ascii="Book Antiqua" w:hAnsi="Book Antiqua" w:cs="Arial"/>
        </w:rPr>
        <w:t>)</w:t>
      </w:r>
      <w:r w:rsidRPr="007223AA">
        <w:rPr>
          <w:rFonts w:ascii="Book Antiqua" w:hAnsi="Book Antiqua" w:cs="Arial"/>
        </w:rPr>
        <w:t xml:space="preserve"> and communities may help reduce such risks. Education would likely be needed to improve the limited understanding of local communities about quality /performance of services and what they should/can expect. </w:t>
      </w:r>
    </w:p>
    <w:p w:rsidR="00894B32" w:rsidRDefault="00894B32" w:rsidP="00894B32">
      <w:pPr>
        <w:pStyle w:val="Heading3"/>
        <w:spacing w:before="0" w:after="0"/>
        <w:rPr>
          <w:rFonts w:ascii="Arial" w:hAnsi="Arial" w:cs="Arial"/>
        </w:rPr>
      </w:pPr>
      <w:bookmarkStart w:id="513" w:name="_Toc249079598"/>
    </w:p>
    <w:p w:rsidR="00351F2C" w:rsidRPr="00445F77" w:rsidRDefault="00351F2C" w:rsidP="00894B32">
      <w:pPr>
        <w:pStyle w:val="Heading3"/>
        <w:spacing w:before="0" w:after="0"/>
        <w:rPr>
          <w:rFonts w:ascii="Arial" w:hAnsi="Arial" w:cs="Arial"/>
        </w:rPr>
      </w:pPr>
      <w:r w:rsidRPr="00445F77">
        <w:rPr>
          <w:rFonts w:ascii="Arial" w:hAnsi="Arial" w:cs="Arial"/>
        </w:rPr>
        <w:t>Monitoring Performance</w:t>
      </w:r>
      <w:bookmarkEnd w:id="513"/>
    </w:p>
    <w:p w:rsidR="00351F2C" w:rsidRPr="007223AA" w:rsidRDefault="005D4CA4" w:rsidP="00894B32">
      <w:pPr>
        <w:spacing w:after="0"/>
        <w:jc w:val="both"/>
        <w:rPr>
          <w:rFonts w:ascii="Book Antiqua" w:hAnsi="Book Antiqua" w:cs="Arial"/>
        </w:rPr>
      </w:pPr>
      <w:r>
        <w:rPr>
          <w:rFonts w:ascii="Book Antiqua" w:hAnsi="Book Antiqua" w:cs="Arial"/>
        </w:rPr>
        <w:t xml:space="preserve">The national </w:t>
      </w:r>
      <w:r w:rsidRPr="007223AA">
        <w:rPr>
          <w:rFonts w:ascii="Book Antiqua" w:hAnsi="Book Antiqua" w:cs="Arial"/>
        </w:rPr>
        <w:t>'</w:t>
      </w:r>
      <w:r>
        <w:rPr>
          <w:rFonts w:ascii="Book Antiqua" w:hAnsi="Book Antiqua" w:cs="Arial"/>
        </w:rPr>
        <w:t>REDD+</w:t>
      </w:r>
      <w:r w:rsidRPr="007223AA">
        <w:rPr>
          <w:rFonts w:ascii="Book Antiqua" w:hAnsi="Book Antiqua" w:cs="Arial"/>
        </w:rPr>
        <w:t xml:space="preserve"> monitoring body'</w:t>
      </w:r>
      <w:r>
        <w:rPr>
          <w:rFonts w:ascii="Book Antiqua" w:hAnsi="Book Antiqua" w:cs="Arial"/>
        </w:rPr>
        <w:t xml:space="preserve"> would establish a framework for monitoring performance at different levels.  As discussed elsewhere, at national and provincial levels, performance would be measured against RELs; at district and local levels, other metrics would need to be </w:t>
      </w:r>
      <w:r w:rsidR="004C481E">
        <w:rPr>
          <w:rFonts w:ascii="Book Antiqua" w:hAnsi="Book Antiqua" w:cs="Arial"/>
        </w:rPr>
        <w:t>designed</w:t>
      </w:r>
      <w:r>
        <w:rPr>
          <w:rFonts w:ascii="Book Antiqua" w:hAnsi="Book Antiqua" w:cs="Arial"/>
        </w:rPr>
        <w:t>.</w:t>
      </w:r>
      <w:r w:rsidRPr="007223AA">
        <w:rPr>
          <w:rFonts w:ascii="Book Antiqua" w:hAnsi="Book Antiqua" w:cs="Arial"/>
        </w:rPr>
        <w:t xml:space="preserve"> </w:t>
      </w:r>
      <w:r w:rsidR="004C481E">
        <w:rPr>
          <w:rFonts w:ascii="Book Antiqua" w:hAnsi="Book Antiqua" w:cs="Arial"/>
        </w:rPr>
        <w:t xml:space="preserve"> T</w:t>
      </w:r>
      <w:r w:rsidR="00351F2C" w:rsidRPr="007223AA">
        <w:rPr>
          <w:rFonts w:ascii="Book Antiqua" w:hAnsi="Book Antiqua" w:cs="Arial"/>
        </w:rPr>
        <w:t xml:space="preserve">he Forest Science Institute of </w:t>
      </w:r>
      <w:r w:rsidR="00480D3D">
        <w:rPr>
          <w:rFonts w:ascii="Book Antiqua" w:hAnsi="Book Antiqua" w:cs="Arial"/>
        </w:rPr>
        <w:t>Viet Nam</w:t>
      </w:r>
      <w:r w:rsidR="00351F2C" w:rsidRPr="007223AA">
        <w:rPr>
          <w:rFonts w:ascii="Book Antiqua" w:hAnsi="Book Antiqua" w:cs="Arial"/>
        </w:rPr>
        <w:t xml:space="preserve">, </w:t>
      </w:r>
      <w:r w:rsidR="004C481E">
        <w:rPr>
          <w:rFonts w:ascii="Book Antiqua" w:hAnsi="Book Antiqua" w:cs="Arial"/>
        </w:rPr>
        <w:t xml:space="preserve">Forest Inventory and Planning Institute, </w:t>
      </w:r>
      <w:smartTag w:uri="urn:schemas-microsoft-com:office:smarttags" w:element="place">
        <w:smartTag w:uri="urn:schemas-microsoft-com:office:smarttags" w:element="PlaceName">
          <w:r w:rsidR="00480D3D">
            <w:rPr>
              <w:rFonts w:ascii="Book Antiqua" w:hAnsi="Book Antiqua" w:cs="Arial"/>
            </w:rPr>
            <w:t>Viet Nam</w:t>
          </w:r>
        </w:smartTag>
        <w:r w:rsidR="00351F2C" w:rsidRPr="007223AA">
          <w:rPr>
            <w:rFonts w:ascii="Book Antiqua" w:hAnsi="Book Antiqua" w:cs="Arial"/>
          </w:rPr>
          <w:t xml:space="preserve"> </w:t>
        </w:r>
        <w:smartTag w:uri="urn:schemas-microsoft-com:office:smarttags" w:element="PlaceName">
          <w:r w:rsidR="00351F2C" w:rsidRPr="007223AA">
            <w:rPr>
              <w:rFonts w:ascii="Book Antiqua" w:hAnsi="Book Antiqua" w:cs="Arial"/>
            </w:rPr>
            <w:t>Forestry</w:t>
          </w:r>
        </w:smartTag>
        <w:r w:rsidR="00351F2C" w:rsidRPr="007223AA">
          <w:rPr>
            <w:rFonts w:ascii="Book Antiqua" w:hAnsi="Book Antiqua" w:cs="Arial"/>
          </w:rPr>
          <w:t xml:space="preserve"> </w:t>
        </w:r>
        <w:smartTag w:uri="urn:schemas-microsoft-com:office:smarttags" w:element="PlaceType">
          <w:r w:rsidR="00351F2C" w:rsidRPr="007223AA">
            <w:rPr>
              <w:rFonts w:ascii="Book Antiqua" w:hAnsi="Book Antiqua" w:cs="Arial"/>
            </w:rPr>
            <w:t>University</w:t>
          </w:r>
        </w:smartTag>
      </w:smartTag>
      <w:r w:rsidR="00351F2C" w:rsidRPr="007223AA">
        <w:rPr>
          <w:rFonts w:ascii="Book Antiqua" w:hAnsi="Book Antiqua" w:cs="Arial"/>
        </w:rPr>
        <w:t xml:space="preserve">, </w:t>
      </w:r>
      <w:r w:rsidR="004C481E">
        <w:rPr>
          <w:rFonts w:ascii="Book Antiqua" w:hAnsi="Book Antiqua" w:cs="Arial"/>
        </w:rPr>
        <w:t xml:space="preserve">and </w:t>
      </w:r>
      <w:r w:rsidR="00351F2C" w:rsidRPr="007223AA">
        <w:rPr>
          <w:rFonts w:ascii="Book Antiqua" w:hAnsi="Book Antiqua" w:cs="Arial"/>
        </w:rPr>
        <w:t>Forestry Department</w:t>
      </w:r>
      <w:r w:rsidR="004C481E">
        <w:rPr>
          <w:rFonts w:ascii="Book Antiqua" w:hAnsi="Book Antiqua" w:cs="Arial"/>
        </w:rPr>
        <w:t>s</w:t>
      </w:r>
      <w:r w:rsidR="00351F2C" w:rsidRPr="007223AA">
        <w:rPr>
          <w:rFonts w:ascii="Book Antiqua" w:hAnsi="Book Antiqua" w:cs="Arial"/>
        </w:rPr>
        <w:t xml:space="preserve"> of DARD</w:t>
      </w:r>
      <w:r w:rsidR="004C481E">
        <w:rPr>
          <w:rFonts w:ascii="Book Antiqua" w:hAnsi="Book Antiqua" w:cs="Arial"/>
        </w:rPr>
        <w:t xml:space="preserve"> would be assigned specific roles under the guidance of the </w:t>
      </w:r>
      <w:r w:rsidR="004C481E" w:rsidRPr="007223AA">
        <w:rPr>
          <w:rFonts w:ascii="Book Antiqua" w:hAnsi="Book Antiqua" w:cs="Arial"/>
        </w:rPr>
        <w:t>'</w:t>
      </w:r>
      <w:r w:rsidR="004C481E">
        <w:rPr>
          <w:rFonts w:ascii="Book Antiqua" w:hAnsi="Book Antiqua" w:cs="Arial"/>
        </w:rPr>
        <w:t>REDD+</w:t>
      </w:r>
      <w:r w:rsidR="004C481E" w:rsidRPr="007223AA">
        <w:rPr>
          <w:rFonts w:ascii="Book Antiqua" w:hAnsi="Book Antiqua" w:cs="Arial"/>
        </w:rPr>
        <w:t xml:space="preserve"> monitoring body'</w:t>
      </w:r>
      <w:r w:rsidR="004C481E">
        <w:rPr>
          <w:rFonts w:ascii="Book Antiqua" w:hAnsi="Book Antiqua" w:cs="Arial"/>
        </w:rPr>
        <w:t xml:space="preserve">.  </w:t>
      </w:r>
      <w:r w:rsidR="00351F2C" w:rsidRPr="007223AA">
        <w:rPr>
          <w:rFonts w:ascii="Book Antiqua" w:hAnsi="Book Antiqua" w:cs="Arial"/>
        </w:rPr>
        <w:t xml:space="preserve">Independent CSOs </w:t>
      </w:r>
      <w:r w:rsidR="004C481E">
        <w:rPr>
          <w:rFonts w:ascii="Book Antiqua" w:hAnsi="Book Antiqua" w:cs="Arial"/>
        </w:rPr>
        <w:t xml:space="preserve">would assist in ensuring transparency, while the provincial </w:t>
      </w:r>
      <w:r w:rsidR="004C481E" w:rsidRPr="007223AA">
        <w:rPr>
          <w:rFonts w:ascii="Book Antiqua" w:hAnsi="Book Antiqua" w:cs="Arial"/>
        </w:rPr>
        <w:t>'</w:t>
      </w:r>
      <w:r w:rsidR="004C481E">
        <w:rPr>
          <w:rFonts w:ascii="Book Antiqua" w:hAnsi="Book Antiqua" w:cs="Arial"/>
        </w:rPr>
        <w:t>REDD+</w:t>
      </w:r>
      <w:r w:rsidR="004C481E" w:rsidRPr="007223AA">
        <w:rPr>
          <w:rFonts w:ascii="Book Antiqua" w:hAnsi="Book Antiqua" w:cs="Arial"/>
        </w:rPr>
        <w:t xml:space="preserve"> monitoring bod</w:t>
      </w:r>
      <w:r w:rsidR="004C481E">
        <w:rPr>
          <w:rFonts w:ascii="Book Antiqua" w:hAnsi="Book Antiqua" w:cs="Arial"/>
        </w:rPr>
        <w:t>ies</w:t>
      </w:r>
      <w:r w:rsidR="004C481E" w:rsidRPr="007223AA">
        <w:rPr>
          <w:rFonts w:ascii="Book Antiqua" w:hAnsi="Book Antiqua" w:cs="Arial"/>
        </w:rPr>
        <w:t xml:space="preserve">' </w:t>
      </w:r>
      <w:r w:rsidR="004C481E">
        <w:rPr>
          <w:rFonts w:ascii="Book Antiqua" w:hAnsi="Book Antiqua" w:cs="Arial"/>
        </w:rPr>
        <w:t>would also be responsible for ensuring that</w:t>
      </w:r>
      <w:r w:rsidR="00351F2C" w:rsidRPr="007223AA">
        <w:rPr>
          <w:rFonts w:ascii="Book Antiqua" w:hAnsi="Book Antiqua" w:cs="Arial"/>
        </w:rPr>
        <w:t xml:space="preserve"> </w:t>
      </w:r>
      <w:r w:rsidR="004C481E">
        <w:rPr>
          <w:rFonts w:ascii="Book Antiqua" w:hAnsi="Book Antiqua" w:cs="Arial"/>
        </w:rPr>
        <w:t>l</w:t>
      </w:r>
      <w:r w:rsidR="00351F2C" w:rsidRPr="007223AA">
        <w:rPr>
          <w:rFonts w:ascii="Book Antiqua" w:hAnsi="Book Antiqua" w:cs="Arial"/>
        </w:rPr>
        <w:t>ocal communities</w:t>
      </w:r>
      <w:r w:rsidR="004C481E">
        <w:rPr>
          <w:rFonts w:ascii="Book Antiqua" w:hAnsi="Book Antiqua" w:cs="Arial"/>
        </w:rPr>
        <w:t xml:space="preserve"> are empowered to play a participatory role</w:t>
      </w:r>
      <w:r w:rsidR="00351F2C" w:rsidRPr="007223AA">
        <w:rPr>
          <w:rFonts w:ascii="Book Antiqua" w:hAnsi="Book Antiqua" w:cs="Arial"/>
        </w:rPr>
        <w:t xml:space="preserve">. </w:t>
      </w:r>
      <w:r w:rsidR="004C481E">
        <w:rPr>
          <w:rFonts w:ascii="Book Antiqua" w:hAnsi="Book Antiqua" w:cs="Arial"/>
        </w:rPr>
        <w:t xml:space="preserve"> </w:t>
      </w:r>
    </w:p>
    <w:p w:rsidR="005D4CA4" w:rsidRDefault="005D4CA4" w:rsidP="00605C77">
      <w:pPr>
        <w:spacing w:after="0"/>
        <w:jc w:val="both"/>
        <w:rPr>
          <w:rFonts w:ascii="Book Antiqua" w:hAnsi="Book Antiqua" w:cs="Arial"/>
        </w:rPr>
      </w:pPr>
    </w:p>
    <w:p w:rsidR="004C481E" w:rsidRDefault="00351F2C" w:rsidP="00605C77">
      <w:pPr>
        <w:pStyle w:val="Heading3"/>
        <w:spacing w:before="0" w:after="0"/>
        <w:rPr>
          <w:rFonts w:ascii="Arial" w:hAnsi="Arial" w:cs="Arial"/>
        </w:rPr>
      </w:pPr>
      <w:bookmarkStart w:id="514" w:name="_Toc249079599"/>
      <w:r w:rsidRPr="00445F77">
        <w:rPr>
          <w:rFonts w:ascii="Arial" w:hAnsi="Arial" w:cs="Arial"/>
        </w:rPr>
        <w:t xml:space="preserve">Monitoring </w:t>
      </w:r>
      <w:r w:rsidR="004C481E">
        <w:rPr>
          <w:rFonts w:ascii="Arial" w:hAnsi="Arial" w:cs="Arial"/>
        </w:rPr>
        <w:t>Operations</w:t>
      </w:r>
    </w:p>
    <w:p w:rsidR="004C481E" w:rsidRPr="00B871DD" w:rsidRDefault="004C481E" w:rsidP="00B871DD">
      <w:pPr>
        <w:pStyle w:val="Heading3"/>
        <w:spacing w:before="0" w:after="0"/>
        <w:jc w:val="both"/>
        <w:rPr>
          <w:rFonts w:ascii="Book Antiqua" w:hAnsi="Book Antiqua" w:cs="Arial"/>
          <w:i w:val="0"/>
          <w:color w:val="000000"/>
          <w:sz w:val="22"/>
          <w:szCs w:val="22"/>
        </w:rPr>
      </w:pPr>
      <w:r>
        <w:rPr>
          <w:rFonts w:ascii="Book Antiqua" w:hAnsi="Book Antiqua" w:cs="Arial"/>
          <w:i w:val="0"/>
          <w:color w:val="000000"/>
          <w:sz w:val="22"/>
          <w:szCs w:val="22"/>
        </w:rPr>
        <w:t xml:space="preserve">Since most of the interventions and activities undertaken to reduce emissions will occur at provincial or local levels, </w:t>
      </w:r>
      <w:r w:rsidR="001D1D80">
        <w:rPr>
          <w:rFonts w:ascii="Book Antiqua" w:hAnsi="Book Antiqua" w:cs="Arial"/>
          <w:i w:val="0"/>
          <w:color w:val="000000"/>
          <w:sz w:val="22"/>
          <w:szCs w:val="22"/>
        </w:rPr>
        <w:t xml:space="preserve">monitoring operations will </w:t>
      </w:r>
      <w:r w:rsidR="00B871DD">
        <w:rPr>
          <w:rFonts w:ascii="Book Antiqua" w:hAnsi="Book Antiqua" w:cs="Arial"/>
          <w:i w:val="0"/>
          <w:color w:val="000000"/>
          <w:sz w:val="22"/>
          <w:szCs w:val="22"/>
        </w:rPr>
        <w:t xml:space="preserve">involve monitoring of provincial and local organizations.  The national </w:t>
      </w:r>
      <w:r w:rsidR="00B871DD" w:rsidRPr="00B871DD">
        <w:rPr>
          <w:rFonts w:ascii="Book Antiqua" w:hAnsi="Book Antiqua" w:cs="Arial"/>
          <w:i w:val="0"/>
          <w:color w:val="000000"/>
          <w:sz w:val="22"/>
          <w:szCs w:val="22"/>
        </w:rPr>
        <w:t>'REDD+ monitoring body'</w:t>
      </w:r>
      <w:r w:rsidR="00B871DD">
        <w:rPr>
          <w:rFonts w:ascii="Book Antiqua" w:hAnsi="Book Antiqua" w:cs="Arial"/>
          <w:i w:val="0"/>
          <w:color w:val="000000"/>
          <w:sz w:val="22"/>
          <w:szCs w:val="22"/>
        </w:rPr>
        <w:t xml:space="preserve"> will need to establish procedures which take account of existing processes for reporting and monitoring on government plans and activities, but which incorporate additional elements of participation, so as to promote transparency.  Such procedures may include, for example, sub-contracting of CSOs by </w:t>
      </w:r>
      <w:r w:rsidR="00B871DD" w:rsidRPr="00B871DD">
        <w:rPr>
          <w:rFonts w:ascii="Book Antiqua" w:hAnsi="Book Antiqua" w:cs="Arial"/>
          <w:i w:val="0"/>
          <w:color w:val="000000"/>
          <w:sz w:val="22"/>
          <w:szCs w:val="22"/>
        </w:rPr>
        <w:t>provincial 'REDD+ monitoring bodies'</w:t>
      </w:r>
      <w:r w:rsidR="00B871DD">
        <w:rPr>
          <w:rFonts w:ascii="Book Antiqua" w:hAnsi="Book Antiqua" w:cs="Arial"/>
          <w:i w:val="0"/>
          <w:color w:val="000000"/>
          <w:sz w:val="22"/>
          <w:szCs w:val="22"/>
        </w:rPr>
        <w:t xml:space="preserve"> to undertake additional spot-checks, or to undertake thematic assessments, for example, of strengthened law enforcement, or of implementation of revised policies.</w:t>
      </w:r>
    </w:p>
    <w:p w:rsidR="004C481E" w:rsidRDefault="004C481E" w:rsidP="00605C77">
      <w:pPr>
        <w:pStyle w:val="Heading3"/>
        <w:spacing w:before="0" w:after="0"/>
        <w:rPr>
          <w:rFonts w:ascii="Arial" w:hAnsi="Arial" w:cs="Arial"/>
        </w:rPr>
      </w:pPr>
    </w:p>
    <w:p w:rsidR="00351F2C" w:rsidRPr="00445F77" w:rsidRDefault="004C481E" w:rsidP="00605C77">
      <w:pPr>
        <w:pStyle w:val="Heading3"/>
        <w:spacing w:before="0" w:after="0"/>
        <w:rPr>
          <w:rFonts w:ascii="Arial" w:hAnsi="Arial" w:cs="Arial"/>
        </w:rPr>
      </w:pPr>
      <w:r>
        <w:rPr>
          <w:rFonts w:ascii="Arial" w:hAnsi="Arial" w:cs="Arial"/>
        </w:rPr>
        <w:t xml:space="preserve">Monitoring </w:t>
      </w:r>
      <w:r w:rsidR="00351F2C" w:rsidRPr="00445F77">
        <w:rPr>
          <w:rFonts w:ascii="Arial" w:hAnsi="Arial" w:cs="Arial"/>
        </w:rPr>
        <w:t>Benefit Distribution</w:t>
      </w:r>
      <w:bookmarkEnd w:id="514"/>
    </w:p>
    <w:p w:rsidR="00351F2C" w:rsidRPr="007223AA" w:rsidRDefault="00351F2C" w:rsidP="00605C77">
      <w:pPr>
        <w:spacing w:after="0"/>
        <w:jc w:val="both"/>
        <w:rPr>
          <w:rFonts w:ascii="Book Antiqua" w:hAnsi="Book Antiqua" w:cs="Arial"/>
        </w:rPr>
      </w:pPr>
      <w:r w:rsidRPr="007223AA">
        <w:rPr>
          <w:rFonts w:ascii="Book Antiqua" w:hAnsi="Book Antiqua" w:cs="Arial"/>
        </w:rPr>
        <w:t>The monitoring of benefit distribution, consistent with the principle of setting monitoring at the lowest feasible level, may involve representatives from local organizations; village</w:t>
      </w:r>
      <w:r w:rsidR="00B871DD">
        <w:rPr>
          <w:rFonts w:ascii="Book Antiqua" w:hAnsi="Book Antiqua" w:cs="Arial"/>
        </w:rPr>
        <w:t>s</w:t>
      </w:r>
      <w:r w:rsidRPr="007223AA">
        <w:rPr>
          <w:rFonts w:ascii="Book Antiqua" w:hAnsi="Book Antiqua" w:cs="Arial"/>
        </w:rPr>
        <w:t xml:space="preserve">, </w:t>
      </w:r>
      <w:r w:rsidR="00B871DD">
        <w:rPr>
          <w:rFonts w:ascii="Book Antiqua" w:hAnsi="Book Antiqua" w:cs="Arial"/>
        </w:rPr>
        <w:t>l</w:t>
      </w:r>
      <w:r w:rsidRPr="007223AA">
        <w:rPr>
          <w:rFonts w:ascii="Book Antiqua" w:hAnsi="Book Antiqua" w:cs="Arial"/>
        </w:rPr>
        <w:t xml:space="preserve">ocal authorities, </w:t>
      </w:r>
      <w:r w:rsidR="00B871DD">
        <w:rPr>
          <w:rFonts w:ascii="Book Antiqua" w:hAnsi="Book Antiqua" w:cs="Arial"/>
        </w:rPr>
        <w:t>f</w:t>
      </w:r>
      <w:r w:rsidRPr="007223AA">
        <w:rPr>
          <w:rFonts w:ascii="Book Antiqua" w:hAnsi="Book Antiqua" w:cs="Arial"/>
        </w:rPr>
        <w:t>orest owners</w:t>
      </w:r>
      <w:r w:rsidR="00B871DD">
        <w:rPr>
          <w:rFonts w:ascii="Book Antiqua" w:hAnsi="Book Antiqua" w:cs="Arial"/>
        </w:rPr>
        <w:t xml:space="preserve">, </w:t>
      </w:r>
      <w:r w:rsidRPr="007223AA">
        <w:rPr>
          <w:rFonts w:ascii="Book Antiqua" w:hAnsi="Book Antiqua" w:cs="Arial"/>
        </w:rPr>
        <w:t xml:space="preserve">and CSOs. </w:t>
      </w:r>
    </w:p>
    <w:p w:rsidR="00605C77" w:rsidRDefault="00605C77" w:rsidP="00605C77">
      <w:pPr>
        <w:spacing w:after="0"/>
        <w:jc w:val="both"/>
        <w:rPr>
          <w:rFonts w:ascii="Book Antiqua" w:hAnsi="Book Antiqua" w:cs="Arial"/>
        </w:rPr>
      </w:pPr>
    </w:p>
    <w:p w:rsidR="00351F2C" w:rsidRPr="007223AA" w:rsidRDefault="00351F2C" w:rsidP="001D1D80">
      <w:pPr>
        <w:spacing w:after="0"/>
        <w:jc w:val="both"/>
        <w:rPr>
          <w:rFonts w:ascii="Book Antiqua" w:hAnsi="Book Antiqua" w:cs="Arial"/>
        </w:rPr>
      </w:pPr>
      <w:r w:rsidRPr="007223AA">
        <w:rPr>
          <w:rFonts w:ascii="Book Antiqua" w:hAnsi="Book Antiqua" w:cs="Arial"/>
        </w:rPr>
        <w:t>For the village</w:t>
      </w:r>
      <w:r w:rsidR="00B871DD">
        <w:rPr>
          <w:rFonts w:ascii="Book Antiqua" w:hAnsi="Book Antiqua" w:cs="Arial"/>
        </w:rPr>
        <w:t>/community</w:t>
      </w:r>
      <w:r w:rsidRPr="007223AA">
        <w:rPr>
          <w:rFonts w:ascii="Book Antiqua" w:hAnsi="Book Antiqua" w:cs="Arial"/>
        </w:rPr>
        <w:t xml:space="preserve"> level, </w:t>
      </w:r>
      <w:r w:rsidR="00480D3D">
        <w:rPr>
          <w:rFonts w:ascii="Book Antiqua" w:hAnsi="Book Antiqua" w:cs="Arial"/>
        </w:rPr>
        <w:t>REDD+</w:t>
      </w:r>
      <w:r w:rsidRPr="007223AA">
        <w:rPr>
          <w:rFonts w:ascii="Book Antiqua" w:hAnsi="Book Antiqua" w:cs="Arial"/>
        </w:rPr>
        <w:t xml:space="preserve"> benefits may be distributed </w:t>
      </w:r>
      <w:r w:rsidR="00B871DD">
        <w:rPr>
          <w:rFonts w:ascii="Book Antiqua" w:hAnsi="Book Antiqua" w:cs="Arial"/>
        </w:rPr>
        <w:t>in the</w:t>
      </w:r>
      <w:r w:rsidRPr="007223AA">
        <w:rPr>
          <w:rFonts w:ascii="Book Antiqua" w:hAnsi="Book Antiqua" w:cs="Arial"/>
        </w:rPr>
        <w:t xml:space="preserve"> form of </w:t>
      </w:r>
      <w:r w:rsidR="00B871DD">
        <w:rPr>
          <w:rFonts w:ascii="Book Antiqua" w:hAnsi="Book Antiqua" w:cs="Arial"/>
        </w:rPr>
        <w:t xml:space="preserve">a </w:t>
      </w:r>
      <w:r w:rsidRPr="007223AA">
        <w:rPr>
          <w:rFonts w:ascii="Book Antiqua" w:hAnsi="Book Antiqua" w:cs="Arial"/>
        </w:rPr>
        <w:t>‘</w:t>
      </w:r>
      <w:r w:rsidR="00B871DD">
        <w:rPr>
          <w:rFonts w:ascii="Book Antiqua" w:hAnsi="Book Antiqua" w:cs="Arial"/>
        </w:rPr>
        <w:t>d</w:t>
      </w:r>
      <w:r w:rsidRPr="007223AA">
        <w:rPr>
          <w:rFonts w:ascii="Book Antiqua" w:hAnsi="Book Antiqua" w:cs="Arial"/>
        </w:rPr>
        <w:t xml:space="preserve">evelopment </w:t>
      </w:r>
      <w:r w:rsidR="00B871DD">
        <w:rPr>
          <w:rFonts w:ascii="Book Antiqua" w:hAnsi="Book Antiqua" w:cs="Arial"/>
        </w:rPr>
        <w:t>f</w:t>
      </w:r>
      <w:r w:rsidRPr="007223AA">
        <w:rPr>
          <w:rFonts w:ascii="Book Antiqua" w:hAnsi="Book Antiqua" w:cs="Arial"/>
        </w:rPr>
        <w:t>und’</w:t>
      </w:r>
      <w:r w:rsidR="00B871DD">
        <w:rPr>
          <w:rFonts w:ascii="Book Antiqua" w:hAnsi="Book Antiqua" w:cs="Arial"/>
        </w:rPr>
        <w:t>, or other monetary or non-monetary benefits</w:t>
      </w:r>
      <w:r w:rsidRPr="007223AA">
        <w:rPr>
          <w:rFonts w:ascii="Book Antiqua" w:hAnsi="Book Antiqua" w:cs="Arial"/>
        </w:rPr>
        <w:t xml:space="preserve">. </w:t>
      </w:r>
      <w:r w:rsidR="00300BD2">
        <w:rPr>
          <w:rFonts w:ascii="Book Antiqua" w:hAnsi="Book Antiqua" w:cs="Arial"/>
        </w:rPr>
        <w:t xml:space="preserve"> </w:t>
      </w:r>
      <w:r w:rsidRPr="007223AA">
        <w:rPr>
          <w:rFonts w:ascii="Book Antiqua" w:hAnsi="Book Antiqua" w:cs="Arial"/>
        </w:rPr>
        <w:t xml:space="preserve">Monitoring of </w:t>
      </w:r>
      <w:r w:rsidR="00300BD2">
        <w:rPr>
          <w:rFonts w:ascii="Book Antiqua" w:hAnsi="Book Antiqua" w:cs="Arial"/>
        </w:rPr>
        <w:t>a development</w:t>
      </w:r>
      <w:r w:rsidRPr="007223AA">
        <w:rPr>
          <w:rFonts w:ascii="Book Antiqua" w:hAnsi="Book Antiqua" w:cs="Arial"/>
        </w:rPr>
        <w:t xml:space="preserve"> fund is needed to make sure benefits will go to the activities prioritized by local people. </w:t>
      </w:r>
      <w:r w:rsidR="00300BD2">
        <w:rPr>
          <w:rFonts w:ascii="Book Antiqua" w:hAnsi="Book Antiqua" w:cs="Arial"/>
        </w:rPr>
        <w:t xml:space="preserve"> </w:t>
      </w:r>
      <w:r w:rsidRPr="007223AA">
        <w:rPr>
          <w:rFonts w:ascii="Book Antiqua" w:hAnsi="Book Antiqua" w:cs="Arial"/>
        </w:rPr>
        <w:t xml:space="preserve">This may involve participatory village planning with involvement from all households, local organizations and commune representatives to define and prioritize the activities. </w:t>
      </w:r>
      <w:r w:rsidR="00300BD2">
        <w:rPr>
          <w:rFonts w:ascii="Book Antiqua" w:hAnsi="Book Antiqua" w:cs="Arial"/>
        </w:rPr>
        <w:t xml:space="preserve"> </w:t>
      </w:r>
      <w:r w:rsidR="00480D3D">
        <w:rPr>
          <w:rFonts w:ascii="Book Antiqua" w:hAnsi="Book Antiqua" w:cs="Arial"/>
        </w:rPr>
        <w:t>REDD+</w:t>
      </w:r>
      <w:r w:rsidRPr="007223AA">
        <w:rPr>
          <w:rFonts w:ascii="Book Antiqua" w:hAnsi="Book Antiqua" w:cs="Arial"/>
        </w:rPr>
        <w:t xml:space="preserve"> benefits will be distributed to the village based on the village development plan approved by local authorities (commune and district) in order to avoid any overlaps in funding allocation. Local authorities (commune, district, province), </w:t>
      </w:r>
      <w:r w:rsidR="001D1D80">
        <w:rPr>
          <w:rFonts w:ascii="Book Antiqua" w:hAnsi="Book Antiqua" w:cs="Arial"/>
        </w:rPr>
        <w:t>and</w:t>
      </w:r>
      <w:r w:rsidRPr="007223AA">
        <w:rPr>
          <w:rFonts w:ascii="Book Antiqua" w:hAnsi="Book Antiqua" w:cs="Arial"/>
        </w:rPr>
        <w:t xml:space="preserve"> </w:t>
      </w:r>
      <w:r w:rsidRPr="007223AA">
        <w:rPr>
          <w:rFonts w:ascii="Book Antiqua" w:hAnsi="Book Antiqua" w:cs="Arial"/>
        </w:rPr>
        <w:lastRenderedPageBreak/>
        <w:t xml:space="preserve">local banks might then make sure and/or monitor the benefits that go to the fund with the village setting up a financial monitoring team including members from existing organizations (farmers, youth, women’s, veterans) and CSOs to monitor the use of fund.   </w:t>
      </w:r>
    </w:p>
    <w:p w:rsidR="00605C77" w:rsidRDefault="00605C77" w:rsidP="001D1D80">
      <w:pPr>
        <w:spacing w:after="0"/>
        <w:jc w:val="both"/>
        <w:rPr>
          <w:rFonts w:ascii="Book Antiqua" w:hAnsi="Book Antiqua" w:cs="Arial"/>
        </w:rPr>
      </w:pPr>
    </w:p>
    <w:p w:rsidR="00351F2C" w:rsidRPr="007223AA" w:rsidRDefault="00351F2C" w:rsidP="001D1D80">
      <w:pPr>
        <w:spacing w:after="0"/>
        <w:jc w:val="both"/>
        <w:rPr>
          <w:rFonts w:ascii="Book Antiqua" w:hAnsi="Book Antiqua" w:cs="Arial"/>
        </w:rPr>
      </w:pPr>
      <w:r w:rsidRPr="007223AA">
        <w:rPr>
          <w:rFonts w:ascii="Book Antiqua" w:hAnsi="Book Antiqua" w:cs="Arial"/>
        </w:rPr>
        <w:t>For the allocation/transaction of the fund from provincial/district level to local household, the distribution of the benefits at the local level, representatives of locally-based government organizations (farmers, youth, women’s, veterans), and from CSOs</w:t>
      </w:r>
      <w:r w:rsidR="00300BD2">
        <w:rPr>
          <w:rFonts w:ascii="Book Antiqua" w:hAnsi="Book Antiqua" w:cs="Arial"/>
        </w:rPr>
        <w:t xml:space="preserve"> may be contracted by the provincial </w:t>
      </w:r>
      <w:r w:rsidR="00300BD2" w:rsidRPr="00300BD2">
        <w:rPr>
          <w:rFonts w:ascii="Book Antiqua" w:hAnsi="Book Antiqua" w:cs="Arial"/>
          <w:color w:val="000000"/>
        </w:rPr>
        <w:t>'REDD+ monitoring bodies'</w:t>
      </w:r>
      <w:r w:rsidR="00300BD2">
        <w:rPr>
          <w:rFonts w:ascii="Book Antiqua" w:hAnsi="Book Antiqua" w:cs="Arial"/>
          <w:color w:val="000000"/>
        </w:rPr>
        <w:t xml:space="preserve"> to undertake the task according to guidelines established by the national </w:t>
      </w:r>
      <w:r w:rsidR="00300BD2" w:rsidRPr="00300BD2">
        <w:rPr>
          <w:rFonts w:ascii="Book Antiqua" w:hAnsi="Book Antiqua" w:cs="Arial"/>
          <w:color w:val="000000"/>
        </w:rPr>
        <w:t>'REDD+ monitoring body'</w:t>
      </w:r>
      <w:r w:rsidRPr="00300BD2">
        <w:rPr>
          <w:rFonts w:ascii="Book Antiqua" w:hAnsi="Book Antiqua" w:cs="Arial"/>
        </w:rPr>
        <w:t xml:space="preserve">. </w:t>
      </w:r>
      <w:r w:rsidR="00300BD2">
        <w:rPr>
          <w:rFonts w:ascii="Book Antiqua" w:hAnsi="Book Antiqua" w:cs="Arial"/>
        </w:rPr>
        <w:t>Such monitoring will need to ensure that</w:t>
      </w:r>
      <w:r w:rsidRPr="007223AA">
        <w:rPr>
          <w:rFonts w:ascii="Book Antiqua" w:hAnsi="Book Antiqua" w:cs="Arial"/>
        </w:rPr>
        <w:t xml:space="preserve"> </w:t>
      </w:r>
      <w:r w:rsidR="00300BD2">
        <w:rPr>
          <w:rFonts w:ascii="Book Antiqua" w:hAnsi="Book Antiqua" w:cs="Arial"/>
        </w:rPr>
        <w:t>formulae</w:t>
      </w:r>
      <w:r w:rsidRPr="007223AA">
        <w:rPr>
          <w:rFonts w:ascii="Book Antiqua" w:hAnsi="Book Antiqua" w:cs="Arial"/>
        </w:rPr>
        <w:t>, such as ‘</w:t>
      </w:r>
      <w:r w:rsidR="00300BD2">
        <w:rPr>
          <w:rFonts w:ascii="Book Antiqua" w:hAnsi="Book Antiqua" w:cs="Arial"/>
        </w:rPr>
        <w:t>R-coefficients</w:t>
      </w:r>
      <w:r w:rsidRPr="007223AA">
        <w:rPr>
          <w:rFonts w:ascii="Book Antiqua" w:hAnsi="Book Antiqua" w:cs="Arial"/>
        </w:rPr>
        <w:t xml:space="preserve">’ </w:t>
      </w:r>
      <w:r w:rsidR="00300BD2">
        <w:rPr>
          <w:rFonts w:ascii="Book Antiqua" w:hAnsi="Book Antiqua" w:cs="Arial"/>
        </w:rPr>
        <w:t xml:space="preserve">are applied correctly </w:t>
      </w:r>
      <w:r w:rsidRPr="007223AA">
        <w:rPr>
          <w:rFonts w:ascii="Book Antiqua" w:hAnsi="Book Antiqua" w:cs="Arial"/>
        </w:rPr>
        <w:t xml:space="preserve">so that the benefit (in cash) for each individual household is </w:t>
      </w:r>
      <w:r w:rsidR="00300BD2">
        <w:rPr>
          <w:rFonts w:ascii="Book Antiqua" w:hAnsi="Book Antiqua" w:cs="Arial"/>
        </w:rPr>
        <w:t>fair</w:t>
      </w:r>
      <w:r w:rsidRPr="007223AA">
        <w:rPr>
          <w:rFonts w:ascii="Book Antiqua" w:hAnsi="Book Antiqua" w:cs="Arial"/>
        </w:rPr>
        <w:t xml:space="preserve">. </w:t>
      </w:r>
    </w:p>
    <w:p w:rsidR="001D1D80" w:rsidRDefault="001D1D80" w:rsidP="001D1D80">
      <w:pPr>
        <w:spacing w:after="0"/>
        <w:jc w:val="both"/>
        <w:rPr>
          <w:rFonts w:ascii="Book Antiqua" w:hAnsi="Book Antiqua" w:cs="Arial"/>
        </w:rPr>
      </w:pPr>
    </w:p>
    <w:p w:rsidR="00300BD2" w:rsidRDefault="00300BD2" w:rsidP="001D1D80">
      <w:pPr>
        <w:pStyle w:val="Heading2"/>
        <w:spacing w:before="0" w:after="0"/>
        <w:rPr>
          <w:rFonts w:ascii="Arial" w:hAnsi="Arial" w:cs="Arial"/>
          <w:sz w:val="24"/>
          <w:szCs w:val="24"/>
        </w:rPr>
      </w:pPr>
      <w:bookmarkStart w:id="515" w:name="_Toc252354757"/>
      <w:bookmarkStart w:id="516" w:name="_Toc243964460"/>
      <w:bookmarkStart w:id="517" w:name="_Toc243984171"/>
      <w:bookmarkStart w:id="518" w:name="_Toc244735143"/>
      <w:bookmarkStart w:id="519" w:name="_Toc244735678"/>
      <w:r>
        <w:rPr>
          <w:rFonts w:ascii="Arial" w:hAnsi="Arial" w:cs="Arial"/>
          <w:i/>
          <w:sz w:val="24"/>
          <w:szCs w:val="24"/>
        </w:rPr>
        <w:t xml:space="preserve">Monitoring of </w:t>
      </w:r>
      <w:r w:rsidRPr="00300BD2">
        <w:rPr>
          <w:rFonts w:ascii="Arial" w:hAnsi="Arial" w:cs="Arial"/>
          <w:i/>
          <w:sz w:val="24"/>
          <w:szCs w:val="24"/>
        </w:rPr>
        <w:t>financial flows/auditing</w:t>
      </w:r>
      <w:bookmarkEnd w:id="515"/>
    </w:p>
    <w:p w:rsidR="00300BD2" w:rsidRPr="007223AA" w:rsidRDefault="00300BD2" w:rsidP="00300BD2">
      <w:pPr>
        <w:spacing w:after="0"/>
        <w:jc w:val="both"/>
        <w:rPr>
          <w:rFonts w:ascii="Book Antiqua" w:hAnsi="Book Antiqua" w:cs="Arial"/>
        </w:rPr>
      </w:pPr>
      <w:r>
        <w:rPr>
          <w:rFonts w:ascii="Book Antiqua" w:hAnsi="Book Antiqua" w:cs="Arial"/>
        </w:rPr>
        <w:t xml:space="preserve">Auditing of the entire REDD+ BDS will apply standard auditing procedures.  The national </w:t>
      </w:r>
      <w:r w:rsidRPr="00300BD2">
        <w:rPr>
          <w:rFonts w:ascii="Book Antiqua" w:hAnsi="Book Antiqua" w:cs="Arial"/>
          <w:color w:val="000000"/>
        </w:rPr>
        <w:t>'REDD+ monitoring body'</w:t>
      </w:r>
      <w:r>
        <w:rPr>
          <w:rFonts w:ascii="Book Antiqua" w:hAnsi="Book Antiqua" w:cs="Arial"/>
          <w:color w:val="000000"/>
        </w:rPr>
        <w:t xml:space="preserve"> will be responsible for contracting an appropriate international auditing firm (see Policy Decision 7.3, below) to undertake a comprehensive audit, probably on an annual basis.</w:t>
      </w:r>
    </w:p>
    <w:p w:rsidR="00300BD2" w:rsidRDefault="00300BD2" w:rsidP="00300BD2">
      <w:pPr>
        <w:spacing w:after="0"/>
        <w:jc w:val="both"/>
        <w:rPr>
          <w:rFonts w:ascii="Book Antiqua" w:hAnsi="Book Antiqua" w:cs="Arial"/>
        </w:rPr>
      </w:pPr>
    </w:p>
    <w:p w:rsidR="00351F2C" w:rsidRPr="00445F77" w:rsidRDefault="00351F2C" w:rsidP="001D1D80">
      <w:pPr>
        <w:pStyle w:val="Heading2"/>
        <w:spacing w:before="0" w:after="0"/>
        <w:rPr>
          <w:rFonts w:ascii="Arial" w:hAnsi="Arial" w:cs="Arial"/>
          <w:sz w:val="24"/>
          <w:szCs w:val="24"/>
        </w:rPr>
      </w:pPr>
      <w:bookmarkStart w:id="520" w:name="_Toc252354758"/>
      <w:r w:rsidRPr="00300BD2">
        <w:rPr>
          <w:rFonts w:ascii="Arial" w:hAnsi="Arial" w:cs="Arial"/>
          <w:sz w:val="24"/>
          <w:szCs w:val="24"/>
        </w:rPr>
        <w:t>7</w:t>
      </w:r>
      <w:r w:rsidRPr="00445F77">
        <w:rPr>
          <w:rFonts w:ascii="Arial" w:hAnsi="Arial" w:cs="Arial"/>
          <w:sz w:val="24"/>
          <w:szCs w:val="24"/>
        </w:rPr>
        <w:t>.</w:t>
      </w:r>
      <w:r w:rsidR="00894B32">
        <w:rPr>
          <w:rFonts w:ascii="Arial" w:hAnsi="Arial" w:cs="Arial"/>
          <w:sz w:val="24"/>
          <w:szCs w:val="24"/>
        </w:rPr>
        <w:t>4</w:t>
      </w:r>
      <w:r w:rsidRPr="00445F77">
        <w:rPr>
          <w:rFonts w:ascii="Arial" w:hAnsi="Arial" w:cs="Arial"/>
          <w:sz w:val="24"/>
          <w:szCs w:val="24"/>
        </w:rPr>
        <w:t xml:space="preserve"> Building in safeguards: redress procedures and responsibilities, conflict resolution</w:t>
      </w:r>
      <w:bookmarkEnd w:id="516"/>
      <w:bookmarkEnd w:id="517"/>
      <w:bookmarkEnd w:id="518"/>
      <w:bookmarkEnd w:id="519"/>
      <w:bookmarkEnd w:id="520"/>
      <w:r w:rsidRPr="00445F77">
        <w:rPr>
          <w:rFonts w:ascii="Arial" w:hAnsi="Arial" w:cs="Arial"/>
          <w:sz w:val="24"/>
          <w:szCs w:val="24"/>
        </w:rPr>
        <w:t xml:space="preserve"> </w:t>
      </w:r>
    </w:p>
    <w:p w:rsidR="00351F2C" w:rsidRPr="007223AA" w:rsidRDefault="00351F2C" w:rsidP="001D1D80">
      <w:pPr>
        <w:spacing w:after="0" w:line="300" w:lineRule="exact"/>
        <w:jc w:val="both"/>
        <w:rPr>
          <w:rFonts w:ascii="Book Antiqua" w:hAnsi="Book Antiqua" w:cs="Arial"/>
        </w:rPr>
      </w:pPr>
      <w:r w:rsidRPr="007223AA">
        <w:rPr>
          <w:rFonts w:ascii="Book Antiqua" w:hAnsi="Book Antiqua" w:cs="Arial"/>
        </w:rPr>
        <w:t xml:space="preserve">Any BDS, however well designed, will inevitably give rise to complaints by those who think that they have not been rewarded appropriately and/or are losing out to free-riders who receive benefits but have made no contribution to forest protection and reduced carbon emissions.  The first type of complaint is probably fairly straightforward to deal with, the second more complex.  Since a perfect BDS cannot be designed, it is necessary to build in a recourse mechanism so that complaints can be freely reported and independently addressed.  </w:t>
      </w:r>
    </w:p>
    <w:p w:rsidR="00351F2C" w:rsidRPr="007223AA" w:rsidRDefault="00351F2C" w:rsidP="001D1D80">
      <w:pPr>
        <w:spacing w:after="0" w:line="300" w:lineRule="exact"/>
        <w:jc w:val="both"/>
        <w:rPr>
          <w:rFonts w:ascii="Book Antiqua" w:hAnsi="Book Antiqua" w:cs="Arial"/>
        </w:rPr>
      </w:pPr>
    </w:p>
    <w:p w:rsidR="00351F2C" w:rsidRPr="007223AA" w:rsidRDefault="00351F2C" w:rsidP="001D1D80">
      <w:pPr>
        <w:spacing w:after="0" w:line="300" w:lineRule="exact"/>
        <w:jc w:val="both"/>
        <w:rPr>
          <w:rFonts w:ascii="Book Antiqua" w:hAnsi="Book Antiqua" w:cs="Arial"/>
        </w:rPr>
      </w:pPr>
      <w:r w:rsidRPr="007223AA">
        <w:rPr>
          <w:rFonts w:ascii="Book Antiqua" w:hAnsi="Book Antiqua" w:cs="Arial"/>
        </w:rPr>
        <w:t xml:space="preserve">The contact point for complaints cannot be the local FPD or other government agency responsible for distributing benefits.  It could be a provincial government department with the capacity to receive and investigate complaints but with no vested interest in any particular outcome.  Or the point of contact could be centrally located and managed with a degree of civil society participation.  The advantage of this model is two-fold.  It would be far removed from the field and so unlikely to be influenced by any particular stakeholder and civil society participation would enhance its credibility when it comes to investigating and resolving complaints.  </w:t>
      </w:r>
    </w:p>
    <w:p w:rsidR="00351F2C" w:rsidRPr="007223AA" w:rsidRDefault="00351F2C" w:rsidP="00F05F95">
      <w:pPr>
        <w:spacing w:after="0" w:line="300" w:lineRule="exact"/>
        <w:jc w:val="both"/>
        <w:rPr>
          <w:rFonts w:ascii="Book Antiqua" w:hAnsi="Book Antiqua" w:cs="Arial"/>
        </w:rPr>
      </w:pPr>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rPr>
        <w:t xml:space="preserve">A centrally located contact point would also facilitate the collection and monitoring of complaints, which may provide important insights into the performance of the overall BDS.  This would encourage an institutional culture that instead of seeking to suppress complaints uses this information to fine-tune and improve the system.  Once the complaints have been received and processed, an appropriate agency would need to investigate.  One option is that this responsibility is given to the PPC in the relevant province, which would in turn delegate responsibility to a given agency.  This assumes that the provincial authorities or delegated agency do not have a vested interest in the </w:t>
      </w:r>
      <w:r w:rsidRPr="007223AA">
        <w:rPr>
          <w:rFonts w:ascii="Book Antiqua" w:hAnsi="Book Antiqua" w:cs="Arial"/>
        </w:rPr>
        <w:lastRenderedPageBreak/>
        <w:t xml:space="preserve">outcome.  In cases involving major conflicts, a delegation from </w:t>
      </w:r>
      <w:smartTag w:uri="urn:schemas-microsoft-com:office:smarttags" w:element="City">
        <w:smartTag w:uri="urn:schemas-microsoft-com:office:smarttags" w:element="place">
          <w:r w:rsidRPr="007223AA">
            <w:rPr>
              <w:rFonts w:ascii="Book Antiqua" w:hAnsi="Book Antiqua" w:cs="Arial"/>
            </w:rPr>
            <w:t>Hanoi</w:t>
          </w:r>
        </w:smartTag>
      </w:smartTag>
      <w:r w:rsidRPr="007223AA">
        <w:rPr>
          <w:rFonts w:ascii="Book Antiqua" w:hAnsi="Book Antiqua" w:cs="Arial"/>
        </w:rPr>
        <w:t xml:space="preserve"> may need to be sent to investigate.</w:t>
      </w:r>
    </w:p>
    <w:p w:rsidR="00351F2C" w:rsidRPr="007223AA" w:rsidRDefault="00351F2C" w:rsidP="00F05F95">
      <w:pPr>
        <w:spacing w:after="0" w:line="300" w:lineRule="exact"/>
        <w:jc w:val="both"/>
        <w:rPr>
          <w:rFonts w:ascii="Book Antiqua" w:hAnsi="Book Antiqua" w:cs="Arial"/>
        </w:rPr>
      </w:pPr>
    </w:p>
    <w:p w:rsidR="00351F2C" w:rsidRPr="007223AA" w:rsidRDefault="00480D3D" w:rsidP="00F05F95">
      <w:pPr>
        <w:spacing w:after="0" w:line="300" w:lineRule="exact"/>
        <w:jc w:val="both"/>
        <w:rPr>
          <w:rFonts w:ascii="Book Antiqua" w:hAnsi="Book Antiqua" w:cs="Arial"/>
        </w:rPr>
      </w:pPr>
      <w:smartTag w:uri="urn:schemas-microsoft-com:office:smarttags" w:element="country-region">
        <w:smartTag w:uri="urn:schemas-microsoft-com:office:smarttags" w:element="place">
          <w:r>
            <w:rPr>
              <w:rFonts w:ascii="Book Antiqua" w:hAnsi="Book Antiqua" w:cs="Arial"/>
            </w:rPr>
            <w:t>Viet Nam</w:t>
          </w:r>
        </w:smartTag>
      </w:smartTag>
      <w:r w:rsidR="00351F2C" w:rsidRPr="007223AA">
        <w:rPr>
          <w:rFonts w:ascii="Book Antiqua" w:hAnsi="Book Antiqua" w:cs="Arial"/>
        </w:rPr>
        <w:t xml:space="preserve">’s political system does provide space for public complaints.  Indeed, </w:t>
      </w:r>
      <w:smartTag w:uri="urn:schemas-microsoft-com:office:smarttags" w:element="country-region">
        <w:smartTag w:uri="urn:schemas-microsoft-com:office:smarttags" w:element="place">
          <w:r>
            <w:rPr>
              <w:rFonts w:ascii="Book Antiqua" w:hAnsi="Book Antiqua" w:cs="Arial"/>
            </w:rPr>
            <w:t>Viet Nam</w:t>
          </w:r>
        </w:smartTag>
      </w:smartTag>
      <w:r w:rsidR="00351F2C" w:rsidRPr="007223AA">
        <w:rPr>
          <w:rFonts w:ascii="Book Antiqua" w:hAnsi="Book Antiqua" w:cs="Arial"/>
        </w:rPr>
        <w:t xml:space="preserve">’s environmental protection system has been described as a “complaints-based system” (O’Rourke 2002).  Groups and individuals can and do complain about local government officials, particularly when it comes to urban pollution.  They can also speak to the media and </w:t>
      </w:r>
      <w:r>
        <w:rPr>
          <w:rFonts w:ascii="Book Antiqua" w:hAnsi="Book Antiqua" w:cs="Arial"/>
        </w:rPr>
        <w:t>Vietnamese</w:t>
      </w:r>
      <w:r w:rsidR="00351F2C" w:rsidRPr="007223AA">
        <w:rPr>
          <w:rFonts w:ascii="Book Antiqua" w:hAnsi="Book Antiqua" w:cs="Arial"/>
        </w:rPr>
        <w:t xml:space="preserve"> newspapers frequently run stories about public complaints against corrupt or incompetent officials.  </w:t>
      </w:r>
    </w:p>
    <w:p w:rsidR="00351F2C" w:rsidRPr="007223AA" w:rsidRDefault="00351F2C" w:rsidP="00F05F95">
      <w:pPr>
        <w:spacing w:after="0" w:line="300" w:lineRule="exact"/>
        <w:jc w:val="both"/>
        <w:rPr>
          <w:rFonts w:ascii="Book Antiqua" w:hAnsi="Book Antiqua" w:cs="Arial"/>
        </w:rPr>
      </w:pPr>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rPr>
        <w:t xml:space="preserve">There is also growing scope for civil society participation in environmental monitoring.  For example, the </w:t>
      </w:r>
      <w:r w:rsidR="00480D3D">
        <w:rPr>
          <w:rFonts w:ascii="Book Antiqua" w:hAnsi="Book Antiqua" w:cs="Arial"/>
        </w:rPr>
        <w:t>Vietnamese</w:t>
      </w:r>
      <w:r w:rsidRPr="007223AA">
        <w:rPr>
          <w:rFonts w:ascii="Book Antiqua" w:hAnsi="Book Antiqua" w:cs="Arial"/>
        </w:rPr>
        <w:t xml:space="preserve"> NGO, Education for Nature-</w:t>
      </w:r>
      <w:r w:rsidR="00480D3D">
        <w:rPr>
          <w:rFonts w:ascii="Book Antiqua" w:hAnsi="Book Antiqua" w:cs="Arial"/>
        </w:rPr>
        <w:t>Viet Nam</w:t>
      </w:r>
      <w:r w:rsidRPr="007223AA">
        <w:rPr>
          <w:rFonts w:ascii="Book Antiqua" w:hAnsi="Book Antiqua" w:cs="Arial"/>
        </w:rPr>
        <w:t xml:space="preserve"> (ENV), in an effort to engage the public in combating the illegal trade in endangered wildlife, instituted a hotline run out of its office in </w:t>
      </w:r>
      <w:smartTag w:uri="urn:schemas-microsoft-com:office:smarttags" w:element="City">
        <w:smartTag w:uri="urn:schemas-microsoft-com:office:smarttags" w:element="place">
          <w:r w:rsidRPr="007223AA">
            <w:rPr>
              <w:rFonts w:ascii="Book Antiqua" w:hAnsi="Book Antiqua" w:cs="Arial"/>
            </w:rPr>
            <w:t>Hanoi</w:t>
          </w:r>
        </w:smartTag>
      </w:smartTag>
      <w:r w:rsidRPr="007223AA">
        <w:rPr>
          <w:rFonts w:ascii="Book Antiqua" w:hAnsi="Book Antiqua" w:cs="Arial"/>
        </w:rPr>
        <w:t xml:space="preserve"> (</w:t>
      </w:r>
      <w:r w:rsidRPr="007223AA">
        <w:rPr>
          <w:rFonts w:ascii="Book Antiqua" w:hAnsi="Book Antiqua" w:cs="Arial"/>
          <w:color w:val="0000FF"/>
          <w:u w:val="single"/>
          <w:lang w:eastAsia="en-GB"/>
        </w:rPr>
        <w:t>www.en</w:t>
      </w:r>
      <w:r w:rsidR="00480D3D">
        <w:rPr>
          <w:rFonts w:ascii="Book Antiqua" w:hAnsi="Book Antiqua" w:cs="Arial"/>
          <w:color w:val="0000FF"/>
          <w:u w:val="single"/>
          <w:lang w:eastAsia="en-GB"/>
        </w:rPr>
        <w:t>Viet Nam</w:t>
      </w:r>
      <w:r w:rsidRPr="007223AA">
        <w:rPr>
          <w:rFonts w:ascii="Book Antiqua" w:hAnsi="Book Antiqua" w:cs="Arial"/>
          <w:color w:val="0000FF"/>
          <w:u w:val="single"/>
          <w:lang w:eastAsia="en-GB"/>
        </w:rPr>
        <w:t>.org)</w:t>
      </w:r>
      <w:r w:rsidRPr="007223AA">
        <w:rPr>
          <w:rFonts w:ascii="Book Antiqua" w:hAnsi="Book Antiqua" w:cs="Arial"/>
        </w:rPr>
        <w:t>.  Informants call the free-of-charge hotline number and leave information anonymously about, for example, restaurants serving endangered wildlife or gibbons held illegally as pets.  Since the hotline was established in January 2005, ENV has received over 3,500 calls.  The caller is given a reference number, and the information is entered into a case tracking system and reported to the relevant authorities.  ENV staff follow up with the authorities to ensure that appropriate action has been taken.  The caller is contacted to confirm that the information was acted upon.</w:t>
      </w:r>
    </w:p>
    <w:p w:rsidR="00351F2C" w:rsidRPr="007223AA" w:rsidRDefault="00351F2C" w:rsidP="00F05F95">
      <w:pPr>
        <w:spacing w:after="0" w:line="300" w:lineRule="exact"/>
        <w:jc w:val="both"/>
        <w:rPr>
          <w:rFonts w:ascii="Book Antiqua" w:hAnsi="Book Antiqua" w:cs="Arial"/>
        </w:rPr>
      </w:pPr>
    </w:p>
    <w:p w:rsidR="00351F2C" w:rsidRPr="007223AA" w:rsidRDefault="00351F2C" w:rsidP="00F05F95">
      <w:pPr>
        <w:spacing w:after="0" w:line="300" w:lineRule="exact"/>
        <w:jc w:val="both"/>
        <w:rPr>
          <w:rFonts w:ascii="Book Antiqua" w:hAnsi="Book Antiqua" w:cs="Arial"/>
        </w:rPr>
      </w:pPr>
      <w:r w:rsidRPr="007223AA">
        <w:rPr>
          <w:rFonts w:ascii="Book Antiqua" w:hAnsi="Book Antiqua" w:cs="Arial"/>
        </w:rPr>
        <w:t xml:space="preserve">A </w:t>
      </w:r>
      <w:r w:rsidR="00480D3D">
        <w:rPr>
          <w:rFonts w:ascii="Book Antiqua" w:hAnsi="Book Antiqua" w:cs="Arial"/>
        </w:rPr>
        <w:t>REDD+</w:t>
      </w:r>
      <w:r w:rsidRPr="007223AA">
        <w:rPr>
          <w:rFonts w:ascii="Book Antiqua" w:hAnsi="Book Antiqua" w:cs="Arial"/>
        </w:rPr>
        <w:t xml:space="preserve"> BDS recourse mechanism could also use a similar hotline system.  This would exclude plaintiffs living in areas without telephone coverage or who do not speak </w:t>
      </w:r>
      <w:r w:rsidR="00480D3D">
        <w:rPr>
          <w:rFonts w:ascii="Book Antiqua" w:hAnsi="Book Antiqua" w:cs="Arial"/>
        </w:rPr>
        <w:t>Vietnamese</w:t>
      </w:r>
      <w:r w:rsidRPr="007223AA">
        <w:rPr>
          <w:rFonts w:ascii="Book Antiqua" w:hAnsi="Book Antiqua" w:cs="Arial"/>
        </w:rPr>
        <w:t xml:space="preserve">.  The vast majority of potential beneficiaries, however, would be covered.  The ENV hotline has clearly resulted in greater civil society participation in combating the wildlife trade.  And since the information is documented in a database with summaries reported quarterly, it has provided an incentive for local authorities to act.  Indeed, FPD has welcomed this initiative in helping them address the leading threat to </w:t>
      </w:r>
      <w:r w:rsidR="00480D3D">
        <w:rPr>
          <w:rFonts w:ascii="Book Antiqua" w:hAnsi="Book Antiqua" w:cs="Arial"/>
        </w:rPr>
        <w:t>Viet Nam</w:t>
      </w:r>
      <w:r w:rsidRPr="007223AA">
        <w:rPr>
          <w:rFonts w:ascii="Book Antiqua" w:hAnsi="Book Antiqua" w:cs="Arial"/>
        </w:rPr>
        <w:t xml:space="preserve">’s biodiversity.  Civil society participation in a </w:t>
      </w:r>
      <w:r w:rsidR="00480D3D">
        <w:rPr>
          <w:rFonts w:ascii="Book Antiqua" w:hAnsi="Book Antiqua" w:cs="Arial"/>
        </w:rPr>
        <w:t>REDD+</w:t>
      </w:r>
      <w:r w:rsidRPr="007223AA">
        <w:rPr>
          <w:rFonts w:ascii="Book Antiqua" w:hAnsi="Book Antiqua" w:cs="Arial"/>
        </w:rPr>
        <w:t xml:space="preserve"> BDS recourse mechanism could have similar benefits.  And give the growing number of NGOs based in the provinces, a network of NGOs could be involved with the local knowledge and contacts to play an effective “watch dog” role.</w:t>
      </w:r>
    </w:p>
    <w:p w:rsidR="00351F2C" w:rsidRPr="00445F77" w:rsidRDefault="00351F2C" w:rsidP="00522F5C">
      <w:pPr>
        <w:spacing w:after="0"/>
        <w:jc w:val="both"/>
        <w:rPr>
          <w:rFonts w:ascii="Arial" w:hAnsi="Arial" w:cs="Arial"/>
          <w:sz w:val="24"/>
          <w:szCs w:val="24"/>
        </w:rPr>
      </w:pPr>
    </w:p>
    <w:p w:rsidR="00351F2C" w:rsidRPr="00445F77" w:rsidRDefault="00351F2C" w:rsidP="00522F5C">
      <w:pPr>
        <w:spacing w:after="0"/>
        <w:jc w:val="both"/>
        <w:rPr>
          <w:rFonts w:ascii="Arial" w:hAnsi="Arial" w:cs="Arial"/>
          <w:color w:val="1F497D"/>
          <w:sz w:val="24"/>
          <w:szCs w:val="24"/>
        </w:rPr>
      </w:pPr>
      <w:r w:rsidRPr="00445F77">
        <w:rPr>
          <w:rFonts w:ascii="Arial" w:hAnsi="Arial" w:cs="Arial"/>
          <w:color w:val="1F497D"/>
          <w:sz w:val="24"/>
          <w:szCs w:val="24"/>
        </w:rPr>
        <w:t>7.</w:t>
      </w:r>
      <w:r w:rsidR="00894B32">
        <w:rPr>
          <w:rFonts w:ascii="Arial" w:hAnsi="Arial" w:cs="Arial"/>
          <w:color w:val="1F497D"/>
          <w:sz w:val="24"/>
          <w:szCs w:val="24"/>
        </w:rPr>
        <w:t>5</w:t>
      </w:r>
      <w:r w:rsidRPr="00445F77">
        <w:rPr>
          <w:rFonts w:ascii="Arial" w:hAnsi="Arial" w:cs="Arial"/>
          <w:color w:val="1F497D"/>
          <w:sz w:val="24"/>
          <w:szCs w:val="24"/>
        </w:rPr>
        <w:t xml:space="preserve"> Options and Recommendations</w:t>
      </w:r>
    </w:p>
    <w:p w:rsidR="00351F2C" w:rsidRPr="007223AA" w:rsidRDefault="00351F2C" w:rsidP="00522F5C">
      <w:pPr>
        <w:spacing w:after="0" w:line="300" w:lineRule="atLeast"/>
        <w:jc w:val="both"/>
        <w:rPr>
          <w:rFonts w:ascii="Book Antiqua" w:hAnsi="Book Antiqua" w:cs="Arial"/>
        </w:rPr>
      </w:pPr>
      <w:r w:rsidRPr="007223AA">
        <w:rPr>
          <w:rFonts w:ascii="Book Antiqua" w:hAnsi="Book Antiqua" w:cs="Arial"/>
        </w:rPr>
        <w:t xml:space="preserve">As discussed above, the actual processes adopted to implement monitoring in support of a </w:t>
      </w:r>
      <w:r w:rsidR="00480D3D">
        <w:rPr>
          <w:rFonts w:ascii="Book Antiqua" w:hAnsi="Book Antiqua" w:cs="Arial"/>
        </w:rPr>
        <w:t>REDD+</w:t>
      </w:r>
      <w:r w:rsidRPr="007223AA">
        <w:rPr>
          <w:rFonts w:ascii="Book Antiqua" w:hAnsi="Book Antiqua" w:cs="Arial"/>
        </w:rPr>
        <w:t xml:space="preserve"> </w:t>
      </w:r>
      <w:r w:rsidR="00765C66">
        <w:rPr>
          <w:rFonts w:ascii="Book Antiqua" w:hAnsi="Book Antiqua" w:cs="Arial"/>
        </w:rPr>
        <w:t>BDS</w:t>
      </w:r>
      <w:r w:rsidRPr="007223AA">
        <w:rPr>
          <w:rFonts w:ascii="Book Antiqua" w:hAnsi="Book Antiqua" w:cs="Arial"/>
        </w:rPr>
        <w:t xml:space="preserve"> will depend to a large degree on the volume of </w:t>
      </w:r>
      <w:r w:rsidR="00480D3D">
        <w:rPr>
          <w:rFonts w:ascii="Book Antiqua" w:hAnsi="Book Antiqua" w:cs="Arial"/>
        </w:rPr>
        <w:t>REDD+</w:t>
      </w:r>
      <w:r w:rsidRPr="007223AA">
        <w:rPr>
          <w:rFonts w:ascii="Book Antiqua" w:hAnsi="Book Antiqua" w:cs="Arial"/>
        </w:rPr>
        <w:t xml:space="preserve"> revenues likely, and the consequent willingness of the </w:t>
      </w:r>
      <w:r w:rsidR="00480D3D">
        <w:rPr>
          <w:rFonts w:ascii="Book Antiqua" w:hAnsi="Book Antiqua" w:cs="Arial"/>
        </w:rPr>
        <w:t>GoV</w:t>
      </w:r>
      <w:r w:rsidRPr="007223AA">
        <w:rPr>
          <w:rFonts w:ascii="Book Antiqua" w:hAnsi="Book Antiqua" w:cs="Arial"/>
        </w:rPr>
        <w:t xml:space="preserve"> to embrace potentially innovative approaches.  However, the principles that govern monitoring are unaffected by the magnitude of revenues.  It has been noted that some of the key principles involve participation by stakeholders in the </w:t>
      </w:r>
      <w:r w:rsidR="00765C66">
        <w:rPr>
          <w:rFonts w:ascii="Book Antiqua" w:hAnsi="Book Antiqua" w:cs="Arial"/>
        </w:rPr>
        <w:t>BDS</w:t>
      </w:r>
      <w:r w:rsidRPr="007223AA">
        <w:rPr>
          <w:rFonts w:ascii="Book Antiqua" w:hAnsi="Book Antiqua" w:cs="Arial"/>
        </w:rPr>
        <w:t xml:space="preserve">.  Some of these principles, compiled from boxes </w:t>
      </w:r>
      <w:r w:rsidR="007D7463">
        <w:rPr>
          <w:rFonts w:ascii="Book Antiqua" w:hAnsi="Book Antiqua" w:cs="Arial"/>
        </w:rPr>
        <w:t>7</w:t>
      </w:r>
      <w:r w:rsidRPr="007223AA">
        <w:rPr>
          <w:rFonts w:ascii="Book Antiqua" w:hAnsi="Book Antiqua" w:cs="Arial"/>
        </w:rPr>
        <w:t xml:space="preserve">.1 and </w:t>
      </w:r>
      <w:r w:rsidR="007D7463">
        <w:rPr>
          <w:rFonts w:ascii="Book Antiqua" w:hAnsi="Book Antiqua" w:cs="Arial"/>
        </w:rPr>
        <w:t>7</w:t>
      </w:r>
      <w:r w:rsidRPr="007223AA">
        <w:rPr>
          <w:rFonts w:ascii="Book Antiqua" w:hAnsi="Book Antiqua" w:cs="Arial"/>
        </w:rPr>
        <w:t>.2, are:</w:t>
      </w:r>
    </w:p>
    <w:p w:rsidR="00351F2C" w:rsidRPr="007223AA" w:rsidRDefault="00351F2C" w:rsidP="00522F5C">
      <w:pPr>
        <w:spacing w:after="0" w:line="300" w:lineRule="atLeast"/>
        <w:jc w:val="both"/>
        <w:rPr>
          <w:rFonts w:ascii="Book Antiqua" w:hAnsi="Book Antiqua" w:cs="Arial"/>
        </w:rPr>
      </w:pPr>
    </w:p>
    <w:p w:rsidR="00351F2C" w:rsidRPr="007223AA" w:rsidRDefault="00351F2C" w:rsidP="008227FD">
      <w:pPr>
        <w:numPr>
          <w:ilvl w:val="0"/>
          <w:numId w:val="67"/>
        </w:numPr>
        <w:spacing w:after="0" w:line="300" w:lineRule="atLeast"/>
        <w:ind w:left="360"/>
        <w:jc w:val="both"/>
        <w:rPr>
          <w:rFonts w:ascii="Book Antiqua" w:hAnsi="Book Antiqua" w:cs="Arial"/>
        </w:rPr>
      </w:pPr>
      <w:r w:rsidRPr="007223AA">
        <w:rPr>
          <w:rFonts w:ascii="Book Antiqua" w:hAnsi="Book Antiqua" w:cs="Arial"/>
        </w:rPr>
        <w:t>Monitoring should be conducted at the lowest level that balances costs of monitoring and meaningful metrics</w:t>
      </w:r>
    </w:p>
    <w:p w:rsidR="00351F2C" w:rsidRPr="007223AA" w:rsidRDefault="00351F2C" w:rsidP="008227FD">
      <w:pPr>
        <w:numPr>
          <w:ilvl w:val="0"/>
          <w:numId w:val="67"/>
        </w:numPr>
        <w:spacing w:after="0" w:line="300" w:lineRule="atLeast"/>
        <w:ind w:left="360"/>
        <w:jc w:val="both"/>
        <w:rPr>
          <w:rFonts w:ascii="Book Antiqua" w:hAnsi="Book Antiqua" w:cs="Arial"/>
        </w:rPr>
      </w:pPr>
      <w:r w:rsidRPr="007223AA">
        <w:rPr>
          <w:rFonts w:ascii="Book Antiqua" w:hAnsi="Book Antiqua" w:cs="Arial"/>
        </w:rPr>
        <w:t>Capacity to measure must be present or can be built</w:t>
      </w:r>
    </w:p>
    <w:p w:rsidR="00351F2C" w:rsidRPr="007223AA" w:rsidRDefault="00351F2C" w:rsidP="008227FD">
      <w:pPr>
        <w:numPr>
          <w:ilvl w:val="0"/>
          <w:numId w:val="67"/>
        </w:numPr>
        <w:spacing w:after="0" w:line="300" w:lineRule="atLeast"/>
        <w:ind w:left="360"/>
        <w:jc w:val="both"/>
        <w:rPr>
          <w:rFonts w:ascii="Book Antiqua" w:hAnsi="Book Antiqua" w:cs="Arial"/>
        </w:rPr>
      </w:pPr>
      <w:r w:rsidRPr="007223AA">
        <w:rPr>
          <w:rFonts w:ascii="Book Antiqua" w:hAnsi="Book Antiqua" w:cs="Arial"/>
        </w:rPr>
        <w:lastRenderedPageBreak/>
        <w:t>Locally-based monitoring has to identify and respond to the benefits that the community derives from the forest/activities being monitored.</w:t>
      </w:r>
    </w:p>
    <w:p w:rsidR="00351F2C" w:rsidRPr="007223AA" w:rsidRDefault="00351F2C" w:rsidP="008227FD">
      <w:pPr>
        <w:numPr>
          <w:ilvl w:val="0"/>
          <w:numId w:val="67"/>
        </w:numPr>
        <w:spacing w:after="0" w:line="300" w:lineRule="atLeast"/>
        <w:ind w:left="360"/>
        <w:jc w:val="both"/>
        <w:rPr>
          <w:rFonts w:ascii="Book Antiqua" w:hAnsi="Book Antiqua" w:cs="Arial"/>
        </w:rPr>
      </w:pPr>
      <w:r w:rsidRPr="007223AA">
        <w:rPr>
          <w:rFonts w:ascii="Book Antiqua" w:hAnsi="Book Antiqua" w:cs="Arial"/>
        </w:rPr>
        <w:t>The benefits to local people participating in monitoring should exceed the costs.</w:t>
      </w:r>
    </w:p>
    <w:p w:rsidR="00351F2C" w:rsidRPr="007223AA" w:rsidRDefault="00351F2C" w:rsidP="008227FD">
      <w:pPr>
        <w:numPr>
          <w:ilvl w:val="0"/>
          <w:numId w:val="67"/>
        </w:numPr>
        <w:spacing w:after="0" w:line="300" w:lineRule="atLeast"/>
        <w:ind w:left="360"/>
        <w:jc w:val="both"/>
        <w:rPr>
          <w:rFonts w:ascii="Book Antiqua" w:hAnsi="Book Antiqua" w:cs="Arial"/>
        </w:rPr>
      </w:pPr>
      <w:r w:rsidRPr="007223AA">
        <w:rPr>
          <w:rFonts w:ascii="Book Antiqua" w:hAnsi="Book Antiqua" w:cs="Arial"/>
        </w:rPr>
        <w:t>Monitoring schemes must ensure that conflicts and politics between government managers and communities do not constrain the involvement of local stakeholders in monitoring.</w:t>
      </w:r>
    </w:p>
    <w:p w:rsidR="00351F2C" w:rsidRPr="007223AA" w:rsidRDefault="00351F2C" w:rsidP="008227FD">
      <w:pPr>
        <w:numPr>
          <w:ilvl w:val="0"/>
          <w:numId w:val="67"/>
        </w:numPr>
        <w:spacing w:after="0" w:line="300" w:lineRule="atLeast"/>
        <w:ind w:left="360"/>
        <w:jc w:val="both"/>
        <w:rPr>
          <w:rFonts w:ascii="Book Antiqua" w:hAnsi="Book Antiqua" w:cs="Arial"/>
        </w:rPr>
      </w:pPr>
      <w:r w:rsidRPr="007223AA">
        <w:rPr>
          <w:rFonts w:ascii="Book Antiqua" w:hAnsi="Book Antiqua" w:cs="Arial"/>
        </w:rPr>
        <w:t>Monitoring should build on existing traditional institutions and other management structures as much as possible.</w:t>
      </w:r>
    </w:p>
    <w:p w:rsidR="00351F2C" w:rsidRPr="007223AA" w:rsidRDefault="00351F2C" w:rsidP="008227FD">
      <w:pPr>
        <w:numPr>
          <w:ilvl w:val="0"/>
          <w:numId w:val="67"/>
        </w:numPr>
        <w:spacing w:after="0" w:line="300" w:lineRule="atLeast"/>
        <w:ind w:left="360"/>
        <w:jc w:val="both"/>
        <w:rPr>
          <w:rFonts w:ascii="Book Antiqua" w:hAnsi="Book Antiqua" w:cs="Arial"/>
        </w:rPr>
      </w:pPr>
      <w:r w:rsidRPr="007223AA">
        <w:rPr>
          <w:rFonts w:ascii="Book Antiqua" w:hAnsi="Book Antiqua" w:cs="Arial"/>
        </w:rPr>
        <w:t>It is crucial to institutionalize the work at multiple levels.</w:t>
      </w:r>
    </w:p>
    <w:p w:rsidR="00351F2C" w:rsidRPr="007223AA" w:rsidRDefault="00351F2C" w:rsidP="008227FD">
      <w:pPr>
        <w:numPr>
          <w:ilvl w:val="0"/>
          <w:numId w:val="67"/>
        </w:numPr>
        <w:spacing w:after="0" w:line="300" w:lineRule="atLeast"/>
        <w:ind w:left="360"/>
        <w:jc w:val="both"/>
        <w:rPr>
          <w:rFonts w:ascii="Book Antiqua" w:hAnsi="Book Antiqua" w:cs="Arial"/>
        </w:rPr>
      </w:pPr>
      <w:r w:rsidRPr="007223AA">
        <w:rPr>
          <w:rFonts w:ascii="Book Antiqua" w:hAnsi="Book Antiqua" w:cs="Arial"/>
        </w:rPr>
        <w:t>Data should be stored and analyzed locally to the extent feasible. It should also remain accessible to local people.</w:t>
      </w:r>
    </w:p>
    <w:p w:rsidR="00351F2C" w:rsidRPr="007223AA" w:rsidRDefault="00351F2C" w:rsidP="00522F5C">
      <w:pPr>
        <w:spacing w:after="0" w:line="300" w:lineRule="atLeast"/>
        <w:jc w:val="both"/>
        <w:rPr>
          <w:rFonts w:ascii="Book Antiqua" w:hAnsi="Book Antiqua" w:cs="Arial"/>
        </w:rPr>
      </w:pPr>
    </w:p>
    <w:p w:rsidR="007D7463" w:rsidRDefault="007D7463" w:rsidP="00522F5C">
      <w:pPr>
        <w:spacing w:after="0" w:line="300" w:lineRule="atLeast"/>
        <w:jc w:val="both"/>
        <w:rPr>
          <w:rFonts w:ascii="Arial" w:hAnsi="Arial" w:cs="Arial"/>
          <w:color w:val="1F497D"/>
          <w:sz w:val="24"/>
          <w:szCs w:val="24"/>
        </w:rPr>
      </w:pPr>
      <w:r>
        <w:rPr>
          <w:rFonts w:ascii="Arial" w:hAnsi="Arial" w:cs="Arial"/>
          <w:i/>
          <w:color w:val="1F497D"/>
          <w:sz w:val="24"/>
          <w:szCs w:val="24"/>
        </w:rPr>
        <w:t>Participation in Monitoring</w:t>
      </w:r>
    </w:p>
    <w:p w:rsidR="007D7463" w:rsidRPr="007223AA" w:rsidRDefault="007D7463" w:rsidP="007D7463">
      <w:pPr>
        <w:spacing w:after="0" w:line="300" w:lineRule="atLeast"/>
        <w:jc w:val="both"/>
        <w:rPr>
          <w:rFonts w:ascii="Book Antiqua" w:hAnsi="Book Antiqua" w:cs="Arial"/>
        </w:rPr>
      </w:pPr>
      <w:r w:rsidRPr="007223AA">
        <w:rPr>
          <w:rFonts w:ascii="Book Antiqua" w:hAnsi="Book Antiqua" w:cs="Arial"/>
        </w:rPr>
        <w:t xml:space="preserve">An important consideration </w:t>
      </w:r>
      <w:r>
        <w:rPr>
          <w:rFonts w:ascii="Book Antiqua" w:hAnsi="Book Antiqua" w:cs="Arial"/>
        </w:rPr>
        <w:t xml:space="preserve">in monitoring for REDD+ </w:t>
      </w:r>
      <w:r w:rsidRPr="007223AA">
        <w:rPr>
          <w:rFonts w:ascii="Book Antiqua" w:hAnsi="Book Antiqua" w:cs="Arial"/>
        </w:rPr>
        <w:t>is to determine the degree of participation required for each monitoring function, and the institutions that need to be engaged in the monitoring.  The nature and degree of participation that is feasible vary by the type of monitoring, as shown in Figure 7.1, above.</w:t>
      </w:r>
    </w:p>
    <w:p w:rsidR="007D7463" w:rsidRPr="007223AA" w:rsidRDefault="007D7463" w:rsidP="007D7463">
      <w:pPr>
        <w:spacing w:after="0" w:line="240" w:lineRule="auto"/>
        <w:jc w:val="both"/>
        <w:rPr>
          <w:rFonts w:ascii="Book Antiqua" w:hAnsi="Book Antiqua" w:cs="Arial"/>
        </w:rPr>
      </w:pPr>
    </w:p>
    <w:p w:rsidR="007D7463" w:rsidRPr="007223AA" w:rsidRDefault="007D7463" w:rsidP="007D7463">
      <w:pPr>
        <w:spacing w:after="0" w:line="300" w:lineRule="atLeast"/>
        <w:jc w:val="both"/>
        <w:rPr>
          <w:rFonts w:ascii="Book Antiqua" w:hAnsi="Book Antiqua" w:cs="Arial"/>
        </w:rPr>
      </w:pPr>
      <w:r w:rsidRPr="007223AA">
        <w:rPr>
          <w:rFonts w:ascii="Book Antiqua" w:hAnsi="Book Antiqua" w:cs="Arial"/>
        </w:rPr>
        <w:t xml:space="preserve">Given this, </w:t>
      </w:r>
      <w:r>
        <w:rPr>
          <w:rFonts w:ascii="Book Antiqua" w:hAnsi="Book Antiqua" w:cs="Arial"/>
        </w:rPr>
        <w:t>a</w:t>
      </w:r>
      <w:r w:rsidRPr="007223AA">
        <w:rPr>
          <w:rFonts w:ascii="Book Antiqua" w:hAnsi="Book Antiqua" w:cs="Arial"/>
        </w:rPr>
        <w:t xml:space="preserve"> main policy decision concern</w:t>
      </w:r>
      <w:r>
        <w:rPr>
          <w:rFonts w:ascii="Book Antiqua" w:hAnsi="Book Antiqua" w:cs="Arial"/>
        </w:rPr>
        <w:t>s</w:t>
      </w:r>
      <w:r w:rsidRPr="007223AA">
        <w:rPr>
          <w:rFonts w:ascii="Book Antiqua" w:hAnsi="Book Antiqua" w:cs="Arial"/>
        </w:rPr>
        <w:t xml:space="preserve"> the degree of participation involved in the different monitoring functions.  As mentioned previously, the approach to monitoring of performance lies outside the scope of this study, but recommendations for the other monitoring functions follow.</w:t>
      </w:r>
    </w:p>
    <w:p w:rsidR="007D7463" w:rsidRPr="007D7463" w:rsidRDefault="007D7463" w:rsidP="00522F5C">
      <w:pPr>
        <w:spacing w:after="0" w:line="300" w:lineRule="atLeast"/>
        <w:jc w:val="both"/>
        <w:rPr>
          <w:rFonts w:ascii="Book Antiqua" w:hAnsi="Book Antiqua" w:cs="Arial"/>
          <w:color w:val="1F497D"/>
        </w:rPr>
      </w:pPr>
    </w:p>
    <w:tbl>
      <w:tblPr>
        <w:tblpPr w:leftFromText="180" w:rightFromText="180" w:vertAnchor="text"/>
        <w:tblW w:w="5000" w:type="pct"/>
        <w:tblCellMar>
          <w:left w:w="0" w:type="dxa"/>
          <w:right w:w="0" w:type="dxa"/>
        </w:tblCellMar>
        <w:tblLook w:val="04A0"/>
      </w:tblPr>
      <w:tblGrid>
        <w:gridCol w:w="1729"/>
        <w:gridCol w:w="7275"/>
      </w:tblGrid>
      <w:tr w:rsidR="00351F2C" w:rsidRPr="00445F77">
        <w:trPr>
          <w:tblHeader/>
        </w:trPr>
        <w:tc>
          <w:tcPr>
            <w:tcW w:w="5000" w:type="pct"/>
            <w:gridSpan w:val="2"/>
            <w:tcBorders>
              <w:top w:val="single" w:sz="24" w:space="0" w:color="FFFFFF"/>
              <w:left w:val="nil"/>
              <w:bottom w:val="single" w:sz="24" w:space="0" w:color="FFFFFF"/>
              <w:right w:val="nil"/>
            </w:tcBorders>
            <w:shd w:val="clear" w:color="auto" w:fill="76923C"/>
            <w:tcMar>
              <w:top w:w="0" w:type="dxa"/>
              <w:left w:w="108" w:type="dxa"/>
              <w:bottom w:w="0" w:type="dxa"/>
              <w:right w:w="108" w:type="dxa"/>
            </w:tcMar>
            <w:vAlign w:val="center"/>
          </w:tcPr>
          <w:p w:rsidR="00351F2C" w:rsidRPr="007223AA" w:rsidRDefault="00351F2C" w:rsidP="00177382">
            <w:pPr>
              <w:spacing w:after="0" w:line="240" w:lineRule="auto"/>
              <w:jc w:val="center"/>
              <w:rPr>
                <w:rFonts w:ascii="Book Antiqua" w:hAnsi="Book Antiqua" w:cs="Arial"/>
                <w:b/>
                <w:color w:val="FFFFFF"/>
                <w:sz w:val="24"/>
                <w:szCs w:val="24"/>
              </w:rPr>
            </w:pPr>
            <w:r w:rsidRPr="007223AA">
              <w:rPr>
                <w:rFonts w:ascii="Book Antiqua" w:hAnsi="Book Antiqua" w:cs="Arial"/>
                <w:b/>
                <w:color w:val="FFFFFF"/>
                <w:sz w:val="24"/>
                <w:szCs w:val="24"/>
              </w:rPr>
              <w:t>POLICY DECISION 7.1</w:t>
            </w:r>
          </w:p>
          <w:p w:rsidR="00351F2C" w:rsidRPr="00445F77" w:rsidRDefault="00351F2C" w:rsidP="00177382">
            <w:pPr>
              <w:spacing w:after="0" w:line="240" w:lineRule="auto"/>
              <w:jc w:val="center"/>
              <w:rPr>
                <w:rFonts w:ascii="Arial" w:hAnsi="Arial" w:cs="Arial"/>
                <w:color w:val="FFFFFF"/>
                <w:sz w:val="24"/>
                <w:szCs w:val="24"/>
              </w:rPr>
            </w:pPr>
            <w:r w:rsidRPr="007223AA">
              <w:rPr>
                <w:rFonts w:ascii="Book Antiqua" w:hAnsi="Book Antiqua" w:cs="Arial"/>
                <w:b/>
                <w:color w:val="FFFFFF"/>
                <w:sz w:val="24"/>
                <w:szCs w:val="24"/>
              </w:rPr>
              <w:t>Participatory Monitoring</w:t>
            </w:r>
          </w:p>
        </w:tc>
      </w:tr>
      <w:tr w:rsidR="008E7F87" w:rsidRPr="00445F77">
        <w:tc>
          <w:tcPr>
            <w:tcW w:w="96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8E7F87" w:rsidRPr="00EC1298" w:rsidRDefault="008E7F87" w:rsidP="008E7F87">
            <w:pPr>
              <w:spacing w:after="0" w:line="240" w:lineRule="auto"/>
              <w:rPr>
                <w:rFonts w:ascii="Book Antiqua" w:hAnsi="Book Antiqua" w:cs="Arial"/>
              </w:rPr>
            </w:pPr>
            <w:r w:rsidRPr="00EC1298">
              <w:rPr>
                <w:rFonts w:ascii="Book Antiqua" w:hAnsi="Book Antiqua" w:cs="Arial"/>
              </w:rPr>
              <w:t>Issue to be addressed</w:t>
            </w:r>
          </w:p>
        </w:tc>
        <w:tc>
          <w:tcPr>
            <w:tcW w:w="404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8E7F87" w:rsidRPr="005B3882" w:rsidRDefault="008E7F87" w:rsidP="008E7F87">
            <w:pPr>
              <w:pStyle w:val="Default"/>
              <w:jc w:val="both"/>
              <w:rPr>
                <w:rFonts w:ascii="Book Antiqua" w:hAnsi="Book Antiqua" w:cs="Arial"/>
                <w:sz w:val="22"/>
                <w:szCs w:val="22"/>
              </w:rPr>
            </w:pPr>
            <w:r w:rsidRPr="005B3882">
              <w:rPr>
                <w:rFonts w:ascii="Book Antiqua" w:hAnsi="Book Antiqua" w:cs="Arial"/>
                <w:sz w:val="22"/>
                <w:szCs w:val="22"/>
              </w:rPr>
              <w:t>Local people can efficiently record information about numerous variables and events affecting their livelihoods.  Participatory monitoring creates a culture of questioning (or social control) and acts as a catalyst for learning about the landscape and the cycle of planning, action, assessment, and learning.  Participatory monitoring also builds confidence in the overall system and a sense of equity and transparency.</w:t>
            </w:r>
          </w:p>
          <w:p w:rsidR="008E7F87" w:rsidRPr="005B3882" w:rsidRDefault="008E7F87" w:rsidP="008E7F87">
            <w:pPr>
              <w:pStyle w:val="Default"/>
              <w:jc w:val="both"/>
              <w:rPr>
                <w:rFonts w:ascii="Book Antiqua" w:hAnsi="Book Antiqua" w:cs="Arial"/>
                <w:sz w:val="22"/>
                <w:szCs w:val="22"/>
              </w:rPr>
            </w:pPr>
          </w:p>
          <w:p w:rsidR="008E7F87" w:rsidRPr="005B3882" w:rsidRDefault="008E7F87" w:rsidP="008E7F87">
            <w:pPr>
              <w:pStyle w:val="Default"/>
              <w:jc w:val="both"/>
              <w:rPr>
                <w:rFonts w:ascii="Book Antiqua" w:hAnsi="Book Antiqua" w:cs="Arial"/>
                <w:color w:val="FF0000"/>
                <w:sz w:val="22"/>
                <w:szCs w:val="22"/>
              </w:rPr>
            </w:pPr>
            <w:r w:rsidRPr="005B3882">
              <w:rPr>
                <w:rFonts w:ascii="Book Antiqua" w:hAnsi="Book Antiqua" w:cs="Arial"/>
                <w:sz w:val="22"/>
                <w:szCs w:val="22"/>
              </w:rPr>
              <w:t xml:space="preserve">Local people can play a role in monitoring emissions, but are especially valuable in identifying, reporting, and enforcing the interventions and tasks required for </w:t>
            </w:r>
            <w:r>
              <w:rPr>
                <w:rFonts w:ascii="Book Antiqua" w:hAnsi="Book Antiqua" w:cs="Arial"/>
                <w:sz w:val="22"/>
                <w:szCs w:val="22"/>
              </w:rPr>
              <w:t>REDD+</w:t>
            </w:r>
            <w:r w:rsidRPr="005B3882">
              <w:rPr>
                <w:rFonts w:ascii="Book Antiqua" w:hAnsi="Book Antiqua" w:cs="Arial"/>
                <w:sz w:val="22"/>
                <w:szCs w:val="22"/>
              </w:rPr>
              <w:t xml:space="preserve">.  Participatory monitoring will strengthen their understanding and commitment while providing a degree of comfort to investors that </w:t>
            </w:r>
            <w:r>
              <w:rPr>
                <w:rFonts w:ascii="Book Antiqua" w:hAnsi="Book Antiqua" w:cs="Arial"/>
                <w:sz w:val="22"/>
                <w:szCs w:val="22"/>
              </w:rPr>
              <w:t>REDD+</w:t>
            </w:r>
            <w:r w:rsidRPr="005B3882">
              <w:rPr>
                <w:rFonts w:ascii="Book Antiqua" w:hAnsi="Book Antiqua" w:cs="Arial"/>
                <w:sz w:val="22"/>
                <w:szCs w:val="22"/>
              </w:rPr>
              <w:t xml:space="preserve"> is sustainable.  Participatory monitoring may add value to the carbon offsets generated. </w:t>
            </w:r>
            <w:r w:rsidRPr="005B3882">
              <w:rPr>
                <w:rFonts w:ascii="Book Antiqua" w:hAnsi="Book Antiqua" w:cs="Arial"/>
                <w:color w:val="auto"/>
                <w:sz w:val="22"/>
                <w:szCs w:val="22"/>
              </w:rPr>
              <w:t xml:space="preserve"> However, GoV has limited experience with participatory forest monitoring approaches.</w:t>
            </w:r>
          </w:p>
          <w:p w:rsidR="008E7F87" w:rsidRPr="005B3882" w:rsidRDefault="008E7F87" w:rsidP="008E7F87">
            <w:pPr>
              <w:pStyle w:val="Default"/>
              <w:jc w:val="both"/>
              <w:rPr>
                <w:rFonts w:ascii="Book Antiqua" w:hAnsi="Book Antiqua" w:cs="Arial"/>
                <w:sz w:val="22"/>
                <w:szCs w:val="22"/>
              </w:rPr>
            </w:pPr>
          </w:p>
          <w:p w:rsidR="008E7F87" w:rsidRPr="003C0FC0" w:rsidRDefault="008E7F87" w:rsidP="008E7F87">
            <w:pPr>
              <w:spacing w:after="0" w:line="240" w:lineRule="auto"/>
              <w:jc w:val="both"/>
              <w:rPr>
                <w:rFonts w:ascii="Book Antiqua" w:hAnsi="Book Antiqua" w:cs="Arial"/>
              </w:rPr>
            </w:pPr>
            <w:r w:rsidRPr="005B3882">
              <w:rPr>
                <w:rFonts w:ascii="Book Antiqua" w:hAnsi="Book Antiqua" w:cs="Arial"/>
              </w:rPr>
              <w:t>There is a wide range of approaches that have been tried for local people to participate in monitoring.  At this stage no preferred method has been identified.</w:t>
            </w:r>
          </w:p>
        </w:tc>
      </w:tr>
      <w:tr w:rsidR="008E7F87" w:rsidRPr="00445F77">
        <w:tc>
          <w:tcPr>
            <w:tcW w:w="96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8E7F87" w:rsidRPr="00EC1298" w:rsidRDefault="008E7F87" w:rsidP="008E7F87">
            <w:pPr>
              <w:spacing w:after="0" w:line="240" w:lineRule="auto"/>
              <w:rPr>
                <w:rFonts w:ascii="Book Antiqua" w:hAnsi="Book Antiqua" w:cs="Arial"/>
              </w:rPr>
            </w:pPr>
            <w:r w:rsidRPr="00EC1298">
              <w:rPr>
                <w:rFonts w:ascii="Book Antiqua" w:hAnsi="Book Antiqua" w:cs="Arial"/>
              </w:rPr>
              <w:t>Options</w:t>
            </w:r>
          </w:p>
        </w:tc>
        <w:tc>
          <w:tcPr>
            <w:tcW w:w="404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8E7F87" w:rsidRPr="003C0FC0" w:rsidRDefault="008E7F87" w:rsidP="008227FD">
            <w:pPr>
              <w:pStyle w:val="ListParagraph"/>
              <w:numPr>
                <w:ilvl w:val="0"/>
                <w:numId w:val="68"/>
              </w:numPr>
              <w:spacing w:after="0" w:line="240" w:lineRule="auto"/>
              <w:ind w:left="251" w:hanging="280"/>
              <w:jc w:val="both"/>
              <w:rPr>
                <w:rFonts w:ascii="Book Antiqua" w:hAnsi="Book Antiqua" w:cs="Arial"/>
                <w:lang w:val="en-GB"/>
              </w:rPr>
            </w:pPr>
            <w:r w:rsidRPr="003C0FC0">
              <w:rPr>
                <w:rFonts w:ascii="Book Antiqua" w:hAnsi="Book Antiqua" w:cs="Arial"/>
                <w:lang w:val="en-GB"/>
              </w:rPr>
              <w:t xml:space="preserve">Participatory monitoring; bringing the advantages of community engagement and ensuring the involvement of a critical stakeholder at the local level; or </w:t>
            </w:r>
          </w:p>
          <w:p w:rsidR="008E7F87" w:rsidRPr="003C0FC0" w:rsidRDefault="008E7F87" w:rsidP="008227FD">
            <w:pPr>
              <w:pStyle w:val="ListParagraph"/>
              <w:numPr>
                <w:ilvl w:val="0"/>
                <w:numId w:val="68"/>
              </w:numPr>
              <w:spacing w:after="0" w:line="240" w:lineRule="auto"/>
              <w:ind w:left="251" w:hanging="280"/>
              <w:jc w:val="both"/>
              <w:rPr>
                <w:rFonts w:ascii="Book Antiqua" w:hAnsi="Book Antiqua" w:cs="Arial"/>
                <w:lang w:val="en-GB"/>
              </w:rPr>
            </w:pPr>
            <w:r w:rsidRPr="003C0FC0">
              <w:rPr>
                <w:rFonts w:ascii="Book Antiqua" w:hAnsi="Book Antiqua" w:cs="Arial"/>
                <w:lang w:val="en-GB"/>
              </w:rPr>
              <w:t xml:space="preserve">Non-participatory monitoring by parties and persons from outside </w:t>
            </w:r>
            <w:r w:rsidRPr="003C0FC0">
              <w:rPr>
                <w:rFonts w:ascii="Book Antiqua" w:hAnsi="Book Antiqua" w:cs="Arial"/>
                <w:lang w:val="en-GB"/>
              </w:rPr>
              <w:lastRenderedPageBreak/>
              <w:t>the local area</w:t>
            </w:r>
          </w:p>
        </w:tc>
      </w:tr>
      <w:tr w:rsidR="008E7F87" w:rsidRPr="00445F77">
        <w:tc>
          <w:tcPr>
            <w:tcW w:w="96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8E7F87" w:rsidRPr="00EC1298" w:rsidRDefault="008E7F87" w:rsidP="008E7F87">
            <w:pPr>
              <w:spacing w:after="0" w:line="240" w:lineRule="auto"/>
              <w:rPr>
                <w:rFonts w:ascii="Book Antiqua" w:hAnsi="Book Antiqua" w:cs="Arial"/>
              </w:rPr>
            </w:pPr>
            <w:r w:rsidRPr="00EC1298">
              <w:rPr>
                <w:rFonts w:ascii="Book Antiqua" w:hAnsi="Book Antiqua" w:cs="Arial"/>
              </w:rPr>
              <w:lastRenderedPageBreak/>
              <w:t>Recommended principle or policy to be adopted</w:t>
            </w:r>
          </w:p>
        </w:tc>
        <w:tc>
          <w:tcPr>
            <w:tcW w:w="404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8E7F87" w:rsidRPr="00792F44" w:rsidRDefault="008E7F87" w:rsidP="008E7F87">
            <w:pPr>
              <w:spacing w:after="0" w:line="240" w:lineRule="auto"/>
              <w:ind w:left="-29"/>
              <w:jc w:val="both"/>
              <w:rPr>
                <w:rFonts w:ascii="Book Antiqua" w:hAnsi="Book Antiqua" w:cs="Arial"/>
              </w:rPr>
            </w:pPr>
            <w:r w:rsidRPr="00792F44">
              <w:rPr>
                <w:rFonts w:ascii="Book Antiqua" w:hAnsi="Book Antiqua" w:cs="Arial"/>
              </w:rPr>
              <w:t xml:space="preserve">Option </w:t>
            </w:r>
            <w:r>
              <w:rPr>
                <w:rFonts w:ascii="Book Antiqua" w:hAnsi="Book Antiqua" w:cs="Arial"/>
              </w:rPr>
              <w:t>A</w:t>
            </w:r>
            <w:r w:rsidRPr="00792F44">
              <w:rPr>
                <w:rFonts w:ascii="Book Antiqua" w:hAnsi="Book Antiqua" w:cs="Arial"/>
              </w:rPr>
              <w:t xml:space="preserve"> is recommended.  Consistent with its stated goal of international leadership on REDD+, GoV should embrace the concept of participatory monitoring and implement principles governing such monitoring.</w:t>
            </w:r>
          </w:p>
        </w:tc>
      </w:tr>
      <w:tr w:rsidR="008E7F87" w:rsidRPr="00445F77">
        <w:trPr>
          <w:trHeight w:val="1150"/>
        </w:trPr>
        <w:tc>
          <w:tcPr>
            <w:tcW w:w="960" w:type="pct"/>
            <w:tcBorders>
              <w:top w:val="nil"/>
              <w:left w:val="nil"/>
              <w:bottom w:val="nil"/>
              <w:right w:val="single" w:sz="24" w:space="0" w:color="FFFFFF"/>
            </w:tcBorders>
            <w:shd w:val="clear" w:color="auto" w:fill="C2D69B"/>
            <w:tcMar>
              <w:top w:w="0" w:type="dxa"/>
              <w:left w:w="108" w:type="dxa"/>
              <w:bottom w:w="0" w:type="dxa"/>
              <w:right w:w="108" w:type="dxa"/>
            </w:tcMar>
            <w:vAlign w:val="center"/>
          </w:tcPr>
          <w:p w:rsidR="008E7F87" w:rsidRPr="00EC1298" w:rsidRDefault="008E7F87" w:rsidP="008E7F87">
            <w:pPr>
              <w:spacing w:after="0" w:line="240" w:lineRule="auto"/>
              <w:rPr>
                <w:rFonts w:ascii="Book Antiqua" w:hAnsi="Book Antiqua" w:cs="Arial"/>
              </w:rPr>
            </w:pPr>
            <w:r>
              <w:rPr>
                <w:rFonts w:ascii="Book Antiqua" w:hAnsi="Book Antiqua" w:cs="Arial"/>
              </w:rPr>
              <w:t>Actions required to confirm policy option</w:t>
            </w:r>
          </w:p>
        </w:tc>
        <w:tc>
          <w:tcPr>
            <w:tcW w:w="4040" w:type="pct"/>
            <w:shd w:val="clear" w:color="auto" w:fill="D6E3BC"/>
            <w:tcMar>
              <w:top w:w="0" w:type="dxa"/>
              <w:left w:w="108" w:type="dxa"/>
              <w:bottom w:w="0" w:type="dxa"/>
              <w:right w:w="108" w:type="dxa"/>
            </w:tcMar>
            <w:vAlign w:val="center"/>
          </w:tcPr>
          <w:p w:rsidR="008E7F87" w:rsidRPr="00792F44" w:rsidRDefault="008E7F87" w:rsidP="008E7F87">
            <w:pPr>
              <w:spacing w:after="0" w:line="240" w:lineRule="auto"/>
              <w:ind w:left="-19"/>
              <w:jc w:val="both"/>
              <w:rPr>
                <w:rFonts w:ascii="Book Antiqua" w:hAnsi="Book Antiqua" w:cs="Arial"/>
              </w:rPr>
            </w:pPr>
            <w:r w:rsidRPr="00792F44">
              <w:rPr>
                <w:rFonts w:ascii="Book Antiqua" w:hAnsi="Book Antiqua" w:cs="Arial"/>
              </w:rPr>
              <w:t>GoV should review participatory monitoring methods with a demonstrated history of success.  Based on this review, GoV should prepare principles for participatory REDD+ monitoring.</w:t>
            </w:r>
          </w:p>
        </w:tc>
      </w:tr>
    </w:tbl>
    <w:p w:rsidR="00351F2C" w:rsidRPr="00445F77" w:rsidRDefault="00351F2C" w:rsidP="00522F5C">
      <w:pPr>
        <w:spacing w:after="0" w:line="240" w:lineRule="auto"/>
        <w:jc w:val="both"/>
        <w:rPr>
          <w:rFonts w:ascii="Arial" w:hAnsi="Arial" w:cs="Arial"/>
          <w:sz w:val="24"/>
          <w:szCs w:val="24"/>
        </w:rPr>
      </w:pPr>
    </w:p>
    <w:p w:rsidR="00351F2C" w:rsidRDefault="007D7463" w:rsidP="00522F5C">
      <w:pPr>
        <w:spacing w:after="0" w:line="240" w:lineRule="auto"/>
        <w:jc w:val="both"/>
        <w:rPr>
          <w:rFonts w:ascii="Arial" w:hAnsi="Arial" w:cs="Arial"/>
          <w:i/>
          <w:color w:val="1F497D"/>
        </w:rPr>
      </w:pPr>
      <w:r>
        <w:rPr>
          <w:rFonts w:ascii="Arial" w:hAnsi="Arial" w:cs="Arial"/>
          <w:i/>
          <w:color w:val="1F497D"/>
          <w:sz w:val="24"/>
          <w:szCs w:val="24"/>
        </w:rPr>
        <w:t>Institutional Responsibility for Monitoring</w:t>
      </w:r>
    </w:p>
    <w:p w:rsidR="007D7463" w:rsidRDefault="007D7463" w:rsidP="00D007B8">
      <w:pPr>
        <w:spacing w:after="0" w:line="300" w:lineRule="exact"/>
        <w:jc w:val="both"/>
        <w:rPr>
          <w:rFonts w:ascii="Book Antiqua" w:hAnsi="Book Antiqua" w:cs="Arial"/>
          <w:color w:val="000000"/>
        </w:rPr>
      </w:pPr>
      <w:r>
        <w:rPr>
          <w:rFonts w:ascii="Book Antiqua" w:hAnsi="Book Antiqua" w:cs="Arial"/>
          <w:color w:val="000000"/>
        </w:rPr>
        <w:t>As noted above, there are four types of monitoring required for REDD+ (Figure 7.1), requiring different mixes of skills and capacity.  It is therefore impossible to envisage that any single existing institution is capable of providing all of the monitoring functions.</w:t>
      </w:r>
    </w:p>
    <w:p w:rsidR="007D7463" w:rsidRPr="007D7463" w:rsidRDefault="007D7463" w:rsidP="00D007B8">
      <w:pPr>
        <w:spacing w:after="0" w:line="300" w:lineRule="exact"/>
        <w:jc w:val="both"/>
        <w:rPr>
          <w:rFonts w:ascii="Book Antiqua" w:hAnsi="Book Antiqua" w:cs="Arial"/>
          <w:color w:val="000000"/>
        </w:rPr>
      </w:pPr>
      <w:r>
        <w:rPr>
          <w:rFonts w:ascii="Book Antiqua" w:hAnsi="Book Antiqua" w:cs="Arial"/>
          <w:color w:val="000000"/>
        </w:rPr>
        <w:t xml:space="preserve"> </w:t>
      </w:r>
    </w:p>
    <w:p w:rsidR="00D007B8" w:rsidRPr="00A55380" w:rsidRDefault="00351F2C" w:rsidP="00A55380">
      <w:pPr>
        <w:spacing w:after="0" w:line="300" w:lineRule="exact"/>
        <w:jc w:val="both"/>
      </w:pPr>
      <w:bookmarkStart w:id="521" w:name="_Toc244735144"/>
      <w:r w:rsidRPr="007223AA">
        <w:rPr>
          <w:rFonts w:ascii="Book Antiqua" w:hAnsi="Book Antiqua" w:cs="Arial"/>
        </w:rPr>
        <w:t>Monitoring</w:t>
      </w:r>
      <w:r w:rsidR="003561C4">
        <w:rPr>
          <w:rFonts w:ascii="Book Antiqua" w:hAnsi="Book Antiqua" w:cs="Arial"/>
        </w:rPr>
        <w:t xml:space="preserve"> of interventions</w:t>
      </w:r>
      <w:r w:rsidR="003561C4" w:rsidRPr="003561C4">
        <w:rPr>
          <w:rFonts w:ascii="Book Antiqua" w:hAnsi="Book Antiqua" w:cs="Arial"/>
        </w:rPr>
        <w:t xml:space="preserve"> </w:t>
      </w:r>
      <w:r w:rsidR="003561C4" w:rsidRPr="007223AA">
        <w:rPr>
          <w:rFonts w:ascii="Book Antiqua" w:hAnsi="Book Antiqua" w:cs="Arial"/>
        </w:rPr>
        <w:t>is essential in order to satisfy the principle of additionality</w:t>
      </w:r>
      <w:r w:rsidR="003561C4">
        <w:rPr>
          <w:rFonts w:ascii="Book Antiqua" w:hAnsi="Book Antiqua" w:cs="Arial"/>
        </w:rPr>
        <w:t>, and may be undertaken by</w:t>
      </w:r>
      <w:bookmarkEnd w:id="521"/>
      <w:r w:rsidRPr="007223AA">
        <w:rPr>
          <w:rFonts w:ascii="Book Antiqua" w:hAnsi="Book Antiqua" w:cs="Arial"/>
          <w:color w:val="000000"/>
        </w:rPr>
        <w:t xml:space="preserve"> various local stakeholders.  However, as it is not acceptable for those who plan and implement </w:t>
      </w:r>
      <w:r w:rsidR="00480D3D">
        <w:rPr>
          <w:rFonts w:ascii="Book Antiqua" w:hAnsi="Book Antiqua" w:cs="Arial"/>
          <w:color w:val="000000"/>
        </w:rPr>
        <w:t>REDD+</w:t>
      </w:r>
      <w:r w:rsidRPr="007223AA">
        <w:rPr>
          <w:rFonts w:ascii="Book Antiqua" w:hAnsi="Book Antiqua" w:cs="Arial"/>
          <w:color w:val="000000"/>
        </w:rPr>
        <w:t xml:space="preserve"> interventions to monitor themselves, this eliminates the various Peoples’ Committees from consideration.  The obvious candidate agencies are the Forest Protection Department, and sub-department of forest protection, although the extent to which they themselves might be involved in </w:t>
      </w:r>
      <w:r w:rsidR="00480D3D">
        <w:rPr>
          <w:rFonts w:ascii="Book Antiqua" w:hAnsi="Book Antiqua" w:cs="Arial"/>
          <w:color w:val="000000"/>
        </w:rPr>
        <w:t>REDD+</w:t>
      </w:r>
      <w:r w:rsidRPr="007223AA">
        <w:rPr>
          <w:rFonts w:ascii="Book Antiqua" w:hAnsi="Book Antiqua" w:cs="Arial"/>
          <w:color w:val="000000"/>
        </w:rPr>
        <w:t xml:space="preserve"> interventions needs to be considered.</w:t>
      </w:r>
      <w:r w:rsidR="003561C4">
        <w:rPr>
          <w:rFonts w:ascii="Book Antiqua" w:hAnsi="Book Antiqua" w:cs="Arial"/>
          <w:color w:val="000000"/>
        </w:rPr>
        <w:t xml:space="preserve">  </w:t>
      </w:r>
      <w:r w:rsidR="003561C4" w:rsidRPr="007223AA">
        <w:rPr>
          <w:rFonts w:ascii="Book Antiqua" w:hAnsi="Book Antiqua" w:cs="Arial"/>
        </w:rPr>
        <w:t xml:space="preserve">Effective means of measuring </w:t>
      </w:r>
      <w:r w:rsidR="003561C4">
        <w:rPr>
          <w:rFonts w:ascii="Book Antiqua" w:hAnsi="Book Antiqua" w:cs="Arial"/>
        </w:rPr>
        <w:t>REDD+</w:t>
      </w:r>
      <w:r w:rsidR="003561C4" w:rsidRPr="007223AA">
        <w:rPr>
          <w:rFonts w:ascii="Book Antiqua" w:hAnsi="Book Antiqua" w:cs="Arial"/>
        </w:rPr>
        <w:t xml:space="preserve"> interventions and actions have to be developed or existing approaches, created for other purposes, tested and adapted</w:t>
      </w:r>
      <w:r w:rsidR="003561C4">
        <w:rPr>
          <w:rFonts w:ascii="Book Antiqua" w:hAnsi="Book Antiqua" w:cs="Arial"/>
        </w:rPr>
        <w:t>.</w:t>
      </w:r>
      <w:r w:rsidR="00A55380">
        <w:rPr>
          <w:rFonts w:ascii="Book Antiqua" w:hAnsi="Book Antiqua" w:cs="Arial"/>
        </w:rPr>
        <w:t xml:space="preserve">  </w:t>
      </w:r>
      <w:bookmarkStart w:id="522" w:name="_Toc244735145"/>
      <w:bookmarkStart w:id="523" w:name="_Toc249079601"/>
      <w:r w:rsidR="00D053A8" w:rsidRPr="00A55380">
        <w:rPr>
          <w:rFonts w:ascii="Book Antiqua" w:hAnsi="Book Antiqua" w:cs="Arial"/>
          <w:color w:val="000000"/>
        </w:rPr>
        <w:t>Monitoring of benefit disbursements</w:t>
      </w:r>
      <w:bookmarkEnd w:id="522"/>
      <w:bookmarkEnd w:id="523"/>
      <w:r w:rsidR="00D053A8" w:rsidRPr="00A55380">
        <w:rPr>
          <w:rFonts w:ascii="Book Antiqua" w:hAnsi="Book Antiqua" w:cs="Arial"/>
          <w:color w:val="000000"/>
        </w:rPr>
        <w:t xml:space="preserve"> will require </w:t>
      </w:r>
      <w:r w:rsidR="003561C4" w:rsidRPr="00A55380">
        <w:rPr>
          <w:rFonts w:ascii="Book Antiqua" w:hAnsi="Book Antiqua" w:cs="Arial"/>
          <w:color w:val="000000"/>
        </w:rPr>
        <w:t xml:space="preserve">other processes, probably with a higher degree of stakeholder participation.  </w:t>
      </w:r>
    </w:p>
    <w:p w:rsidR="00D007B8" w:rsidRDefault="00D007B8" w:rsidP="00D007B8">
      <w:pPr>
        <w:spacing w:after="0" w:line="300" w:lineRule="exact"/>
        <w:jc w:val="both"/>
        <w:rPr>
          <w:rFonts w:ascii="Book Antiqua" w:hAnsi="Book Antiqua" w:cs="Arial"/>
        </w:rPr>
      </w:pPr>
    </w:p>
    <w:p w:rsidR="00D053A8" w:rsidRDefault="00A55380" w:rsidP="00D007B8">
      <w:pPr>
        <w:spacing w:after="0" w:line="300" w:lineRule="exact"/>
        <w:jc w:val="both"/>
        <w:rPr>
          <w:rFonts w:ascii="Book Antiqua" w:hAnsi="Book Antiqua" w:cs="Arial"/>
        </w:rPr>
      </w:pPr>
      <w:r>
        <w:rPr>
          <w:rFonts w:ascii="Book Antiqua" w:hAnsi="Book Antiqua" w:cs="Arial"/>
        </w:rPr>
        <w:t>Given these considerations, a basic policy choice involves the assignment of monitoring responsibilities piecemeal to those agencies having a mandate or the capacity to undertake them, versus the establishment of a REDD+ monitoring agency, with a mandate to establish the necessary processes and regulations to ensure seamless and effective monitoring</w:t>
      </w:r>
      <w:r w:rsidR="00D053A8">
        <w:rPr>
          <w:rFonts w:ascii="Book Antiqua" w:hAnsi="Book Antiqua" w:cs="Arial"/>
        </w:rPr>
        <w:t>.</w:t>
      </w:r>
      <w:r>
        <w:rPr>
          <w:rFonts w:ascii="Book Antiqua" w:hAnsi="Book Antiqua" w:cs="Arial"/>
        </w:rPr>
        <w:t xml:space="preserve">  Such an agency might operate at the national level, with sub-national entities having responsibility at provincial levels and below.</w:t>
      </w:r>
    </w:p>
    <w:p w:rsidR="00D053A8" w:rsidRPr="00445F77" w:rsidRDefault="00D053A8" w:rsidP="00D007B8">
      <w:pPr>
        <w:spacing w:after="0" w:line="300" w:lineRule="exact"/>
        <w:jc w:val="both"/>
        <w:rPr>
          <w:rFonts w:ascii="Arial" w:hAnsi="Arial" w:cs="Arial"/>
          <w:color w:val="000000"/>
          <w:sz w:val="24"/>
          <w:szCs w:val="24"/>
        </w:rPr>
      </w:pPr>
    </w:p>
    <w:tbl>
      <w:tblPr>
        <w:tblpPr w:leftFromText="180" w:rightFromText="180" w:vertAnchor="text"/>
        <w:tblW w:w="5000" w:type="pct"/>
        <w:tblCellMar>
          <w:left w:w="0" w:type="dxa"/>
          <w:right w:w="0" w:type="dxa"/>
        </w:tblCellMar>
        <w:tblLook w:val="04A0"/>
      </w:tblPr>
      <w:tblGrid>
        <w:gridCol w:w="1729"/>
        <w:gridCol w:w="7275"/>
      </w:tblGrid>
      <w:tr w:rsidR="00351F2C" w:rsidRPr="00445F77">
        <w:trPr>
          <w:tblHeader/>
        </w:trPr>
        <w:tc>
          <w:tcPr>
            <w:tcW w:w="5000" w:type="pct"/>
            <w:gridSpan w:val="2"/>
            <w:tcBorders>
              <w:top w:val="single" w:sz="24" w:space="0" w:color="FFFFFF"/>
              <w:left w:val="nil"/>
              <w:bottom w:val="single" w:sz="24" w:space="0" w:color="FFFFFF"/>
              <w:right w:val="nil"/>
            </w:tcBorders>
            <w:shd w:val="clear" w:color="auto" w:fill="76923C"/>
            <w:tcMar>
              <w:top w:w="0" w:type="dxa"/>
              <w:left w:w="108" w:type="dxa"/>
              <w:bottom w:w="0" w:type="dxa"/>
              <w:right w:w="108" w:type="dxa"/>
            </w:tcMar>
            <w:vAlign w:val="center"/>
          </w:tcPr>
          <w:p w:rsidR="00D007B8" w:rsidRPr="003C0FC0" w:rsidRDefault="00D007B8" w:rsidP="00D007B8">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POLICY DECISION 7.2</w:t>
            </w:r>
          </w:p>
          <w:p w:rsidR="00351F2C" w:rsidRPr="00445F77" w:rsidRDefault="00D007B8" w:rsidP="00D007B8">
            <w:pPr>
              <w:spacing w:after="0" w:line="240" w:lineRule="auto"/>
              <w:jc w:val="center"/>
              <w:rPr>
                <w:rFonts w:ascii="Arial" w:hAnsi="Arial" w:cs="Arial"/>
                <w:color w:val="FFFFFF"/>
                <w:sz w:val="24"/>
                <w:szCs w:val="24"/>
              </w:rPr>
            </w:pPr>
            <w:r w:rsidRPr="00792300">
              <w:rPr>
                <w:rFonts w:ascii="Book Antiqua" w:hAnsi="Book Antiqua" w:cs="Arial"/>
                <w:b/>
                <w:color w:val="FFFFFF"/>
                <w:sz w:val="24"/>
                <w:szCs w:val="24"/>
              </w:rPr>
              <w:t>Institutions to be Involved in Monitoring REDD+ Interventions and Actions</w:t>
            </w:r>
          </w:p>
        </w:tc>
      </w:tr>
      <w:tr w:rsidR="00D007B8" w:rsidRPr="00445F77">
        <w:tc>
          <w:tcPr>
            <w:tcW w:w="96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D007B8" w:rsidRPr="00EC1298" w:rsidRDefault="00D007B8" w:rsidP="00D007B8">
            <w:pPr>
              <w:spacing w:after="0" w:line="240" w:lineRule="auto"/>
              <w:rPr>
                <w:rFonts w:ascii="Book Antiqua" w:hAnsi="Book Antiqua" w:cs="Arial"/>
              </w:rPr>
            </w:pPr>
            <w:r w:rsidRPr="00EC1298">
              <w:rPr>
                <w:rFonts w:ascii="Book Antiqua" w:hAnsi="Book Antiqua" w:cs="Arial"/>
              </w:rPr>
              <w:t>Issue to be addressed</w:t>
            </w:r>
          </w:p>
        </w:tc>
        <w:tc>
          <w:tcPr>
            <w:tcW w:w="404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D007B8" w:rsidRDefault="00D007B8" w:rsidP="00D007B8">
            <w:pPr>
              <w:pStyle w:val="Default"/>
              <w:jc w:val="both"/>
              <w:rPr>
                <w:rFonts w:ascii="Book Antiqua" w:hAnsi="Book Antiqua" w:cs="Arial"/>
                <w:sz w:val="22"/>
                <w:szCs w:val="22"/>
              </w:rPr>
            </w:pPr>
            <w:r>
              <w:rPr>
                <w:rFonts w:ascii="Book Antiqua" w:hAnsi="Book Antiqua" w:cs="Arial"/>
                <w:sz w:val="22"/>
                <w:szCs w:val="22"/>
              </w:rPr>
              <w:t>T</w:t>
            </w:r>
            <w:r w:rsidRPr="005B3882">
              <w:rPr>
                <w:rFonts w:ascii="Book Antiqua" w:hAnsi="Book Antiqua" w:cs="Arial"/>
                <w:sz w:val="22"/>
                <w:szCs w:val="22"/>
              </w:rPr>
              <w:t xml:space="preserve">here are four different types of monitoring required for </w:t>
            </w:r>
            <w:r>
              <w:rPr>
                <w:rFonts w:ascii="Book Antiqua" w:hAnsi="Book Antiqua" w:cs="Arial"/>
                <w:sz w:val="22"/>
                <w:szCs w:val="22"/>
              </w:rPr>
              <w:t>REDD+:</w:t>
            </w:r>
          </w:p>
          <w:p w:rsidR="00D007B8" w:rsidRDefault="00D007B8" w:rsidP="008227FD">
            <w:pPr>
              <w:pStyle w:val="Default"/>
              <w:numPr>
                <w:ilvl w:val="0"/>
                <w:numId w:val="119"/>
              </w:numPr>
              <w:ind w:left="258" w:hanging="270"/>
              <w:jc w:val="both"/>
              <w:rPr>
                <w:rFonts w:ascii="Book Antiqua" w:hAnsi="Book Antiqua" w:cs="Arial"/>
                <w:sz w:val="22"/>
                <w:szCs w:val="22"/>
              </w:rPr>
            </w:pPr>
            <w:r>
              <w:rPr>
                <w:rFonts w:ascii="Book Antiqua" w:hAnsi="Book Antiqua" w:cs="Arial"/>
                <w:sz w:val="22"/>
                <w:szCs w:val="22"/>
              </w:rPr>
              <w:t>Monitoring of emissions (C-stocks)</w:t>
            </w:r>
          </w:p>
          <w:p w:rsidR="00D007B8" w:rsidRDefault="00D007B8" w:rsidP="008227FD">
            <w:pPr>
              <w:pStyle w:val="Default"/>
              <w:numPr>
                <w:ilvl w:val="0"/>
                <w:numId w:val="119"/>
              </w:numPr>
              <w:ind w:left="258" w:hanging="270"/>
              <w:jc w:val="both"/>
              <w:rPr>
                <w:rFonts w:ascii="Book Antiqua" w:hAnsi="Book Antiqua" w:cs="Arial"/>
                <w:sz w:val="22"/>
                <w:szCs w:val="22"/>
              </w:rPr>
            </w:pPr>
            <w:r>
              <w:rPr>
                <w:rFonts w:ascii="Book Antiqua" w:hAnsi="Book Antiqua" w:cs="Arial"/>
                <w:sz w:val="22"/>
                <w:szCs w:val="22"/>
              </w:rPr>
              <w:t>Monitoring of REDD+ interventions and actions</w:t>
            </w:r>
          </w:p>
          <w:p w:rsidR="00D007B8" w:rsidRDefault="00D007B8" w:rsidP="008227FD">
            <w:pPr>
              <w:pStyle w:val="Default"/>
              <w:numPr>
                <w:ilvl w:val="0"/>
                <w:numId w:val="119"/>
              </w:numPr>
              <w:ind w:left="258" w:hanging="270"/>
              <w:jc w:val="both"/>
              <w:rPr>
                <w:rFonts w:ascii="Book Antiqua" w:hAnsi="Book Antiqua" w:cs="Arial"/>
                <w:sz w:val="22"/>
                <w:szCs w:val="22"/>
              </w:rPr>
            </w:pPr>
            <w:r>
              <w:rPr>
                <w:rFonts w:ascii="Book Antiqua" w:hAnsi="Book Antiqua" w:cs="Arial"/>
                <w:sz w:val="22"/>
                <w:szCs w:val="22"/>
              </w:rPr>
              <w:t>Monitoring of revenue disbursement</w:t>
            </w:r>
          </w:p>
          <w:p w:rsidR="00D007B8" w:rsidRDefault="00D007B8" w:rsidP="008227FD">
            <w:pPr>
              <w:pStyle w:val="Default"/>
              <w:numPr>
                <w:ilvl w:val="0"/>
                <w:numId w:val="119"/>
              </w:numPr>
              <w:ind w:left="258" w:hanging="270"/>
              <w:jc w:val="both"/>
              <w:rPr>
                <w:rFonts w:ascii="Book Antiqua" w:hAnsi="Book Antiqua" w:cs="Arial"/>
                <w:sz w:val="22"/>
                <w:szCs w:val="22"/>
              </w:rPr>
            </w:pPr>
            <w:r>
              <w:rPr>
                <w:rFonts w:ascii="Book Antiqua" w:hAnsi="Book Antiqua" w:cs="Arial"/>
                <w:sz w:val="22"/>
                <w:szCs w:val="22"/>
              </w:rPr>
              <w:t>Monitoring of financial transactions (auditing)</w:t>
            </w:r>
          </w:p>
          <w:p w:rsidR="00D007B8" w:rsidRDefault="00D007B8" w:rsidP="00D007B8">
            <w:pPr>
              <w:pStyle w:val="Default"/>
              <w:jc w:val="both"/>
              <w:rPr>
                <w:rFonts w:ascii="Book Antiqua" w:hAnsi="Book Antiqua" w:cs="Arial"/>
                <w:sz w:val="22"/>
                <w:szCs w:val="22"/>
              </w:rPr>
            </w:pPr>
          </w:p>
          <w:p w:rsidR="00D007B8" w:rsidRPr="005B3882" w:rsidRDefault="00D007B8" w:rsidP="00D007B8">
            <w:pPr>
              <w:pStyle w:val="Default"/>
              <w:jc w:val="both"/>
              <w:rPr>
                <w:rFonts w:ascii="Book Antiqua" w:hAnsi="Book Antiqua" w:cs="Arial"/>
                <w:sz w:val="22"/>
                <w:szCs w:val="22"/>
              </w:rPr>
            </w:pPr>
            <w:r w:rsidRPr="005B3882">
              <w:rPr>
                <w:rFonts w:ascii="Book Antiqua" w:hAnsi="Book Antiqua" w:cs="Arial"/>
                <w:sz w:val="22"/>
                <w:szCs w:val="22"/>
              </w:rPr>
              <w:t>The range of expertise required is therefore broad.  For monitoring of emissions, technical agencies such as FPD and the Forest Inventory and Planning Institute (FIPI) must be involved given their experience in forest resource monitoring at national and local levels.</w:t>
            </w:r>
          </w:p>
          <w:p w:rsidR="00D007B8" w:rsidRPr="005B3882" w:rsidRDefault="00D007B8" w:rsidP="00D007B8">
            <w:pPr>
              <w:pStyle w:val="Default"/>
              <w:jc w:val="both"/>
              <w:rPr>
                <w:rFonts w:ascii="Book Antiqua" w:hAnsi="Book Antiqua" w:cs="Arial"/>
                <w:sz w:val="22"/>
                <w:szCs w:val="22"/>
              </w:rPr>
            </w:pPr>
          </w:p>
          <w:p w:rsidR="00D007B8" w:rsidRPr="005B3882" w:rsidRDefault="00D007B8" w:rsidP="00D007B8">
            <w:pPr>
              <w:pStyle w:val="Default"/>
              <w:jc w:val="both"/>
              <w:rPr>
                <w:rFonts w:ascii="Book Antiqua" w:hAnsi="Book Antiqua" w:cs="Arial"/>
                <w:sz w:val="22"/>
                <w:szCs w:val="22"/>
              </w:rPr>
            </w:pPr>
            <w:r w:rsidRPr="005B3882">
              <w:rPr>
                <w:rFonts w:ascii="Book Antiqua" w:hAnsi="Book Antiqua" w:cs="Arial"/>
                <w:sz w:val="22"/>
                <w:szCs w:val="22"/>
              </w:rPr>
              <w:t xml:space="preserve">For monitoring of actions and disbursements at sub-national levels, the </w:t>
            </w:r>
            <w:r w:rsidRPr="005B3882">
              <w:rPr>
                <w:rFonts w:ascii="Book Antiqua" w:hAnsi="Book Antiqua" w:cs="Arial"/>
                <w:sz w:val="22"/>
                <w:szCs w:val="22"/>
              </w:rPr>
              <w:lastRenderedPageBreak/>
              <w:t xml:space="preserve">provincial (and possibly district) PCs need to be involved.  Mass organizations such as the Farmers' Association, Women's Union, and Youth Union may also be involved in </w:t>
            </w:r>
            <w:r>
              <w:rPr>
                <w:rFonts w:ascii="Book Antiqua" w:hAnsi="Book Antiqua" w:cs="Arial"/>
                <w:sz w:val="22"/>
                <w:szCs w:val="22"/>
              </w:rPr>
              <w:t>REDD+</w:t>
            </w:r>
            <w:r w:rsidRPr="005B3882">
              <w:rPr>
                <w:rFonts w:ascii="Book Antiqua" w:hAnsi="Book Antiqua" w:cs="Arial"/>
                <w:sz w:val="22"/>
                <w:szCs w:val="22"/>
              </w:rPr>
              <w:t xml:space="preserve"> monitoring since they have branches down to commune/village level.</w:t>
            </w:r>
          </w:p>
          <w:p w:rsidR="00D007B8" w:rsidRPr="005B3882" w:rsidRDefault="00D007B8" w:rsidP="00D007B8">
            <w:pPr>
              <w:pStyle w:val="Default"/>
              <w:jc w:val="both"/>
              <w:rPr>
                <w:rFonts w:ascii="Book Antiqua" w:hAnsi="Book Antiqua" w:cs="Arial"/>
                <w:sz w:val="22"/>
                <w:szCs w:val="22"/>
              </w:rPr>
            </w:pPr>
          </w:p>
          <w:p w:rsidR="00D007B8" w:rsidRPr="005B3882" w:rsidRDefault="00D007B8" w:rsidP="00D007B8">
            <w:pPr>
              <w:pStyle w:val="Default"/>
              <w:jc w:val="both"/>
              <w:rPr>
                <w:rFonts w:ascii="Book Antiqua" w:hAnsi="Book Antiqua" w:cs="Arial"/>
                <w:sz w:val="22"/>
                <w:szCs w:val="22"/>
              </w:rPr>
            </w:pPr>
            <w:r w:rsidRPr="005B3882">
              <w:rPr>
                <w:rFonts w:ascii="Book Antiqua" w:hAnsi="Book Antiqua" w:cs="Arial"/>
                <w:sz w:val="22"/>
                <w:szCs w:val="22"/>
              </w:rPr>
              <w:t xml:space="preserve">The need for comprehensive monitoring needs to be balanced with the transaction costs.  Care also needs to be taken to avoid any conflict of interest between the monitoring agency and recipients of </w:t>
            </w:r>
            <w:r>
              <w:rPr>
                <w:rFonts w:ascii="Book Antiqua" w:hAnsi="Book Antiqua" w:cs="Arial"/>
                <w:sz w:val="22"/>
                <w:szCs w:val="22"/>
              </w:rPr>
              <w:t>REDD+</w:t>
            </w:r>
            <w:r w:rsidRPr="005B3882">
              <w:rPr>
                <w:rFonts w:ascii="Book Antiqua" w:hAnsi="Book Antiqua" w:cs="Arial"/>
                <w:sz w:val="22"/>
                <w:szCs w:val="22"/>
              </w:rPr>
              <w:t xml:space="preserve"> funding.</w:t>
            </w:r>
          </w:p>
        </w:tc>
      </w:tr>
      <w:tr w:rsidR="00D007B8" w:rsidRPr="00445F77">
        <w:tc>
          <w:tcPr>
            <w:tcW w:w="96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D007B8" w:rsidRPr="00EC1298" w:rsidRDefault="00D007B8" w:rsidP="00D007B8">
            <w:pPr>
              <w:spacing w:after="0" w:line="240" w:lineRule="auto"/>
              <w:rPr>
                <w:rFonts w:ascii="Book Antiqua" w:hAnsi="Book Antiqua" w:cs="Arial"/>
              </w:rPr>
            </w:pPr>
            <w:r w:rsidRPr="00EC1298">
              <w:rPr>
                <w:rFonts w:ascii="Book Antiqua" w:hAnsi="Book Antiqua" w:cs="Arial"/>
              </w:rPr>
              <w:lastRenderedPageBreak/>
              <w:t>Options</w:t>
            </w:r>
          </w:p>
        </w:tc>
        <w:tc>
          <w:tcPr>
            <w:tcW w:w="404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D007B8" w:rsidRPr="005B3882" w:rsidRDefault="00D007B8" w:rsidP="008227FD">
            <w:pPr>
              <w:pStyle w:val="Default"/>
              <w:numPr>
                <w:ilvl w:val="0"/>
                <w:numId w:val="150"/>
              </w:numPr>
              <w:ind w:left="256" w:hanging="270"/>
              <w:jc w:val="both"/>
              <w:rPr>
                <w:rFonts w:ascii="Book Antiqua" w:hAnsi="Book Antiqua" w:cs="Arial"/>
                <w:sz w:val="22"/>
                <w:szCs w:val="22"/>
              </w:rPr>
            </w:pPr>
            <w:r w:rsidRPr="005B3882">
              <w:rPr>
                <w:rFonts w:ascii="Book Antiqua" w:hAnsi="Book Antiqua" w:cs="Arial"/>
                <w:sz w:val="22"/>
                <w:szCs w:val="22"/>
              </w:rPr>
              <w:t xml:space="preserve">Assign monitoring of different aspects of </w:t>
            </w:r>
            <w:r>
              <w:rPr>
                <w:rFonts w:ascii="Book Antiqua" w:hAnsi="Book Antiqua" w:cs="Arial"/>
                <w:sz w:val="22"/>
                <w:szCs w:val="22"/>
              </w:rPr>
              <w:t>REDD+</w:t>
            </w:r>
            <w:r w:rsidRPr="005B3882">
              <w:rPr>
                <w:rFonts w:ascii="Book Antiqua" w:hAnsi="Book Antiqua" w:cs="Arial"/>
                <w:sz w:val="22"/>
                <w:szCs w:val="22"/>
              </w:rPr>
              <w:t xml:space="preserve"> to different technical agencies in line with their mandates and competencies.</w:t>
            </w:r>
          </w:p>
          <w:p w:rsidR="00D007B8" w:rsidRPr="005B3882" w:rsidRDefault="00D007B8" w:rsidP="008227FD">
            <w:pPr>
              <w:pStyle w:val="Default"/>
              <w:numPr>
                <w:ilvl w:val="0"/>
                <w:numId w:val="150"/>
              </w:numPr>
              <w:ind w:left="256" w:hanging="270"/>
              <w:jc w:val="both"/>
              <w:rPr>
                <w:rFonts w:ascii="Book Antiqua" w:hAnsi="Book Antiqua" w:cs="Arial"/>
                <w:sz w:val="22"/>
                <w:szCs w:val="22"/>
              </w:rPr>
            </w:pPr>
            <w:r w:rsidRPr="005B3882">
              <w:rPr>
                <w:rFonts w:ascii="Book Antiqua" w:hAnsi="Book Antiqua" w:cs="Arial"/>
                <w:sz w:val="22"/>
                <w:szCs w:val="22"/>
              </w:rPr>
              <w:t>Establish a comprehensive</w:t>
            </w:r>
            <w:r w:rsidR="00E63DF9">
              <w:rPr>
                <w:rFonts w:ascii="Book Antiqua" w:hAnsi="Book Antiqua" w:cs="Arial"/>
                <w:sz w:val="22"/>
                <w:szCs w:val="22"/>
              </w:rPr>
              <w:t xml:space="preserve"> and participatory</w:t>
            </w:r>
            <w:r w:rsidRPr="005B3882">
              <w:rPr>
                <w:rFonts w:ascii="Book Antiqua" w:hAnsi="Book Antiqua" w:cs="Arial"/>
                <w:sz w:val="22"/>
                <w:szCs w:val="22"/>
              </w:rPr>
              <w:t xml:space="preserve"> monitoring process to ensure effectiveness and efficiency across all types of monitoring and at all levels from national to local.</w:t>
            </w:r>
          </w:p>
        </w:tc>
      </w:tr>
      <w:tr w:rsidR="00D007B8" w:rsidRPr="00445F77">
        <w:tc>
          <w:tcPr>
            <w:tcW w:w="96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D007B8" w:rsidRPr="00EC1298" w:rsidRDefault="00D007B8" w:rsidP="00D007B8">
            <w:pPr>
              <w:spacing w:after="0" w:line="240" w:lineRule="auto"/>
              <w:rPr>
                <w:rFonts w:ascii="Book Antiqua" w:hAnsi="Book Antiqua" w:cs="Arial"/>
              </w:rPr>
            </w:pPr>
            <w:r w:rsidRPr="00EC1298">
              <w:rPr>
                <w:rFonts w:ascii="Book Antiqua" w:hAnsi="Book Antiqua" w:cs="Arial"/>
              </w:rPr>
              <w:t>Recommended principle or policy to be adopted</w:t>
            </w:r>
          </w:p>
        </w:tc>
        <w:tc>
          <w:tcPr>
            <w:tcW w:w="404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D007B8" w:rsidRPr="005B3882" w:rsidRDefault="00D007B8" w:rsidP="00D007B8">
            <w:pPr>
              <w:pStyle w:val="Default"/>
              <w:jc w:val="both"/>
              <w:rPr>
                <w:rFonts w:ascii="Book Antiqua" w:hAnsi="Book Antiqua" w:cs="Arial"/>
                <w:sz w:val="22"/>
                <w:szCs w:val="22"/>
              </w:rPr>
            </w:pPr>
            <w:r>
              <w:rPr>
                <w:rFonts w:ascii="Book Antiqua" w:hAnsi="Book Antiqua" w:cs="Arial"/>
                <w:sz w:val="22"/>
                <w:szCs w:val="22"/>
              </w:rPr>
              <w:t xml:space="preserve">Option </w:t>
            </w:r>
            <w:r w:rsidR="008E7F87">
              <w:rPr>
                <w:rFonts w:ascii="Book Antiqua" w:hAnsi="Book Antiqua" w:cs="Arial"/>
                <w:sz w:val="22"/>
                <w:szCs w:val="22"/>
              </w:rPr>
              <w:t>B</w:t>
            </w:r>
            <w:r w:rsidRPr="005B3882">
              <w:rPr>
                <w:rFonts w:ascii="Book Antiqua" w:hAnsi="Book Antiqua" w:cs="Arial"/>
                <w:sz w:val="22"/>
                <w:szCs w:val="22"/>
              </w:rPr>
              <w:t xml:space="preserve"> is recommended.  GoV should establish a </w:t>
            </w:r>
            <w:r>
              <w:rPr>
                <w:rFonts w:ascii="Book Antiqua" w:hAnsi="Book Antiqua" w:cs="Arial"/>
                <w:sz w:val="22"/>
                <w:szCs w:val="22"/>
              </w:rPr>
              <w:t>REDD+</w:t>
            </w:r>
            <w:r w:rsidRPr="005B3882">
              <w:rPr>
                <w:rFonts w:ascii="Book Antiqua" w:hAnsi="Book Antiqua" w:cs="Arial"/>
                <w:sz w:val="22"/>
                <w:szCs w:val="22"/>
              </w:rPr>
              <w:t xml:space="preserve"> Monitoring Body to oversee and coordinate all </w:t>
            </w:r>
            <w:r>
              <w:rPr>
                <w:rFonts w:ascii="Book Antiqua" w:hAnsi="Book Antiqua" w:cs="Arial"/>
                <w:sz w:val="22"/>
                <w:szCs w:val="22"/>
              </w:rPr>
              <w:t>REDD+</w:t>
            </w:r>
            <w:r w:rsidRPr="005B3882">
              <w:rPr>
                <w:rFonts w:ascii="Book Antiqua" w:hAnsi="Book Antiqua" w:cs="Arial"/>
                <w:sz w:val="22"/>
                <w:szCs w:val="22"/>
              </w:rPr>
              <w:t xml:space="preserve"> monitoring.  Members of this body should come from Government Inspection, Ministry of Finance, an independent financial auditing company (e.g., Viet Nam National Independent Auditing Company Ltd.), FPD, FIPI, and </w:t>
            </w:r>
            <w:r>
              <w:rPr>
                <w:rFonts w:ascii="Book Antiqua" w:hAnsi="Book Antiqua" w:cs="Arial"/>
                <w:sz w:val="22"/>
                <w:szCs w:val="22"/>
              </w:rPr>
              <w:t>Vietnamese</w:t>
            </w:r>
            <w:r w:rsidRPr="005B3882">
              <w:rPr>
                <w:rFonts w:ascii="Book Antiqua" w:hAnsi="Book Antiqua" w:cs="Arial"/>
                <w:sz w:val="22"/>
                <w:szCs w:val="22"/>
              </w:rPr>
              <w:t xml:space="preserve"> civil society organizations.  Except for the secretariat, members of this body may work part-time in the initial stages.</w:t>
            </w:r>
          </w:p>
          <w:p w:rsidR="00D007B8" w:rsidRPr="005B3882" w:rsidRDefault="00D007B8" w:rsidP="00D007B8">
            <w:pPr>
              <w:pStyle w:val="Default"/>
              <w:jc w:val="both"/>
              <w:rPr>
                <w:rFonts w:ascii="Book Antiqua" w:hAnsi="Book Antiqua" w:cs="Arial"/>
                <w:sz w:val="22"/>
                <w:szCs w:val="22"/>
              </w:rPr>
            </w:pPr>
          </w:p>
          <w:p w:rsidR="00D007B8" w:rsidRPr="005B3882" w:rsidRDefault="00D007B8" w:rsidP="00D007B8">
            <w:pPr>
              <w:pStyle w:val="Default"/>
              <w:jc w:val="both"/>
              <w:rPr>
                <w:rFonts w:ascii="Book Antiqua" w:hAnsi="Book Antiqua" w:cs="Arial"/>
                <w:sz w:val="22"/>
                <w:szCs w:val="22"/>
              </w:rPr>
            </w:pPr>
            <w:r w:rsidRPr="005B3882">
              <w:rPr>
                <w:rFonts w:ascii="Book Antiqua" w:hAnsi="Book Antiqua" w:cs="Arial"/>
                <w:sz w:val="22"/>
                <w:szCs w:val="22"/>
              </w:rPr>
              <w:t>At the provincial level, a similar structure should be established.  It is not necessary that members of the provincial body come from the province.  For example, civil society organizations or sub-FIPI may be based outside the province.  To reduce costs, lower level bodies would not be created; the provincial bodies would be responsible for monitoring down to the local level.</w:t>
            </w:r>
          </w:p>
        </w:tc>
      </w:tr>
      <w:tr w:rsidR="00D007B8" w:rsidRPr="00445F77">
        <w:tc>
          <w:tcPr>
            <w:tcW w:w="960" w:type="pct"/>
            <w:tcBorders>
              <w:top w:val="nil"/>
              <w:left w:val="nil"/>
              <w:bottom w:val="nil"/>
              <w:right w:val="single" w:sz="24" w:space="0" w:color="FFFFFF"/>
            </w:tcBorders>
            <w:shd w:val="clear" w:color="auto" w:fill="C2D69B"/>
            <w:tcMar>
              <w:top w:w="0" w:type="dxa"/>
              <w:left w:w="108" w:type="dxa"/>
              <w:bottom w:w="0" w:type="dxa"/>
              <w:right w:w="108" w:type="dxa"/>
            </w:tcMar>
            <w:vAlign w:val="center"/>
          </w:tcPr>
          <w:p w:rsidR="00D007B8" w:rsidRPr="00EC1298" w:rsidRDefault="00D007B8" w:rsidP="00D007B8">
            <w:pPr>
              <w:spacing w:after="0" w:line="240" w:lineRule="auto"/>
              <w:rPr>
                <w:rFonts w:ascii="Book Antiqua" w:hAnsi="Book Antiqua" w:cs="Arial"/>
              </w:rPr>
            </w:pPr>
            <w:r>
              <w:rPr>
                <w:rFonts w:ascii="Book Antiqua" w:hAnsi="Book Antiqua" w:cs="Arial"/>
              </w:rPr>
              <w:t>Actions required to confirm policy option</w:t>
            </w:r>
          </w:p>
        </w:tc>
        <w:tc>
          <w:tcPr>
            <w:tcW w:w="4040" w:type="pct"/>
            <w:shd w:val="clear" w:color="auto" w:fill="D6E3BC"/>
            <w:tcMar>
              <w:top w:w="0" w:type="dxa"/>
              <w:left w:w="108" w:type="dxa"/>
              <w:bottom w:w="0" w:type="dxa"/>
              <w:right w:w="108" w:type="dxa"/>
            </w:tcMar>
            <w:vAlign w:val="center"/>
          </w:tcPr>
          <w:p w:rsidR="00D007B8" w:rsidRPr="005B3882" w:rsidRDefault="00D007B8" w:rsidP="00D007B8">
            <w:pPr>
              <w:pStyle w:val="Default"/>
              <w:jc w:val="both"/>
              <w:rPr>
                <w:rFonts w:ascii="Book Antiqua" w:hAnsi="Book Antiqua" w:cs="Arial"/>
                <w:sz w:val="22"/>
                <w:szCs w:val="22"/>
              </w:rPr>
            </w:pPr>
            <w:r>
              <w:rPr>
                <w:rFonts w:ascii="Book Antiqua" w:hAnsi="Book Antiqua" w:cs="Arial"/>
                <w:sz w:val="22"/>
                <w:szCs w:val="22"/>
              </w:rPr>
              <w:t>The</w:t>
            </w:r>
            <w:r w:rsidRPr="005B3882">
              <w:rPr>
                <w:rFonts w:ascii="Book Antiqua" w:hAnsi="Book Antiqua" w:cs="Arial"/>
                <w:sz w:val="22"/>
                <w:szCs w:val="22"/>
              </w:rPr>
              <w:t xml:space="preserve"> GoV should carry out an assessment of monitoring needs and costs through a review of current monitoring processes, taking into account the higher standard of monitoring expected under </w:t>
            </w:r>
            <w:r>
              <w:rPr>
                <w:rFonts w:ascii="Book Antiqua" w:hAnsi="Book Antiqua" w:cs="Arial"/>
                <w:sz w:val="22"/>
                <w:szCs w:val="22"/>
              </w:rPr>
              <w:t>REDD+</w:t>
            </w:r>
            <w:r w:rsidRPr="005B3882">
              <w:rPr>
                <w:rFonts w:ascii="Book Antiqua" w:hAnsi="Book Antiqua" w:cs="Arial"/>
                <w:sz w:val="22"/>
                <w:szCs w:val="22"/>
              </w:rPr>
              <w:t xml:space="preserve">.  Results of this assessment can then be used to develop a detailed plan for national and provincial </w:t>
            </w:r>
            <w:r>
              <w:rPr>
                <w:rFonts w:ascii="Book Antiqua" w:hAnsi="Book Antiqua" w:cs="Arial"/>
                <w:sz w:val="22"/>
                <w:szCs w:val="22"/>
              </w:rPr>
              <w:t>REDD+</w:t>
            </w:r>
            <w:r w:rsidRPr="005B3882">
              <w:rPr>
                <w:rFonts w:ascii="Book Antiqua" w:hAnsi="Book Antiqua" w:cs="Arial"/>
                <w:sz w:val="22"/>
                <w:szCs w:val="22"/>
              </w:rPr>
              <w:t xml:space="preserve"> monitoring.</w:t>
            </w:r>
          </w:p>
        </w:tc>
      </w:tr>
    </w:tbl>
    <w:p w:rsidR="00351F2C" w:rsidRPr="00445F77" w:rsidRDefault="00351F2C" w:rsidP="00D007B8">
      <w:pPr>
        <w:spacing w:after="0"/>
        <w:jc w:val="both"/>
        <w:rPr>
          <w:rFonts w:ascii="Arial" w:hAnsi="Arial" w:cs="Arial"/>
          <w:color w:val="000000"/>
          <w:sz w:val="24"/>
          <w:szCs w:val="24"/>
        </w:rPr>
      </w:pPr>
    </w:p>
    <w:p w:rsidR="00351F2C" w:rsidRPr="00445F77" w:rsidRDefault="00D053A8" w:rsidP="00D007B8">
      <w:pPr>
        <w:pStyle w:val="Heading3"/>
        <w:spacing w:before="0" w:after="0"/>
        <w:rPr>
          <w:rFonts w:ascii="Arial" w:hAnsi="Arial" w:cs="Arial"/>
        </w:rPr>
      </w:pPr>
      <w:bookmarkStart w:id="524" w:name="_Toc244735146"/>
      <w:bookmarkStart w:id="525" w:name="_Toc249079602"/>
      <w:r>
        <w:rPr>
          <w:rFonts w:ascii="Arial" w:hAnsi="Arial" w:cs="Arial"/>
        </w:rPr>
        <w:t>Auditing</w:t>
      </w:r>
      <w:r w:rsidR="00351F2C" w:rsidRPr="00445F77">
        <w:rPr>
          <w:rFonts w:ascii="Arial" w:hAnsi="Arial" w:cs="Arial"/>
        </w:rPr>
        <w:t xml:space="preserve"> of Financial Transactions</w:t>
      </w:r>
      <w:bookmarkEnd w:id="524"/>
      <w:bookmarkEnd w:id="525"/>
    </w:p>
    <w:p w:rsidR="00351F2C" w:rsidRDefault="00351F2C" w:rsidP="00D007B8">
      <w:pPr>
        <w:spacing w:after="0" w:line="300" w:lineRule="exact"/>
        <w:jc w:val="both"/>
        <w:rPr>
          <w:rFonts w:ascii="Book Antiqua" w:hAnsi="Book Antiqua" w:cs="Arial"/>
          <w:color w:val="000000"/>
        </w:rPr>
      </w:pPr>
      <w:r w:rsidRPr="007223AA">
        <w:rPr>
          <w:rFonts w:ascii="Book Antiqua" w:hAnsi="Book Antiqua" w:cs="Arial"/>
          <w:color w:val="000000"/>
        </w:rPr>
        <w:t xml:space="preserve">The principles of equity and accountability requires that financial transactions be </w:t>
      </w:r>
      <w:r w:rsidR="00D053A8">
        <w:rPr>
          <w:rFonts w:ascii="Book Antiqua" w:hAnsi="Book Antiqua" w:cs="Arial"/>
          <w:color w:val="000000"/>
        </w:rPr>
        <w:t>audit</w:t>
      </w:r>
      <w:r w:rsidRPr="007223AA">
        <w:rPr>
          <w:rFonts w:ascii="Book Antiqua" w:hAnsi="Book Antiqua" w:cs="Arial"/>
          <w:color w:val="000000"/>
        </w:rPr>
        <w:t xml:space="preserve">ed, so as to ensure that </w:t>
      </w:r>
      <w:r w:rsidR="00D053A8">
        <w:rPr>
          <w:rFonts w:ascii="Book Antiqua" w:hAnsi="Book Antiqua" w:cs="Arial"/>
          <w:color w:val="000000"/>
        </w:rPr>
        <w:t xml:space="preserve">there is no diversion of REDD+ revenues, and that disbursements are made according to the policies established for revenue retention, eligibility of beneficiaries, and payment structuring.  </w:t>
      </w:r>
      <w:r w:rsidRPr="007223AA">
        <w:rPr>
          <w:rFonts w:ascii="Book Antiqua" w:hAnsi="Book Antiqua" w:cs="Arial"/>
          <w:color w:val="000000"/>
        </w:rPr>
        <w:t>Once again, given that those responsible for the activities being monitored cannot themselves conduct the monitoring.</w:t>
      </w:r>
    </w:p>
    <w:p w:rsidR="00A55380" w:rsidRDefault="00A55380" w:rsidP="00D007B8">
      <w:pPr>
        <w:spacing w:after="0" w:line="300" w:lineRule="exact"/>
        <w:jc w:val="both"/>
        <w:rPr>
          <w:rFonts w:ascii="Book Antiqua" w:hAnsi="Book Antiqua" w:cs="Arial"/>
          <w:color w:val="000000"/>
        </w:rPr>
      </w:pPr>
    </w:p>
    <w:p w:rsidR="00A55380" w:rsidRPr="007223AA" w:rsidRDefault="00A55380" w:rsidP="00A55380">
      <w:pPr>
        <w:spacing w:after="0" w:line="300" w:lineRule="exact"/>
        <w:jc w:val="both"/>
        <w:rPr>
          <w:rFonts w:ascii="Book Antiqua" w:hAnsi="Book Antiqua" w:cs="Arial"/>
          <w:color w:val="000000"/>
        </w:rPr>
      </w:pPr>
      <w:r w:rsidRPr="007223AA">
        <w:rPr>
          <w:rFonts w:ascii="Book Antiqua" w:hAnsi="Book Antiqua" w:cs="Arial"/>
        </w:rPr>
        <w:t>Investors and carbon offset purchasers will require independent confirmation that financial transactions are undertaken properly, an audit function is needed. In the absence of this sort of third party verification</w:t>
      </w:r>
      <w:r>
        <w:rPr>
          <w:rFonts w:ascii="Book Antiqua" w:hAnsi="Book Antiqua" w:cs="Arial"/>
        </w:rPr>
        <w:t>,</w:t>
      </w:r>
      <w:r w:rsidRPr="007223AA">
        <w:rPr>
          <w:rFonts w:ascii="Book Antiqua" w:hAnsi="Book Antiqua" w:cs="Arial"/>
        </w:rPr>
        <w:t xml:space="preserve"> access to the </w:t>
      </w:r>
      <w:r>
        <w:rPr>
          <w:rFonts w:ascii="Book Antiqua" w:hAnsi="Book Antiqua" w:cs="Arial"/>
        </w:rPr>
        <w:t>REDD+</w:t>
      </w:r>
      <w:r w:rsidRPr="007223AA">
        <w:rPr>
          <w:rFonts w:ascii="Book Antiqua" w:hAnsi="Book Antiqua" w:cs="Arial"/>
        </w:rPr>
        <w:t xml:space="preserve"> </w:t>
      </w:r>
      <w:r>
        <w:rPr>
          <w:rFonts w:ascii="Book Antiqua" w:hAnsi="Book Antiqua" w:cs="Arial"/>
        </w:rPr>
        <w:t xml:space="preserve">fund or </w:t>
      </w:r>
      <w:r w:rsidRPr="007223AA">
        <w:rPr>
          <w:rFonts w:ascii="Book Antiqua" w:hAnsi="Book Antiqua" w:cs="Arial"/>
        </w:rPr>
        <w:t xml:space="preserve">market mechanisms will </w:t>
      </w:r>
      <w:r>
        <w:rPr>
          <w:rFonts w:ascii="Book Antiqua" w:hAnsi="Book Antiqua" w:cs="Arial"/>
        </w:rPr>
        <w:t xml:space="preserve">be reduced, or may </w:t>
      </w:r>
      <w:r w:rsidRPr="007223AA">
        <w:rPr>
          <w:rFonts w:ascii="Book Antiqua" w:hAnsi="Book Antiqua" w:cs="Arial"/>
        </w:rPr>
        <w:t>not be possible.</w:t>
      </w:r>
    </w:p>
    <w:p w:rsidR="00351F2C" w:rsidRPr="00445F77" w:rsidRDefault="00351F2C" w:rsidP="00522F5C">
      <w:pPr>
        <w:spacing w:after="0"/>
        <w:jc w:val="both"/>
        <w:rPr>
          <w:rFonts w:ascii="Arial" w:hAnsi="Arial" w:cs="Arial"/>
          <w:color w:val="000000"/>
          <w:sz w:val="24"/>
          <w:szCs w:val="24"/>
        </w:rPr>
      </w:pPr>
    </w:p>
    <w:tbl>
      <w:tblPr>
        <w:tblpPr w:leftFromText="180" w:rightFromText="180" w:vertAnchor="text"/>
        <w:tblW w:w="5000" w:type="pct"/>
        <w:tblCellMar>
          <w:left w:w="0" w:type="dxa"/>
          <w:right w:w="0" w:type="dxa"/>
        </w:tblCellMar>
        <w:tblLook w:val="04A0"/>
      </w:tblPr>
      <w:tblGrid>
        <w:gridCol w:w="2174"/>
        <w:gridCol w:w="6830"/>
      </w:tblGrid>
      <w:tr w:rsidR="00351F2C" w:rsidRPr="00445F77">
        <w:trPr>
          <w:tblHeader/>
        </w:trPr>
        <w:tc>
          <w:tcPr>
            <w:tcW w:w="5000" w:type="pct"/>
            <w:gridSpan w:val="2"/>
            <w:tcBorders>
              <w:top w:val="single" w:sz="24" w:space="0" w:color="FFFFFF"/>
              <w:left w:val="nil"/>
              <w:bottom w:val="single" w:sz="24" w:space="0" w:color="FFFFFF"/>
              <w:right w:val="nil"/>
            </w:tcBorders>
            <w:shd w:val="clear" w:color="auto" w:fill="76923C"/>
            <w:tcMar>
              <w:top w:w="0" w:type="dxa"/>
              <w:left w:w="108" w:type="dxa"/>
              <w:bottom w:w="0" w:type="dxa"/>
              <w:right w:w="108" w:type="dxa"/>
            </w:tcMar>
            <w:vAlign w:val="center"/>
          </w:tcPr>
          <w:p w:rsidR="00351F2C" w:rsidRPr="007223AA" w:rsidRDefault="00351F2C" w:rsidP="00177382">
            <w:pPr>
              <w:spacing w:after="0" w:line="240" w:lineRule="auto"/>
              <w:jc w:val="center"/>
              <w:rPr>
                <w:rFonts w:ascii="Book Antiqua" w:hAnsi="Book Antiqua" w:cs="Arial"/>
                <w:b/>
                <w:color w:val="FFFFFF"/>
                <w:sz w:val="24"/>
                <w:szCs w:val="24"/>
              </w:rPr>
            </w:pPr>
            <w:r w:rsidRPr="007223AA">
              <w:rPr>
                <w:rFonts w:ascii="Book Antiqua" w:hAnsi="Book Antiqua" w:cs="Arial"/>
                <w:b/>
                <w:color w:val="FFFFFF"/>
                <w:sz w:val="24"/>
                <w:szCs w:val="24"/>
              </w:rPr>
              <w:t>POLICY DECISION 7.</w:t>
            </w:r>
            <w:r w:rsidR="00D007B8">
              <w:rPr>
                <w:rFonts w:ascii="Book Antiqua" w:hAnsi="Book Antiqua" w:cs="Arial"/>
                <w:b/>
                <w:color w:val="FFFFFF"/>
                <w:sz w:val="24"/>
                <w:szCs w:val="24"/>
              </w:rPr>
              <w:t>3</w:t>
            </w:r>
          </w:p>
          <w:p w:rsidR="00351F2C" w:rsidRPr="00445F77" w:rsidRDefault="00D053A8" w:rsidP="00177382">
            <w:pPr>
              <w:spacing w:after="0" w:line="240" w:lineRule="auto"/>
              <w:jc w:val="center"/>
              <w:rPr>
                <w:rFonts w:ascii="Arial" w:hAnsi="Arial" w:cs="Arial"/>
                <w:color w:val="FFFFFF"/>
                <w:sz w:val="24"/>
                <w:szCs w:val="24"/>
              </w:rPr>
            </w:pPr>
            <w:r>
              <w:rPr>
                <w:rFonts w:ascii="Book Antiqua" w:hAnsi="Book Antiqua" w:cs="Arial"/>
                <w:b/>
                <w:color w:val="FFFFFF"/>
                <w:sz w:val="24"/>
                <w:szCs w:val="24"/>
              </w:rPr>
              <w:t>Audit</w:t>
            </w:r>
            <w:r w:rsidR="00351F2C" w:rsidRPr="007223AA">
              <w:rPr>
                <w:rFonts w:ascii="Book Antiqua" w:hAnsi="Book Antiqua" w:cs="Arial"/>
                <w:b/>
                <w:color w:val="FFFFFF"/>
                <w:sz w:val="24"/>
                <w:szCs w:val="24"/>
              </w:rPr>
              <w:t>ing of financial transactions</w:t>
            </w:r>
          </w:p>
        </w:tc>
      </w:tr>
      <w:tr w:rsidR="00B54274" w:rsidRPr="00445F77">
        <w:tc>
          <w:tcPr>
            <w:tcW w:w="1207"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B54274" w:rsidRPr="00EC1298" w:rsidRDefault="00B54274" w:rsidP="00765C66">
            <w:pPr>
              <w:spacing w:after="0" w:line="240" w:lineRule="auto"/>
              <w:rPr>
                <w:rFonts w:ascii="Book Antiqua" w:hAnsi="Book Antiqua" w:cs="Arial"/>
              </w:rPr>
            </w:pPr>
            <w:r w:rsidRPr="00EC1298">
              <w:rPr>
                <w:rFonts w:ascii="Book Antiqua" w:hAnsi="Book Antiqua" w:cs="Arial"/>
              </w:rPr>
              <w:lastRenderedPageBreak/>
              <w:t>Issue to be addressed</w:t>
            </w:r>
          </w:p>
        </w:tc>
        <w:tc>
          <w:tcPr>
            <w:tcW w:w="3793"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B54274" w:rsidRPr="00D053A8" w:rsidRDefault="00D053A8" w:rsidP="00D053A8">
            <w:pPr>
              <w:spacing w:after="0" w:line="240" w:lineRule="auto"/>
              <w:jc w:val="both"/>
              <w:rPr>
                <w:rFonts w:ascii="Book Antiqua" w:hAnsi="Book Antiqua" w:cs="Arial"/>
              </w:rPr>
            </w:pPr>
            <w:r>
              <w:rPr>
                <w:rFonts w:ascii="Book Antiqua" w:hAnsi="Book Antiqua" w:cs="Arial"/>
              </w:rPr>
              <w:t>F</w:t>
            </w:r>
            <w:r w:rsidR="00B54274" w:rsidRPr="007223AA">
              <w:rPr>
                <w:rFonts w:ascii="Book Antiqua" w:hAnsi="Book Antiqua" w:cs="Arial"/>
              </w:rPr>
              <w:t xml:space="preserve">inancial transactions for </w:t>
            </w:r>
            <w:r w:rsidR="00480D3D">
              <w:rPr>
                <w:rFonts w:ascii="Book Antiqua" w:hAnsi="Book Antiqua" w:cs="Arial"/>
              </w:rPr>
              <w:t>REDD+</w:t>
            </w:r>
            <w:r w:rsidR="00B54274" w:rsidRPr="007223AA">
              <w:rPr>
                <w:rFonts w:ascii="Book Antiqua" w:hAnsi="Book Antiqua" w:cs="Arial"/>
              </w:rPr>
              <w:t xml:space="preserve">, must be </w:t>
            </w:r>
            <w:r>
              <w:rPr>
                <w:rFonts w:ascii="Book Antiqua" w:hAnsi="Book Antiqua" w:cs="Arial"/>
              </w:rPr>
              <w:t>audited</w:t>
            </w:r>
            <w:r w:rsidR="00B54274" w:rsidRPr="007223AA">
              <w:rPr>
                <w:rFonts w:ascii="Book Antiqua" w:hAnsi="Book Antiqua" w:cs="Arial"/>
              </w:rPr>
              <w:t xml:space="preserve"> to ensure </w:t>
            </w:r>
            <w:r>
              <w:rPr>
                <w:rFonts w:ascii="Book Antiqua" w:hAnsi="Book Antiqua" w:cs="Arial"/>
              </w:rPr>
              <w:t xml:space="preserve">that revenues are disbursed according to established policies, and that there is no diversion of funds of unnecessary hold-up in disbursement.  </w:t>
            </w:r>
            <w:r w:rsidR="00B54274" w:rsidRPr="007223AA">
              <w:rPr>
                <w:rFonts w:ascii="Book Antiqua" w:hAnsi="Book Antiqua" w:cs="Arial"/>
              </w:rPr>
              <w:t xml:space="preserve">Financial processes must meet standards for probity in both </w:t>
            </w:r>
            <w:r>
              <w:rPr>
                <w:rFonts w:ascii="Book Antiqua" w:hAnsi="Book Antiqua" w:cs="Arial"/>
              </w:rPr>
              <w:t>GoV</w:t>
            </w:r>
            <w:r w:rsidR="00B54274" w:rsidRPr="007223AA">
              <w:rPr>
                <w:rFonts w:ascii="Book Antiqua" w:hAnsi="Book Antiqua" w:cs="Arial"/>
              </w:rPr>
              <w:t xml:space="preserve"> and </w:t>
            </w:r>
            <w:r>
              <w:rPr>
                <w:rFonts w:ascii="Book Antiqua" w:hAnsi="Book Antiqua" w:cs="Arial"/>
              </w:rPr>
              <w:t>international stakeholders</w:t>
            </w:r>
            <w:r w:rsidR="00B54274" w:rsidRPr="007223AA">
              <w:rPr>
                <w:rFonts w:ascii="Book Antiqua" w:hAnsi="Book Antiqua" w:cs="Arial"/>
              </w:rPr>
              <w:t xml:space="preserve">. </w:t>
            </w:r>
            <w:r>
              <w:rPr>
                <w:rFonts w:ascii="Book Antiqua" w:hAnsi="Book Antiqua" w:cs="Arial"/>
              </w:rPr>
              <w:t xml:space="preserve"> </w:t>
            </w:r>
            <w:r w:rsidR="00B54274" w:rsidRPr="007223AA">
              <w:rPr>
                <w:rFonts w:ascii="Book Antiqua" w:hAnsi="Book Antiqua" w:cs="Arial"/>
              </w:rPr>
              <w:t xml:space="preserve">Investors and carbon offset purchasers will require independent confirmation that financial transactions are undertaken properly, an audit function is needed. In the absence of this sort of third party verification access to the </w:t>
            </w:r>
            <w:r w:rsidR="00480D3D">
              <w:rPr>
                <w:rFonts w:ascii="Book Antiqua" w:hAnsi="Book Antiqua" w:cs="Arial"/>
              </w:rPr>
              <w:t>REDD+</w:t>
            </w:r>
            <w:r w:rsidR="00B54274" w:rsidRPr="007223AA">
              <w:rPr>
                <w:rFonts w:ascii="Book Antiqua" w:hAnsi="Book Antiqua" w:cs="Arial"/>
              </w:rPr>
              <w:t xml:space="preserve"> market mechanisms will not be possible. </w:t>
            </w:r>
            <w:r>
              <w:rPr>
                <w:rFonts w:ascii="Book Antiqua" w:hAnsi="Book Antiqua" w:cs="Arial"/>
              </w:rPr>
              <w:t xml:space="preserve"> </w:t>
            </w:r>
            <w:r w:rsidRPr="007223AA">
              <w:rPr>
                <w:rFonts w:ascii="Book Antiqua" w:hAnsi="Book Antiqua" w:cs="Arial"/>
              </w:rPr>
              <w:t xml:space="preserve"> This is similar to the third party financial audit role as already practiced by the ‘big five’ auditing firms and others.</w:t>
            </w:r>
          </w:p>
        </w:tc>
      </w:tr>
      <w:tr w:rsidR="00B54274" w:rsidRPr="00445F77">
        <w:tc>
          <w:tcPr>
            <w:tcW w:w="1207"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B54274" w:rsidRPr="00EC1298" w:rsidRDefault="00B54274" w:rsidP="00765C66">
            <w:pPr>
              <w:spacing w:after="0" w:line="240" w:lineRule="auto"/>
              <w:rPr>
                <w:rFonts w:ascii="Book Antiqua" w:hAnsi="Book Antiqua" w:cs="Arial"/>
              </w:rPr>
            </w:pPr>
            <w:r w:rsidRPr="00EC1298">
              <w:rPr>
                <w:rFonts w:ascii="Book Antiqua" w:hAnsi="Book Antiqua" w:cs="Arial"/>
              </w:rPr>
              <w:t>Options</w:t>
            </w:r>
          </w:p>
        </w:tc>
        <w:tc>
          <w:tcPr>
            <w:tcW w:w="3793"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B54274" w:rsidRPr="007223AA" w:rsidRDefault="00D007B8" w:rsidP="008227FD">
            <w:pPr>
              <w:pStyle w:val="ListParagraph"/>
              <w:numPr>
                <w:ilvl w:val="0"/>
                <w:numId w:val="69"/>
              </w:numPr>
              <w:spacing w:after="0" w:line="240" w:lineRule="auto"/>
              <w:ind w:left="256" w:hanging="285"/>
              <w:jc w:val="both"/>
              <w:rPr>
                <w:rFonts w:ascii="Book Antiqua" w:hAnsi="Book Antiqua" w:cs="Arial"/>
                <w:lang w:val="en-GB"/>
              </w:rPr>
            </w:pPr>
            <w:r>
              <w:rPr>
                <w:rFonts w:ascii="Book Antiqua" w:hAnsi="Book Antiqua" w:cs="Arial"/>
                <w:lang w:val="en-GB"/>
              </w:rPr>
              <w:t>Independent external auditing</w:t>
            </w:r>
            <w:r w:rsidR="00B54274" w:rsidRPr="007223AA">
              <w:rPr>
                <w:rFonts w:ascii="Book Antiqua" w:hAnsi="Book Antiqua" w:cs="Arial"/>
                <w:lang w:val="en-GB"/>
              </w:rPr>
              <w:t xml:space="preserve"> is </w:t>
            </w:r>
            <w:r>
              <w:rPr>
                <w:rFonts w:ascii="Book Antiqua" w:hAnsi="Book Antiqua" w:cs="Arial"/>
                <w:lang w:val="en-GB"/>
              </w:rPr>
              <w:t xml:space="preserve">undertaken which </w:t>
            </w:r>
            <w:r w:rsidR="00B54274" w:rsidRPr="007223AA">
              <w:rPr>
                <w:rFonts w:ascii="Book Antiqua" w:hAnsi="Book Antiqua" w:cs="Arial"/>
                <w:lang w:val="en-GB"/>
              </w:rPr>
              <w:t xml:space="preserve">meets the standards and norms required by the UNFCCC and </w:t>
            </w:r>
            <w:r>
              <w:rPr>
                <w:rFonts w:ascii="Book Antiqua" w:hAnsi="Book Antiqua" w:cs="Arial"/>
                <w:lang w:val="en-GB"/>
              </w:rPr>
              <w:t>international stakeholders.</w:t>
            </w:r>
          </w:p>
          <w:p w:rsidR="00B54274" w:rsidRPr="007223AA" w:rsidRDefault="00D007B8" w:rsidP="008227FD">
            <w:pPr>
              <w:pStyle w:val="ListParagraph"/>
              <w:numPr>
                <w:ilvl w:val="0"/>
                <w:numId w:val="69"/>
              </w:numPr>
              <w:spacing w:after="0" w:line="240" w:lineRule="auto"/>
              <w:ind w:left="256" w:hanging="285"/>
              <w:jc w:val="both"/>
              <w:rPr>
                <w:rFonts w:ascii="Book Antiqua" w:hAnsi="Book Antiqua" w:cs="Arial"/>
                <w:lang w:val="en-GB"/>
              </w:rPr>
            </w:pPr>
            <w:r>
              <w:rPr>
                <w:rFonts w:ascii="Book Antiqua" w:hAnsi="Book Antiqua" w:cs="Arial"/>
                <w:lang w:val="en-GB"/>
              </w:rPr>
              <w:t>Audit</w:t>
            </w:r>
            <w:r w:rsidR="00B54274" w:rsidRPr="007223AA">
              <w:rPr>
                <w:rFonts w:ascii="Book Antiqua" w:hAnsi="Book Antiqua" w:cs="Arial"/>
                <w:lang w:val="en-GB"/>
              </w:rPr>
              <w:t xml:space="preserve">ing of financial transactions </w:t>
            </w:r>
            <w:r>
              <w:rPr>
                <w:rFonts w:ascii="Book Antiqua" w:hAnsi="Book Antiqua" w:cs="Arial"/>
                <w:lang w:val="en-GB"/>
              </w:rPr>
              <w:t>follows standards and norms used for other national funds</w:t>
            </w:r>
          </w:p>
        </w:tc>
      </w:tr>
      <w:tr w:rsidR="00B54274" w:rsidRPr="00445F77">
        <w:tc>
          <w:tcPr>
            <w:tcW w:w="1207"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B54274" w:rsidRPr="00EC1298" w:rsidRDefault="00B54274" w:rsidP="00765C66">
            <w:pPr>
              <w:spacing w:after="0" w:line="240" w:lineRule="auto"/>
              <w:rPr>
                <w:rFonts w:ascii="Book Antiqua" w:hAnsi="Book Antiqua" w:cs="Arial"/>
              </w:rPr>
            </w:pPr>
            <w:r w:rsidRPr="00EC1298">
              <w:rPr>
                <w:rFonts w:ascii="Book Antiqua" w:hAnsi="Book Antiqua" w:cs="Arial"/>
              </w:rPr>
              <w:t>Recommended principle or policy to be adopted</w:t>
            </w:r>
          </w:p>
        </w:tc>
        <w:tc>
          <w:tcPr>
            <w:tcW w:w="3793"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B54274" w:rsidRPr="007223AA" w:rsidRDefault="00D007B8" w:rsidP="00D007B8">
            <w:pPr>
              <w:spacing w:after="0" w:line="240" w:lineRule="auto"/>
              <w:jc w:val="both"/>
              <w:rPr>
                <w:rFonts w:ascii="Book Antiqua" w:hAnsi="Book Antiqua" w:cs="Arial"/>
              </w:rPr>
            </w:pPr>
            <w:r>
              <w:rPr>
                <w:rFonts w:ascii="Book Antiqua" w:hAnsi="Book Antiqua" w:cs="Arial"/>
              </w:rPr>
              <w:t>Since auditing</w:t>
            </w:r>
            <w:r w:rsidR="00B54274" w:rsidRPr="007223AA">
              <w:rPr>
                <w:rFonts w:ascii="Book Antiqua" w:hAnsi="Book Antiqua" w:cs="Arial"/>
              </w:rPr>
              <w:t xml:space="preserve"> of financial transactions will be critical for credibility and is likely to be a pre-requisite for large scale investment</w:t>
            </w:r>
            <w:r>
              <w:rPr>
                <w:rFonts w:ascii="Book Antiqua" w:hAnsi="Book Antiqua" w:cs="Arial"/>
              </w:rPr>
              <w:t xml:space="preserve">, adopting any norms and standards other than those imposed or expected by international stakeholders, especially the UNFCCC and potential REDD+ investors or fund managers will endanger REDD+ revenue flows.  Consequently, GoV should confirm that REDD+ revenue disbursement will be subject to independent external auditing. </w:t>
            </w:r>
          </w:p>
        </w:tc>
      </w:tr>
      <w:tr w:rsidR="00B54274" w:rsidRPr="00445F77">
        <w:tc>
          <w:tcPr>
            <w:tcW w:w="1207" w:type="pct"/>
            <w:tcBorders>
              <w:top w:val="nil"/>
              <w:left w:val="nil"/>
              <w:bottom w:val="nil"/>
              <w:right w:val="single" w:sz="24" w:space="0" w:color="FFFFFF"/>
            </w:tcBorders>
            <w:shd w:val="clear" w:color="auto" w:fill="C2D69B"/>
            <w:tcMar>
              <w:top w:w="0" w:type="dxa"/>
              <w:left w:w="108" w:type="dxa"/>
              <w:bottom w:w="0" w:type="dxa"/>
              <w:right w:w="108" w:type="dxa"/>
            </w:tcMar>
            <w:vAlign w:val="center"/>
          </w:tcPr>
          <w:p w:rsidR="00B54274" w:rsidRPr="00EC1298" w:rsidRDefault="00B54274" w:rsidP="00765C66">
            <w:pPr>
              <w:spacing w:after="0" w:line="240" w:lineRule="auto"/>
              <w:rPr>
                <w:rFonts w:ascii="Book Antiqua" w:hAnsi="Book Antiqua" w:cs="Arial"/>
              </w:rPr>
            </w:pPr>
            <w:r>
              <w:rPr>
                <w:rFonts w:ascii="Book Antiqua" w:hAnsi="Book Antiqua" w:cs="Arial"/>
              </w:rPr>
              <w:t>Actions required to confirm policy option</w:t>
            </w:r>
          </w:p>
        </w:tc>
        <w:tc>
          <w:tcPr>
            <w:tcW w:w="3793" w:type="pct"/>
            <w:shd w:val="clear" w:color="auto" w:fill="D6E3BC"/>
            <w:tcMar>
              <w:top w:w="0" w:type="dxa"/>
              <w:left w:w="108" w:type="dxa"/>
              <w:bottom w:w="0" w:type="dxa"/>
              <w:right w:w="108" w:type="dxa"/>
            </w:tcMar>
            <w:vAlign w:val="center"/>
          </w:tcPr>
          <w:p w:rsidR="00D007B8" w:rsidRDefault="00D007B8" w:rsidP="00D007B8">
            <w:pPr>
              <w:spacing w:after="0" w:line="240" w:lineRule="auto"/>
              <w:jc w:val="both"/>
              <w:rPr>
                <w:rFonts w:ascii="Book Antiqua" w:hAnsi="Book Antiqua" w:cs="Arial"/>
              </w:rPr>
            </w:pPr>
            <w:r>
              <w:rPr>
                <w:rFonts w:ascii="Book Antiqua" w:hAnsi="Book Antiqua" w:cs="Arial"/>
              </w:rPr>
              <w:t xml:space="preserve">Develop guidelines to be used to ensure the application of </w:t>
            </w:r>
            <w:r w:rsidR="00B54274" w:rsidRPr="007223AA">
              <w:rPr>
                <w:rFonts w:ascii="Book Antiqua" w:hAnsi="Book Antiqua" w:cs="Arial"/>
              </w:rPr>
              <w:t xml:space="preserve">relevant international standards, norms and procedures </w:t>
            </w:r>
            <w:r>
              <w:rPr>
                <w:rFonts w:ascii="Book Antiqua" w:hAnsi="Book Antiqua" w:cs="Arial"/>
              </w:rPr>
              <w:t>for auditing of REDD+</w:t>
            </w:r>
            <w:r w:rsidR="00B54274" w:rsidRPr="007223AA">
              <w:rPr>
                <w:rFonts w:ascii="Book Antiqua" w:hAnsi="Book Antiqua" w:cs="Arial"/>
              </w:rPr>
              <w:t xml:space="preserve"> financial flows</w:t>
            </w:r>
            <w:r>
              <w:rPr>
                <w:rFonts w:ascii="Book Antiqua" w:hAnsi="Book Antiqua" w:cs="Arial"/>
              </w:rPr>
              <w:t>.</w:t>
            </w:r>
          </w:p>
          <w:p w:rsidR="00B54274" w:rsidRDefault="00B54274" w:rsidP="00D007B8">
            <w:pPr>
              <w:spacing w:after="0" w:line="240" w:lineRule="auto"/>
              <w:ind w:left="-29"/>
              <w:jc w:val="both"/>
              <w:rPr>
                <w:rFonts w:ascii="Book Antiqua" w:hAnsi="Book Antiqua" w:cs="Arial"/>
              </w:rPr>
            </w:pPr>
          </w:p>
          <w:p w:rsidR="00D007B8" w:rsidRPr="00D007B8" w:rsidRDefault="00D007B8" w:rsidP="00D007B8">
            <w:pPr>
              <w:spacing w:after="0" w:line="240" w:lineRule="auto"/>
              <w:ind w:left="-29"/>
              <w:jc w:val="both"/>
              <w:rPr>
                <w:rFonts w:ascii="Book Antiqua" w:hAnsi="Book Antiqua" w:cs="Arial"/>
              </w:rPr>
            </w:pPr>
            <w:r>
              <w:rPr>
                <w:rFonts w:ascii="Book Antiqua" w:hAnsi="Book Antiqua" w:cs="Arial"/>
              </w:rPr>
              <w:t>Undertake a comprehensive awareness raising and training programme to ensure that all officials potentially involved in disbursement of REDD+ revenues are aware of the policies and procedures for disbursement and the intent to apply international standards of auditing to financial management.</w:t>
            </w:r>
          </w:p>
        </w:tc>
      </w:tr>
    </w:tbl>
    <w:p w:rsidR="00351F2C" w:rsidRPr="00445F77" w:rsidRDefault="00351F2C" w:rsidP="008F6D17">
      <w:pPr>
        <w:spacing w:after="0"/>
        <w:rPr>
          <w:rFonts w:ascii="Arial" w:hAnsi="Arial" w:cs="Arial"/>
          <w:sz w:val="24"/>
          <w:szCs w:val="24"/>
        </w:rPr>
      </w:pPr>
    </w:p>
    <w:p w:rsidR="00351F2C" w:rsidRPr="00445F77" w:rsidRDefault="00351F2C" w:rsidP="008F6D17">
      <w:pPr>
        <w:pStyle w:val="Heading3"/>
        <w:spacing w:before="0" w:after="0"/>
        <w:rPr>
          <w:rFonts w:ascii="Arial" w:hAnsi="Arial" w:cs="Arial"/>
          <w:color w:val="000000"/>
        </w:rPr>
      </w:pPr>
      <w:bookmarkStart w:id="526" w:name="_Toc244735147"/>
      <w:bookmarkStart w:id="527" w:name="_Toc249079603"/>
      <w:r w:rsidRPr="00445F77">
        <w:rPr>
          <w:rFonts w:ascii="Arial" w:hAnsi="Arial" w:cs="Arial"/>
        </w:rPr>
        <w:t>Recourse mechanism</w:t>
      </w:r>
      <w:bookmarkEnd w:id="526"/>
      <w:bookmarkEnd w:id="527"/>
    </w:p>
    <w:p w:rsidR="00351F2C" w:rsidRPr="008F6D17" w:rsidRDefault="00351F2C" w:rsidP="008F6D17">
      <w:pPr>
        <w:spacing w:after="0" w:line="300" w:lineRule="exact"/>
        <w:jc w:val="both"/>
        <w:rPr>
          <w:rFonts w:ascii="Book Antiqua" w:hAnsi="Book Antiqua" w:cs="Arial"/>
          <w:color w:val="000000"/>
        </w:rPr>
      </w:pPr>
      <w:r w:rsidRPr="008F6D17">
        <w:rPr>
          <w:rFonts w:ascii="Book Antiqua" w:hAnsi="Book Antiqua" w:cs="Arial"/>
          <w:color w:val="000000"/>
        </w:rPr>
        <w:t xml:space="preserve">Since no </w:t>
      </w:r>
      <w:r w:rsidR="00765C66" w:rsidRPr="008F6D17">
        <w:rPr>
          <w:rFonts w:ascii="Book Antiqua" w:hAnsi="Book Antiqua" w:cs="Arial"/>
          <w:color w:val="000000"/>
        </w:rPr>
        <w:t>BDS</w:t>
      </w:r>
      <w:r w:rsidRPr="008F6D17">
        <w:rPr>
          <w:rFonts w:ascii="Book Antiqua" w:hAnsi="Book Antiqua" w:cs="Arial"/>
          <w:color w:val="000000"/>
        </w:rPr>
        <w:t xml:space="preserve"> can be perfect, one that is compelling in terms of international acceptance requires a process to allow stakeholders who may be dissatisfied or harbour complaints an opportunity to have them considered in an open and non-threatening way.  It may be possible to identify government agencies or party organs which can fulfil this role, but the alternative option, to seek a role for civil society organizations as well, will offer greater safeguards to stakeholders.</w:t>
      </w:r>
    </w:p>
    <w:p w:rsidR="00351F2C" w:rsidRPr="00445F77" w:rsidRDefault="00351F2C" w:rsidP="00522F5C">
      <w:pPr>
        <w:spacing w:after="0"/>
        <w:jc w:val="both"/>
        <w:rPr>
          <w:rFonts w:ascii="Arial" w:hAnsi="Arial" w:cs="Arial"/>
          <w:color w:val="000000"/>
          <w:sz w:val="24"/>
          <w:szCs w:val="24"/>
        </w:rPr>
      </w:pPr>
    </w:p>
    <w:tbl>
      <w:tblPr>
        <w:tblpPr w:leftFromText="180" w:rightFromText="180" w:vertAnchor="text"/>
        <w:tblW w:w="5000" w:type="pct"/>
        <w:tblCellMar>
          <w:left w:w="0" w:type="dxa"/>
          <w:right w:w="0" w:type="dxa"/>
        </w:tblCellMar>
        <w:tblLook w:val="04A0"/>
      </w:tblPr>
      <w:tblGrid>
        <w:gridCol w:w="1729"/>
        <w:gridCol w:w="7275"/>
      </w:tblGrid>
      <w:tr w:rsidR="00351F2C" w:rsidRPr="00445F77">
        <w:trPr>
          <w:tblHeader/>
        </w:trPr>
        <w:tc>
          <w:tcPr>
            <w:tcW w:w="5000" w:type="pct"/>
            <w:gridSpan w:val="2"/>
            <w:tcBorders>
              <w:top w:val="single" w:sz="24" w:space="0" w:color="FFFFFF"/>
              <w:left w:val="nil"/>
              <w:bottom w:val="single" w:sz="24" w:space="0" w:color="FFFFFF"/>
              <w:right w:val="nil"/>
            </w:tcBorders>
            <w:shd w:val="clear" w:color="auto" w:fill="76923C"/>
            <w:tcMar>
              <w:top w:w="0" w:type="dxa"/>
              <w:left w:w="108" w:type="dxa"/>
              <w:bottom w:w="0" w:type="dxa"/>
              <w:right w:w="108" w:type="dxa"/>
            </w:tcMar>
            <w:vAlign w:val="center"/>
          </w:tcPr>
          <w:p w:rsidR="00351F2C" w:rsidRPr="007223AA" w:rsidRDefault="00351F2C" w:rsidP="002B10F6">
            <w:pPr>
              <w:spacing w:after="0" w:line="240" w:lineRule="auto"/>
              <w:jc w:val="center"/>
              <w:rPr>
                <w:rFonts w:ascii="Book Antiqua" w:hAnsi="Book Antiqua" w:cs="Arial"/>
                <w:b/>
                <w:color w:val="FFFFFF"/>
                <w:sz w:val="24"/>
                <w:szCs w:val="24"/>
              </w:rPr>
            </w:pPr>
            <w:r w:rsidRPr="007223AA">
              <w:rPr>
                <w:rFonts w:ascii="Book Antiqua" w:hAnsi="Book Antiqua" w:cs="Arial"/>
                <w:b/>
                <w:color w:val="FFFFFF"/>
                <w:sz w:val="24"/>
                <w:szCs w:val="24"/>
              </w:rPr>
              <w:t>POLICY DECISION 7.</w:t>
            </w:r>
            <w:r w:rsidR="00D007B8">
              <w:rPr>
                <w:rFonts w:ascii="Book Antiqua" w:hAnsi="Book Antiqua" w:cs="Arial"/>
                <w:b/>
                <w:color w:val="FFFFFF"/>
                <w:sz w:val="24"/>
                <w:szCs w:val="24"/>
              </w:rPr>
              <w:t>4</w:t>
            </w:r>
          </w:p>
          <w:p w:rsidR="00351F2C" w:rsidRPr="00445F77" w:rsidRDefault="00351F2C" w:rsidP="002B10F6">
            <w:pPr>
              <w:spacing w:after="0" w:line="240" w:lineRule="auto"/>
              <w:jc w:val="center"/>
              <w:rPr>
                <w:rFonts w:ascii="Arial" w:hAnsi="Arial" w:cs="Arial"/>
                <w:color w:val="FFFFFF"/>
                <w:sz w:val="24"/>
                <w:szCs w:val="24"/>
              </w:rPr>
            </w:pPr>
            <w:r w:rsidRPr="007223AA">
              <w:rPr>
                <w:rFonts w:ascii="Book Antiqua" w:hAnsi="Book Antiqua" w:cs="Arial"/>
                <w:b/>
                <w:color w:val="FFFFFF"/>
                <w:sz w:val="24"/>
                <w:szCs w:val="24"/>
              </w:rPr>
              <w:t>Design of a socially acceptable recourse mechanism</w:t>
            </w:r>
          </w:p>
        </w:tc>
      </w:tr>
      <w:tr w:rsidR="008E7F87" w:rsidRPr="00445F77">
        <w:tc>
          <w:tcPr>
            <w:tcW w:w="96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8E7F87" w:rsidRPr="00EC1298" w:rsidRDefault="008E7F87" w:rsidP="008E7F87">
            <w:pPr>
              <w:spacing w:after="0" w:line="240" w:lineRule="auto"/>
              <w:rPr>
                <w:rFonts w:ascii="Book Antiqua" w:hAnsi="Book Antiqua" w:cs="Arial"/>
              </w:rPr>
            </w:pPr>
            <w:r w:rsidRPr="00EC1298">
              <w:rPr>
                <w:rFonts w:ascii="Book Antiqua" w:hAnsi="Book Antiqua" w:cs="Arial"/>
              </w:rPr>
              <w:t>Issue to be addressed</w:t>
            </w:r>
          </w:p>
        </w:tc>
        <w:tc>
          <w:tcPr>
            <w:tcW w:w="404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8E7F87" w:rsidRPr="003C0FC0" w:rsidRDefault="008E7F87" w:rsidP="008E7F87">
            <w:pPr>
              <w:spacing w:after="0" w:line="240" w:lineRule="auto"/>
              <w:jc w:val="both"/>
              <w:rPr>
                <w:rFonts w:ascii="Book Antiqua" w:hAnsi="Book Antiqua" w:cs="Arial"/>
              </w:rPr>
            </w:pPr>
            <w:r w:rsidRPr="003C0FC0">
              <w:rPr>
                <w:rFonts w:ascii="Book Antiqua" w:hAnsi="Book Antiqua" w:cs="Arial"/>
              </w:rPr>
              <w:t>Any BDS, however well designed, will inevitably give rise to complaints by those who think that they have not been rewarded appropriately and/or are losing out to free-riders who receive benefits but have made no contribution to forest protection and reduced carbon emissions</w:t>
            </w:r>
          </w:p>
        </w:tc>
      </w:tr>
      <w:tr w:rsidR="008E7F87" w:rsidRPr="00445F77">
        <w:tc>
          <w:tcPr>
            <w:tcW w:w="96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8E7F87" w:rsidRPr="00EC1298" w:rsidRDefault="008E7F87" w:rsidP="008E7F87">
            <w:pPr>
              <w:spacing w:after="0" w:line="240" w:lineRule="auto"/>
              <w:rPr>
                <w:rFonts w:ascii="Book Antiqua" w:hAnsi="Book Antiqua" w:cs="Arial"/>
              </w:rPr>
            </w:pPr>
            <w:r w:rsidRPr="00EC1298">
              <w:rPr>
                <w:rFonts w:ascii="Book Antiqua" w:hAnsi="Book Antiqua" w:cs="Arial"/>
              </w:rPr>
              <w:t>Options</w:t>
            </w:r>
          </w:p>
        </w:tc>
        <w:tc>
          <w:tcPr>
            <w:tcW w:w="404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8E7F87" w:rsidRPr="003C0FC0" w:rsidRDefault="008E7F87" w:rsidP="008227FD">
            <w:pPr>
              <w:pStyle w:val="ListParagraph"/>
              <w:numPr>
                <w:ilvl w:val="0"/>
                <w:numId w:val="122"/>
              </w:numPr>
              <w:spacing w:after="0" w:line="240" w:lineRule="auto"/>
              <w:ind w:left="251" w:hanging="270"/>
              <w:jc w:val="both"/>
              <w:rPr>
                <w:rFonts w:ascii="Book Antiqua" w:hAnsi="Book Antiqua" w:cs="Arial"/>
                <w:lang w:val="en-GB"/>
              </w:rPr>
            </w:pPr>
            <w:r w:rsidRPr="003C0FC0">
              <w:rPr>
                <w:rFonts w:ascii="Book Antiqua" w:hAnsi="Book Antiqua" w:cs="Arial"/>
                <w:lang w:val="en-GB"/>
              </w:rPr>
              <w:t>Recourse mechanism that is entirely managed by government.</w:t>
            </w:r>
          </w:p>
          <w:p w:rsidR="008E7F87" w:rsidRPr="003C0FC0" w:rsidRDefault="008E7F87" w:rsidP="008227FD">
            <w:pPr>
              <w:pStyle w:val="ListParagraph"/>
              <w:numPr>
                <w:ilvl w:val="0"/>
                <w:numId w:val="122"/>
              </w:numPr>
              <w:spacing w:after="0" w:line="240" w:lineRule="auto"/>
              <w:ind w:left="251" w:hanging="270"/>
              <w:jc w:val="both"/>
              <w:rPr>
                <w:rFonts w:ascii="Book Antiqua" w:hAnsi="Book Antiqua" w:cs="Arial"/>
                <w:lang w:val="en-GB"/>
              </w:rPr>
            </w:pPr>
            <w:r w:rsidRPr="003C0FC0">
              <w:rPr>
                <w:rFonts w:ascii="Book Antiqua" w:hAnsi="Book Antiqua" w:cs="Arial"/>
                <w:lang w:val="en-GB"/>
              </w:rPr>
              <w:lastRenderedPageBreak/>
              <w:t>Recourse mechanism that includes civil society participation.</w:t>
            </w:r>
          </w:p>
        </w:tc>
      </w:tr>
      <w:tr w:rsidR="008E7F87" w:rsidRPr="00445F77">
        <w:tc>
          <w:tcPr>
            <w:tcW w:w="96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8E7F87" w:rsidRPr="00EC1298" w:rsidRDefault="008E7F87" w:rsidP="008E7F87">
            <w:pPr>
              <w:spacing w:after="0" w:line="240" w:lineRule="auto"/>
              <w:rPr>
                <w:rFonts w:ascii="Book Antiqua" w:hAnsi="Book Antiqua" w:cs="Arial"/>
              </w:rPr>
            </w:pPr>
            <w:r w:rsidRPr="00EC1298">
              <w:rPr>
                <w:rFonts w:ascii="Book Antiqua" w:hAnsi="Book Antiqua" w:cs="Arial"/>
              </w:rPr>
              <w:lastRenderedPageBreak/>
              <w:t>Recommended principle or policy to be adopted</w:t>
            </w:r>
          </w:p>
        </w:tc>
        <w:tc>
          <w:tcPr>
            <w:tcW w:w="404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8E7F87" w:rsidRPr="003C0FC0" w:rsidRDefault="008E7F87" w:rsidP="008E7F87">
            <w:pPr>
              <w:spacing w:after="0" w:line="240" w:lineRule="auto"/>
              <w:jc w:val="both"/>
              <w:rPr>
                <w:rFonts w:ascii="Book Antiqua" w:hAnsi="Book Antiqua" w:cs="Arial"/>
              </w:rPr>
            </w:pPr>
            <w:r>
              <w:rPr>
                <w:rFonts w:ascii="Book Antiqua" w:hAnsi="Book Antiqua" w:cs="Arial"/>
              </w:rPr>
              <w:t>Option B</w:t>
            </w:r>
            <w:r w:rsidRPr="005B3882">
              <w:rPr>
                <w:rFonts w:ascii="Book Antiqua" w:hAnsi="Book Antiqua" w:cs="Arial"/>
              </w:rPr>
              <w:t xml:space="preserve"> is recommended.  Given the importance of managing complaints to ensure that the BDS rewards those who deserve to be rewarded on the basis of emissions reductions and to generate information that can be used to improve the BDS, a credible recourse mechanism is required.  GoV should consider establishing a recourse mechanism that allows complaints to be managed transparently and efficiently and how </w:t>
            </w:r>
            <w:r>
              <w:rPr>
                <w:rFonts w:ascii="Book Antiqua" w:hAnsi="Book Antiqua" w:cs="Arial"/>
              </w:rPr>
              <w:t>Vietnamese</w:t>
            </w:r>
            <w:r w:rsidRPr="005B3882">
              <w:rPr>
                <w:rFonts w:ascii="Book Antiqua" w:hAnsi="Book Antiqua" w:cs="Arial"/>
              </w:rPr>
              <w:t xml:space="preserve"> civil society organizations can be most appropriately integrated into such a mechanism.  </w:t>
            </w:r>
            <w:r w:rsidRPr="003C0FC0">
              <w:rPr>
                <w:rFonts w:ascii="Book Antiqua" w:hAnsi="Book Antiqua" w:cs="Arial"/>
              </w:rPr>
              <w:t xml:space="preserve">.  </w:t>
            </w:r>
          </w:p>
        </w:tc>
      </w:tr>
      <w:tr w:rsidR="008E7F87" w:rsidRPr="00445F77">
        <w:tc>
          <w:tcPr>
            <w:tcW w:w="960" w:type="pct"/>
            <w:tcBorders>
              <w:top w:val="nil"/>
              <w:left w:val="nil"/>
              <w:bottom w:val="nil"/>
              <w:right w:val="single" w:sz="24" w:space="0" w:color="FFFFFF"/>
            </w:tcBorders>
            <w:shd w:val="clear" w:color="auto" w:fill="C2D69B"/>
            <w:tcMar>
              <w:top w:w="0" w:type="dxa"/>
              <w:left w:w="108" w:type="dxa"/>
              <w:bottom w:w="0" w:type="dxa"/>
              <w:right w:w="108" w:type="dxa"/>
            </w:tcMar>
            <w:vAlign w:val="center"/>
          </w:tcPr>
          <w:p w:rsidR="008E7F87" w:rsidRPr="00EC1298" w:rsidRDefault="008E7F87" w:rsidP="008E7F87">
            <w:pPr>
              <w:spacing w:after="0" w:line="240" w:lineRule="auto"/>
              <w:rPr>
                <w:rFonts w:ascii="Book Antiqua" w:hAnsi="Book Antiqua" w:cs="Arial"/>
              </w:rPr>
            </w:pPr>
            <w:r>
              <w:rPr>
                <w:rFonts w:ascii="Book Antiqua" w:hAnsi="Book Antiqua" w:cs="Arial"/>
              </w:rPr>
              <w:t>Actions required to confirm policy option</w:t>
            </w:r>
          </w:p>
        </w:tc>
        <w:tc>
          <w:tcPr>
            <w:tcW w:w="4040" w:type="pct"/>
            <w:shd w:val="clear" w:color="auto" w:fill="D6E3BC"/>
            <w:tcMar>
              <w:top w:w="0" w:type="dxa"/>
              <w:left w:w="108" w:type="dxa"/>
              <w:bottom w:w="0" w:type="dxa"/>
              <w:right w:w="108" w:type="dxa"/>
            </w:tcMar>
            <w:vAlign w:val="center"/>
          </w:tcPr>
          <w:p w:rsidR="008E7F87" w:rsidRPr="003C0FC0" w:rsidRDefault="008E7F87" w:rsidP="008E7F87">
            <w:pPr>
              <w:spacing w:after="0" w:line="240" w:lineRule="auto"/>
              <w:jc w:val="both"/>
              <w:rPr>
                <w:rFonts w:ascii="Book Antiqua" w:hAnsi="Book Antiqua" w:cs="Arial"/>
              </w:rPr>
            </w:pPr>
            <w:r>
              <w:rPr>
                <w:rFonts w:ascii="Book Antiqua" w:hAnsi="Book Antiqua" w:cs="Arial"/>
              </w:rPr>
              <w:t xml:space="preserve">The </w:t>
            </w:r>
            <w:r w:rsidRPr="005B3882">
              <w:rPr>
                <w:rFonts w:ascii="Book Antiqua" w:hAnsi="Book Antiqua" w:cs="Arial"/>
              </w:rPr>
              <w:t>GoV should undertake a more detailed analysis of the appropriate institutional structure of a participatory recourse mechanism.  This should lead to a communications strategy through which information on the proposed recourse mechanism is widely disseminated to all</w:t>
            </w:r>
            <w:r>
              <w:rPr>
                <w:rFonts w:ascii="Book Antiqua" w:hAnsi="Book Antiqua" w:cs="Arial"/>
              </w:rPr>
              <w:t xml:space="preserve"> stakeholders.</w:t>
            </w:r>
          </w:p>
        </w:tc>
      </w:tr>
    </w:tbl>
    <w:p w:rsidR="00F12DE0" w:rsidRPr="009B54BA" w:rsidRDefault="00F12DE0" w:rsidP="00BA3DC6">
      <w:pPr>
        <w:autoSpaceDE w:val="0"/>
        <w:autoSpaceDN w:val="0"/>
        <w:adjustRightInd w:val="0"/>
        <w:spacing w:after="0" w:line="240" w:lineRule="auto"/>
        <w:ind w:left="-142"/>
        <w:rPr>
          <w:rFonts w:ascii="Arial" w:hAnsi="Arial" w:cs="Arial"/>
          <w:color w:val="C00000"/>
          <w:sz w:val="24"/>
          <w:szCs w:val="24"/>
          <w:lang w:val="en-US" w:eastAsia="en-GB"/>
        </w:rPr>
      </w:pPr>
    </w:p>
    <w:p w:rsidR="00F12DE0" w:rsidRPr="009B54BA" w:rsidRDefault="00F12DE0">
      <w:pPr>
        <w:spacing w:after="0" w:line="240" w:lineRule="auto"/>
        <w:rPr>
          <w:rFonts w:ascii="Arial" w:hAnsi="Arial" w:cs="Arial"/>
          <w:color w:val="C00000"/>
          <w:sz w:val="24"/>
          <w:szCs w:val="24"/>
          <w:lang w:val="en-US" w:eastAsia="en-GB"/>
        </w:rPr>
      </w:pPr>
      <w:r w:rsidRPr="009B54BA">
        <w:rPr>
          <w:rFonts w:ascii="Arial" w:hAnsi="Arial" w:cs="Arial"/>
          <w:color w:val="C00000"/>
          <w:sz w:val="24"/>
          <w:szCs w:val="24"/>
          <w:lang w:val="en-US" w:eastAsia="en-GB"/>
        </w:rPr>
        <w:br w:type="page"/>
      </w:r>
    </w:p>
    <w:p w:rsidR="007223AA" w:rsidRPr="00445F77" w:rsidRDefault="007223AA" w:rsidP="002D0F33">
      <w:pPr>
        <w:pStyle w:val="Heading1"/>
      </w:pPr>
      <w:bookmarkStart w:id="528" w:name="_Toc244586251"/>
      <w:bookmarkStart w:id="529" w:name="_Toc252354759"/>
      <w:r w:rsidRPr="00445F77">
        <w:lastRenderedPageBreak/>
        <w:t>Chapter 8: Implications for Policy Decisions</w:t>
      </w:r>
      <w:bookmarkEnd w:id="528"/>
      <w:bookmarkEnd w:id="529"/>
      <w:r w:rsidRPr="00445F77">
        <w:t xml:space="preserve"> </w:t>
      </w:r>
    </w:p>
    <w:p w:rsidR="007223AA" w:rsidRPr="00445F77" w:rsidRDefault="007223AA" w:rsidP="007223AA">
      <w:pPr>
        <w:spacing w:after="0" w:line="240" w:lineRule="auto"/>
        <w:contextualSpacing/>
        <w:rPr>
          <w:rFonts w:ascii="Arial" w:hAnsi="Arial" w:cs="Arial"/>
          <w:color w:val="1F497D"/>
          <w:sz w:val="24"/>
          <w:szCs w:val="24"/>
        </w:rPr>
      </w:pPr>
    </w:p>
    <w:p w:rsidR="007223AA" w:rsidRPr="00FA4DC1" w:rsidRDefault="007223AA" w:rsidP="007223AA">
      <w:pPr>
        <w:spacing w:after="0" w:line="300" w:lineRule="exact"/>
        <w:contextualSpacing/>
        <w:jc w:val="both"/>
        <w:rPr>
          <w:rFonts w:ascii="Book Antiqua" w:hAnsi="Book Antiqua" w:cs="Arial"/>
          <w:lang w:val="en-US"/>
        </w:rPr>
      </w:pPr>
      <w:r w:rsidRPr="00FA4DC1">
        <w:rPr>
          <w:rFonts w:ascii="Book Antiqua" w:hAnsi="Book Antiqua" w:cs="Arial"/>
          <w:lang w:val="en-US"/>
        </w:rPr>
        <w:t xml:space="preserve">Previous chapters have described the issues that need to be addressed in the design of a REDD-compliant BDS for Viet Nam, in order to meet international expectations in terms of transparency, equity, and linkage to performance.  A number of critical issues have emerged which require action on the part of the </w:t>
      </w:r>
      <w:r w:rsidR="00480D3D">
        <w:rPr>
          <w:rFonts w:ascii="Book Antiqua" w:hAnsi="Book Antiqua" w:cs="Arial"/>
          <w:lang w:val="en-US"/>
        </w:rPr>
        <w:t>GoV</w:t>
      </w:r>
      <w:r w:rsidRPr="00FA4DC1">
        <w:rPr>
          <w:rFonts w:ascii="Book Antiqua" w:hAnsi="Book Antiqua" w:cs="Arial"/>
          <w:lang w:val="en-US"/>
        </w:rPr>
        <w:t xml:space="preserve"> in terms of setting policy that will permit the establishment of a REDD-compliant BDS.  Additionally, for some of these issues, additional studies or trials will need to be implemented in order to indicate appropriate policy decisions.  Such additional work will be carried out </w:t>
      </w:r>
      <w:r w:rsidR="00B54274">
        <w:rPr>
          <w:rFonts w:ascii="Book Antiqua" w:hAnsi="Book Antiqua" w:cs="Arial"/>
          <w:lang w:val="en-US"/>
        </w:rPr>
        <w:t>starting in 2010</w:t>
      </w:r>
      <w:r w:rsidRPr="00FA4DC1">
        <w:rPr>
          <w:rFonts w:ascii="Book Antiqua" w:hAnsi="Book Antiqua" w:cs="Arial"/>
          <w:lang w:val="en-US"/>
        </w:rPr>
        <w:t>.</w:t>
      </w:r>
    </w:p>
    <w:p w:rsidR="007223AA" w:rsidRPr="00FA4DC1" w:rsidRDefault="007223AA" w:rsidP="007223AA">
      <w:pPr>
        <w:spacing w:after="0" w:line="300" w:lineRule="exact"/>
        <w:contextualSpacing/>
        <w:jc w:val="both"/>
        <w:rPr>
          <w:rFonts w:ascii="Book Antiqua" w:hAnsi="Book Antiqua" w:cs="Arial"/>
          <w:lang w:val="en-US"/>
        </w:rPr>
      </w:pPr>
    </w:p>
    <w:p w:rsidR="007223AA" w:rsidRDefault="007223AA" w:rsidP="007223AA">
      <w:pPr>
        <w:spacing w:after="0" w:line="300" w:lineRule="exact"/>
        <w:contextualSpacing/>
        <w:jc w:val="both"/>
        <w:rPr>
          <w:rFonts w:ascii="Book Antiqua" w:hAnsi="Book Antiqua" w:cs="Arial"/>
          <w:lang w:val="en-US"/>
        </w:rPr>
      </w:pPr>
      <w:r w:rsidRPr="00FA4DC1">
        <w:rPr>
          <w:rFonts w:ascii="Book Antiqua" w:hAnsi="Book Antiqua" w:cs="Arial"/>
          <w:lang w:val="en-US"/>
        </w:rPr>
        <w:t>For ease of reference, the policy decisions identified in each Chapter are reproduced below.  As such, they define the constraints and barriers that prevent the establishment of a REDD-compliant BDS at the moment in Viet Nam.</w:t>
      </w:r>
    </w:p>
    <w:p w:rsidR="009639CF" w:rsidRPr="00FA4DC1" w:rsidRDefault="009639CF" w:rsidP="007223AA">
      <w:pPr>
        <w:spacing w:after="0" w:line="300" w:lineRule="exact"/>
        <w:contextualSpacing/>
        <w:jc w:val="both"/>
        <w:rPr>
          <w:rFonts w:ascii="Book Antiqua" w:hAnsi="Book Antiqua" w:cs="Arial"/>
          <w:lang w:val="en-US"/>
        </w:rPr>
      </w:pPr>
    </w:p>
    <w:tbl>
      <w:tblPr>
        <w:tblW w:w="5000" w:type="pct"/>
        <w:jc w:val="right"/>
        <w:tblBorders>
          <w:insideH w:val="single" w:sz="24" w:space="0" w:color="FFFFFF"/>
          <w:insideV w:val="single" w:sz="24" w:space="0" w:color="FFFFFF"/>
        </w:tblBorders>
        <w:tblLook w:val="00A0"/>
      </w:tblPr>
      <w:tblGrid>
        <w:gridCol w:w="1819"/>
        <w:gridCol w:w="7185"/>
      </w:tblGrid>
      <w:tr w:rsidR="005870D7" w:rsidRPr="003C0FC0">
        <w:trPr>
          <w:tblHeader/>
          <w:jc w:val="right"/>
        </w:trPr>
        <w:tc>
          <w:tcPr>
            <w:tcW w:w="5000" w:type="pct"/>
            <w:gridSpan w:val="2"/>
            <w:tcBorders>
              <w:top w:val="single" w:sz="24" w:space="0" w:color="FFFFFF"/>
              <w:bottom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POLICY DECISION 3.1</w:t>
            </w:r>
          </w:p>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Classification of REDD+ revenues and c</w:t>
            </w:r>
            <w:r w:rsidRPr="003C0FC0">
              <w:rPr>
                <w:rFonts w:ascii="Book Antiqua" w:hAnsi="Book Antiqua" w:cs="Arial"/>
                <w:b/>
                <w:bCs/>
                <w:color w:val="FFFFFF"/>
                <w:sz w:val="24"/>
                <w:szCs w:val="24"/>
              </w:rPr>
              <w:t>reation of a dedicated REDD+ fund</w:t>
            </w:r>
          </w:p>
        </w:tc>
      </w:tr>
      <w:tr w:rsidR="005870D7" w:rsidRPr="003C0FC0">
        <w:trPr>
          <w:jc w:val="right"/>
        </w:trPr>
        <w:tc>
          <w:tcPr>
            <w:tcW w:w="1010" w:type="pct"/>
            <w:tcBorders>
              <w:top w:val="single" w:sz="24"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An appropriate off-budget mechanism needs to be identified which meets international expectations regarding transparency, equity and performance linkage.  This implies the need to “fire-wall” REDD+ revenues to prevent co-mingling with other sources of funding.  The mechanism also needs to be able to accommodate the disbursement of REDD+ revenues to sub-national and local levels, as well as to follow strict monitoring and performance requirements.</w:t>
            </w:r>
          </w:p>
          <w:p w:rsidR="005870D7" w:rsidRDefault="005870D7" w:rsidP="003561C4">
            <w:pPr>
              <w:spacing w:after="0" w:line="240" w:lineRule="auto"/>
              <w:jc w:val="both"/>
              <w:rPr>
                <w:rFonts w:ascii="Book Antiqua" w:hAnsi="Book Antiqua" w:cs="Arial"/>
              </w:rPr>
            </w:pPr>
          </w:p>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Several possible mechanisms exist. One example is the FPDF, created in part to manage PFES revenues, and incorporating a national FPDF mirrored by provincial funds and, potentially, District funds.  The TFF is another example of an off-budget financial mechanism already existing in the forest sector.  The principle of transparent governance of REDD+ revenues implies the need for broad participation in the governance of the revenues which may be difficult to meet under current arrangements.</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9639CF" w:rsidRDefault="005870D7" w:rsidP="008227FD">
            <w:pPr>
              <w:pStyle w:val="ListParagraph"/>
              <w:numPr>
                <w:ilvl w:val="0"/>
                <w:numId w:val="125"/>
              </w:numPr>
              <w:spacing w:after="0" w:line="240" w:lineRule="auto"/>
              <w:ind w:left="251" w:hanging="270"/>
              <w:jc w:val="both"/>
              <w:rPr>
                <w:rFonts w:ascii="Book Antiqua" w:hAnsi="Book Antiqua" w:cs="Arial"/>
              </w:rPr>
            </w:pPr>
            <w:r w:rsidRPr="009639CF">
              <w:rPr>
                <w:rFonts w:ascii="Book Antiqua" w:hAnsi="Book Antiqua" w:cs="Arial"/>
              </w:rPr>
              <w:t>REDD+ revenues are managed through a sub-fund of the FPDF</w:t>
            </w:r>
          </w:p>
          <w:p w:rsidR="005870D7" w:rsidRPr="009639CF" w:rsidRDefault="005870D7" w:rsidP="008227FD">
            <w:pPr>
              <w:pStyle w:val="ListParagraph"/>
              <w:numPr>
                <w:ilvl w:val="0"/>
                <w:numId w:val="125"/>
              </w:numPr>
              <w:spacing w:after="0" w:line="240" w:lineRule="auto"/>
              <w:ind w:left="251" w:hanging="270"/>
              <w:jc w:val="both"/>
              <w:rPr>
                <w:rFonts w:ascii="Book Antiqua" w:hAnsi="Book Antiqua" w:cs="Arial"/>
              </w:rPr>
            </w:pPr>
            <w:r w:rsidRPr="009639CF">
              <w:rPr>
                <w:rFonts w:ascii="Book Antiqua" w:hAnsi="Book Antiqua" w:cs="Arial"/>
              </w:rPr>
              <w:t>REDD+ revenues are managed through a newly-created REDD+ Fund</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Given limitations in participatory governance of the FPDF, the GoV should commit to the establishment of a new, REDD+ Fund.  This could be modeled on the TFF, so as to allow participatory governance, and with equivalent provincial and district funds.</w:t>
            </w:r>
          </w:p>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The GoV should also commit to ensuring that the REDD+ Fund is to be governed by a broad-based multi-stakeholder board, and subject to independent external audit.  </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International examples of REDD+, or Climate Change Funds (e.g. in Indonesia) should be studied, together with existing financial instruments in Viet Nam, such as the TFF, so as to identify the characteristics and necessary actions required for the creation of a Viet Nam REDD+ Fund.</w:t>
            </w:r>
          </w:p>
        </w:tc>
      </w:tr>
    </w:tbl>
    <w:p w:rsidR="005870D7" w:rsidRPr="003C0FC0" w:rsidRDefault="005870D7" w:rsidP="005870D7">
      <w:pPr>
        <w:spacing w:after="0" w:line="240" w:lineRule="auto"/>
        <w:jc w:val="both"/>
        <w:rPr>
          <w:rFonts w:ascii="Book Antiqua" w:hAnsi="Book Antiqua" w:cs="Arial"/>
          <w:sz w:val="24"/>
          <w:szCs w:val="24"/>
        </w:rPr>
      </w:pPr>
    </w:p>
    <w:tbl>
      <w:tblPr>
        <w:tblW w:w="5000" w:type="pct"/>
        <w:jc w:val="right"/>
        <w:tblBorders>
          <w:insideH w:val="single" w:sz="24" w:space="0" w:color="FFFFFF"/>
          <w:insideV w:val="single" w:sz="24" w:space="0" w:color="FFFFFF"/>
        </w:tblBorders>
        <w:tblLook w:val="00A0"/>
      </w:tblPr>
      <w:tblGrid>
        <w:gridCol w:w="1819"/>
        <w:gridCol w:w="7185"/>
      </w:tblGrid>
      <w:tr w:rsidR="005870D7" w:rsidRPr="003C0FC0">
        <w:trPr>
          <w:tblHeader/>
          <w:jc w:val="right"/>
        </w:trPr>
        <w:tc>
          <w:tcPr>
            <w:tcW w:w="5000" w:type="pct"/>
            <w:gridSpan w:val="2"/>
            <w:tcBorders>
              <w:top w:val="single" w:sz="24" w:space="0" w:color="FFFFFF"/>
              <w:bottom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lastRenderedPageBreak/>
              <w:t>POLICY DECISION 3.2</w:t>
            </w:r>
          </w:p>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The types of forestland owners eligible to receive REDD+ benefits</w:t>
            </w:r>
          </w:p>
        </w:tc>
      </w:tr>
      <w:tr w:rsidR="005870D7" w:rsidRPr="003C0FC0">
        <w:trPr>
          <w:jc w:val="right"/>
        </w:trPr>
        <w:tc>
          <w:tcPr>
            <w:tcW w:w="1010" w:type="pct"/>
            <w:tcBorders>
              <w:top w:val="single" w:sz="24"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5870D7" w:rsidRPr="003C0FC0" w:rsidRDefault="00C03D5F" w:rsidP="003561C4">
            <w:pPr>
              <w:spacing w:after="0" w:line="240" w:lineRule="auto"/>
              <w:jc w:val="both"/>
              <w:rPr>
                <w:rFonts w:ascii="Book Antiqua" w:hAnsi="Book Antiqua" w:cs="Arial"/>
              </w:rPr>
            </w:pPr>
            <w:r w:rsidRPr="000F0314">
              <w:rPr>
                <w:rFonts w:ascii="Book Antiqua" w:hAnsi="Book Antiqua" w:cs="Arial"/>
              </w:rPr>
              <w:t xml:space="preserve">Most benefit distribution programmes in </w:t>
            </w:r>
            <w:smartTag w:uri="urn:schemas-microsoft-com:office:smarttags" w:element="country-region">
              <w:smartTag w:uri="urn:schemas-microsoft-com:office:smarttags" w:element="place">
                <w:r w:rsidRPr="000F0314">
                  <w:rPr>
                    <w:rFonts w:ascii="Book Antiqua" w:hAnsi="Book Antiqua" w:cs="Arial"/>
                  </w:rPr>
                  <w:t>Viet Nam</w:t>
                </w:r>
              </w:smartTag>
            </w:smartTag>
            <w:r w:rsidRPr="000F0314">
              <w:rPr>
                <w:rFonts w:ascii="Book Antiqua" w:hAnsi="Book Antiqua" w:cs="Arial"/>
              </w:rPr>
              <w:t xml:space="preserve"> target payments to individual households, </w:t>
            </w:r>
            <w:r>
              <w:rPr>
                <w:rFonts w:ascii="Book Antiqua" w:hAnsi="Book Antiqua" w:cs="Arial"/>
              </w:rPr>
              <w:t>SOCs</w:t>
            </w:r>
            <w:r w:rsidRPr="000F0314">
              <w:rPr>
                <w:rFonts w:ascii="Book Antiqua" w:hAnsi="Book Antiqua" w:cs="Arial"/>
              </w:rPr>
              <w:t>, and PAMBs.  However, there are problems with such an approach, including unclear, contested or overlapping rights to forest carbon and the possibility of conflict resulting from some households receiving benefits and other</w:t>
            </w:r>
            <w:r>
              <w:rPr>
                <w:rFonts w:ascii="Book Antiqua" w:hAnsi="Book Antiqua" w:cs="Arial"/>
              </w:rPr>
              <w:t>s</w:t>
            </w:r>
            <w:r w:rsidRPr="000F0314">
              <w:rPr>
                <w:rFonts w:ascii="Book Antiqua" w:hAnsi="Book Antiqua" w:cs="Arial"/>
              </w:rPr>
              <w:t xml:space="preserve"> not.  Many of these problems of rights can be avoided by targeting benefits to village communities, which may </w:t>
            </w:r>
            <w:r>
              <w:rPr>
                <w:rFonts w:ascii="Book Antiqua" w:hAnsi="Book Antiqua" w:cs="Arial"/>
              </w:rPr>
              <w:t xml:space="preserve">be </w:t>
            </w:r>
            <w:r w:rsidRPr="000F0314">
              <w:rPr>
                <w:rFonts w:ascii="Book Antiqua" w:hAnsi="Book Antiqua" w:cs="Arial"/>
              </w:rPr>
              <w:t>better positioned to produce rapid gains in carbon stocks than other types of forest manager</w:t>
            </w:r>
            <w:r>
              <w:rPr>
                <w:rFonts w:ascii="Book Antiqua" w:hAnsi="Book Antiqua" w:cs="Arial"/>
              </w:rPr>
              <w:t>s</w:t>
            </w:r>
            <w:r w:rsidRPr="000F0314">
              <w:rPr>
                <w:rFonts w:ascii="Book Antiqua" w:hAnsi="Book Antiqua" w:cs="Arial"/>
              </w:rPr>
              <w:t xml:space="preserve">.  However, </w:t>
            </w:r>
            <w:r>
              <w:rPr>
                <w:rFonts w:ascii="Book Antiqua" w:hAnsi="Book Antiqua" w:cs="Arial"/>
              </w:rPr>
              <w:t xml:space="preserve">under the </w:t>
            </w:r>
            <w:r w:rsidRPr="000F0314">
              <w:rPr>
                <w:rFonts w:ascii="Book Antiqua" w:hAnsi="Book Antiqua" w:cs="Arial"/>
              </w:rPr>
              <w:t>current</w:t>
            </w:r>
            <w:r>
              <w:rPr>
                <w:rFonts w:ascii="Book Antiqua" w:hAnsi="Book Antiqua" w:cs="Arial"/>
              </w:rPr>
              <w:t xml:space="preserve"> legal framework,</w:t>
            </w:r>
            <w:r w:rsidRPr="000F0314">
              <w:rPr>
                <w:rFonts w:ascii="Book Antiqua" w:hAnsi="Book Antiqua" w:cs="Arial"/>
              </w:rPr>
              <w:t xml:space="preserve"> targeting communities faces a legal constraint as the community is not a legally recognized entity under the Civil Code.</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9639CF" w:rsidRDefault="005870D7" w:rsidP="008227FD">
            <w:pPr>
              <w:pStyle w:val="ListParagraph"/>
              <w:numPr>
                <w:ilvl w:val="0"/>
                <w:numId w:val="126"/>
              </w:numPr>
              <w:spacing w:after="0" w:line="240" w:lineRule="auto"/>
              <w:ind w:left="251" w:hanging="270"/>
              <w:jc w:val="both"/>
              <w:rPr>
                <w:rFonts w:ascii="Book Antiqua" w:hAnsi="Book Antiqua" w:cs="Arial"/>
              </w:rPr>
            </w:pPr>
            <w:r w:rsidRPr="009639CF">
              <w:rPr>
                <w:rFonts w:ascii="Book Antiqua" w:hAnsi="Book Antiqua" w:cs="Arial"/>
              </w:rPr>
              <w:t>GoV continues to favor payments to SOCs, PAMBs and individual households at the risk of missing out on potential carbon gains and benefits to rural poor.</w:t>
            </w:r>
          </w:p>
          <w:p w:rsidR="005870D7" w:rsidRPr="009639CF" w:rsidRDefault="005870D7" w:rsidP="008227FD">
            <w:pPr>
              <w:pStyle w:val="ListParagraph"/>
              <w:numPr>
                <w:ilvl w:val="0"/>
                <w:numId w:val="126"/>
              </w:numPr>
              <w:spacing w:after="0" w:line="240" w:lineRule="auto"/>
              <w:ind w:left="251" w:hanging="270"/>
              <w:jc w:val="both"/>
              <w:rPr>
                <w:rFonts w:ascii="Book Antiqua" w:hAnsi="Book Antiqua" w:cs="Arial"/>
              </w:rPr>
            </w:pPr>
            <w:r w:rsidRPr="009639CF">
              <w:rPr>
                <w:rFonts w:ascii="Book Antiqua" w:hAnsi="Book Antiqua" w:cs="Arial"/>
              </w:rPr>
              <w:t>GoV creates a level playing field for communities by refining the legal framework and creating supportive implementation structures.</w:t>
            </w:r>
          </w:p>
          <w:p w:rsidR="005870D7" w:rsidRPr="009639CF" w:rsidRDefault="005870D7" w:rsidP="008227FD">
            <w:pPr>
              <w:pStyle w:val="ListParagraph"/>
              <w:numPr>
                <w:ilvl w:val="0"/>
                <w:numId w:val="126"/>
              </w:numPr>
              <w:spacing w:after="0" w:line="240" w:lineRule="auto"/>
              <w:ind w:left="251" w:hanging="270"/>
              <w:jc w:val="both"/>
              <w:rPr>
                <w:rFonts w:ascii="Book Antiqua" w:hAnsi="Book Antiqua" w:cs="Arial"/>
              </w:rPr>
            </w:pPr>
            <w:r w:rsidRPr="009639CF">
              <w:rPr>
                <w:rFonts w:ascii="Book Antiqua" w:hAnsi="Book Antiqua" w:cs="Arial"/>
              </w:rPr>
              <w:t>GoV gives priority to village communities in the distribution of REDD+ payments in order to access additional carbon finance at the international level and to contribute to poverty alleviation</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color w:val="000000"/>
              </w:rPr>
            </w:pPr>
            <w:r w:rsidRPr="003C0FC0">
              <w:rPr>
                <w:rFonts w:ascii="Book Antiqua" w:hAnsi="Book Antiqua" w:cs="Arial"/>
                <w:color w:val="000000"/>
              </w:rPr>
              <w:t>GoV should address the legal constraints that prevent village communities being eligible to receive REDD+ payments under the same conditions as SOCs, PAMBs and individual households.  This will allow GoV to maximize the carbon revenues received from the international community and simultaneously add to the overarching goal of poverty alleviation.  The GoV should also establish a policy for PFMBs and PAMBs that</w:t>
            </w:r>
            <w:r w:rsidRPr="003C0FC0">
              <w:rPr>
                <w:rFonts w:ascii="Book Antiqua" w:hAnsi="Book Antiqua"/>
                <w:bCs/>
                <w:color w:val="000000"/>
              </w:rPr>
              <w:t xml:space="preserve"> REDD+ revenues will only lead to a reduction in state budget support if the total revenues of the PFMB or PAMB plus their “normal” level of budget support exceeds their estimated costs; whilst establishing safeguards to ensure that this does not create an adverse incentive to slow forest allocation.</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The GoV should commission independent evaluations of experience from community forestry projects, including the community funds established under the KfW-6 project and the TFF-funded Community Forestry Pilot Programme.  The evaluations should inform the formulation of enabling legislation on community forestry and corresponding measures to strengthen the capacities of MARD to support community forestry.  In addition, together with international donors, GoV should identify a number of community forestry initiatives to serve as pilots for community-based REDD+.</w:t>
            </w:r>
          </w:p>
        </w:tc>
      </w:tr>
    </w:tbl>
    <w:p w:rsidR="005870D7" w:rsidRPr="003C0FC0" w:rsidRDefault="005870D7" w:rsidP="005870D7">
      <w:pPr>
        <w:spacing w:after="0" w:line="240" w:lineRule="auto"/>
        <w:jc w:val="both"/>
        <w:rPr>
          <w:rFonts w:ascii="Book Antiqua" w:hAnsi="Book Antiqua" w:cs="Arial"/>
          <w:sz w:val="24"/>
          <w:szCs w:val="24"/>
        </w:rPr>
      </w:pPr>
    </w:p>
    <w:tbl>
      <w:tblPr>
        <w:tblW w:w="5000" w:type="pct"/>
        <w:jc w:val="right"/>
        <w:tblInd w:w="174" w:type="dxa"/>
        <w:tblBorders>
          <w:top w:val="single" w:sz="24" w:space="0" w:color="FFFFFF"/>
          <w:insideH w:val="single" w:sz="8" w:space="0" w:color="FFFFFF"/>
          <w:insideV w:val="single" w:sz="24" w:space="0" w:color="FFFFFF"/>
        </w:tblBorders>
        <w:tblLook w:val="00A0"/>
      </w:tblPr>
      <w:tblGrid>
        <w:gridCol w:w="1819"/>
        <w:gridCol w:w="7185"/>
      </w:tblGrid>
      <w:tr w:rsidR="005870D7" w:rsidRPr="003C0FC0">
        <w:trPr>
          <w:tblHeader/>
          <w:jc w:val="right"/>
        </w:trPr>
        <w:tc>
          <w:tcPr>
            <w:tcW w:w="5000" w:type="pct"/>
            <w:gridSpan w:val="2"/>
            <w:tcBorders>
              <w:top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bCs/>
                <w:color w:val="FFFFFF"/>
                <w:sz w:val="24"/>
                <w:szCs w:val="24"/>
              </w:rPr>
            </w:pPr>
            <w:r w:rsidRPr="003C0FC0">
              <w:rPr>
                <w:rFonts w:ascii="Book Antiqua" w:hAnsi="Book Antiqua" w:cs="Arial"/>
                <w:b/>
                <w:bCs/>
                <w:color w:val="FFFFFF"/>
                <w:sz w:val="24"/>
                <w:szCs w:val="24"/>
              </w:rPr>
              <w:t>POLICY DECISION 3.3</w:t>
            </w:r>
          </w:p>
          <w:p w:rsidR="005870D7" w:rsidRPr="003C0FC0" w:rsidRDefault="005870D7" w:rsidP="003561C4">
            <w:pPr>
              <w:spacing w:after="0" w:line="240" w:lineRule="auto"/>
              <w:jc w:val="center"/>
              <w:rPr>
                <w:rFonts w:ascii="Book Antiqua" w:hAnsi="Book Antiqua" w:cs="Arial"/>
                <w:b/>
                <w:bCs/>
                <w:color w:val="FFFFFF"/>
                <w:sz w:val="24"/>
                <w:szCs w:val="24"/>
              </w:rPr>
            </w:pPr>
            <w:r w:rsidRPr="003C0FC0">
              <w:rPr>
                <w:rFonts w:ascii="Book Antiqua" w:hAnsi="Book Antiqua" w:cs="Arial"/>
                <w:b/>
                <w:bCs/>
                <w:color w:val="FFFFFF"/>
                <w:sz w:val="24"/>
                <w:szCs w:val="24"/>
              </w:rPr>
              <w:t>Legal framework for REDD+ in Viet Nam</w:t>
            </w:r>
          </w:p>
        </w:tc>
      </w:tr>
      <w:tr w:rsidR="005870D7" w:rsidRPr="003C0FC0">
        <w:trPr>
          <w:jc w:val="right"/>
        </w:trPr>
        <w:tc>
          <w:tcPr>
            <w:tcW w:w="1010" w:type="pct"/>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REDD+ is new to Viet Nam, and international requirements concerning management of REDD+ revenues are likely to require approaches to governance and a degree of legal certainty that have not been encountered in similar schemes such as PFES, or the 661 programme.  Furthermore, REDD+ brings with it legal concepts that are novel to </w:t>
            </w:r>
            <w:r w:rsidRPr="003C0FC0">
              <w:rPr>
                <w:rFonts w:ascii="Book Antiqua" w:hAnsi="Book Antiqua" w:cs="Arial"/>
              </w:rPr>
              <w:lastRenderedPageBreak/>
              <w:t>Viet Nam, such as ownership or rights to forest carbon.</w:t>
            </w:r>
          </w:p>
          <w:p w:rsidR="005870D7" w:rsidRPr="003C0FC0" w:rsidRDefault="005870D7" w:rsidP="003561C4">
            <w:pPr>
              <w:spacing w:after="0" w:line="240" w:lineRule="auto"/>
              <w:jc w:val="both"/>
              <w:rPr>
                <w:rFonts w:ascii="Book Antiqua" w:hAnsi="Book Antiqua" w:cs="Arial"/>
              </w:rPr>
            </w:pPr>
          </w:p>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Therefore in order to facilitate REDD+ implementation, the legal framework in which REDD+ operates should be equitable, effective and efficient in order to meet international expectations. It should clearly define rights, particularly those of communities living in and around forest areas, a financial mechanism that allows REDD+ funds to reach the local beneficiaries, the fund’s governance structure, how funds are monitored, roles, rights, and responsibilities of major stakeholders, etc.</w:t>
            </w:r>
          </w:p>
          <w:p w:rsidR="005870D7" w:rsidRPr="003C0FC0" w:rsidRDefault="005870D7" w:rsidP="003561C4">
            <w:pPr>
              <w:spacing w:after="0" w:line="240" w:lineRule="auto"/>
              <w:jc w:val="both"/>
              <w:rPr>
                <w:rFonts w:ascii="Book Antiqua" w:hAnsi="Book Antiqua" w:cs="Arial"/>
              </w:rPr>
            </w:pPr>
          </w:p>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Three specific legal issues to need to be addressed as a priority in Viet Nam: (1) The rights to carbon, land and forests, particularly forest allocation and associated land use rights; (2) The coordination of the action of the government authorities involved with REDD+, in particular MARD and MONRE; and (3) Ensuring that all legitimate beneficiaries are recognized, in particular addressing the legal status of local communities. </w:t>
            </w:r>
          </w:p>
        </w:tc>
      </w:tr>
      <w:tr w:rsidR="005870D7" w:rsidRPr="003C0FC0">
        <w:trPr>
          <w:jc w:val="right"/>
        </w:trPr>
        <w:tc>
          <w:tcPr>
            <w:tcW w:w="1010" w:type="pct"/>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lastRenderedPageBreak/>
              <w:t>Options</w:t>
            </w:r>
          </w:p>
        </w:tc>
        <w:tc>
          <w:tcPr>
            <w:tcW w:w="3990" w:type="pct"/>
            <w:shd w:val="clear" w:color="auto" w:fill="D6E3BC"/>
            <w:vAlign w:val="center"/>
          </w:tcPr>
          <w:p w:rsidR="005870D7" w:rsidRPr="009639CF" w:rsidRDefault="005870D7" w:rsidP="008227FD">
            <w:pPr>
              <w:pStyle w:val="ListParagraph"/>
              <w:numPr>
                <w:ilvl w:val="0"/>
                <w:numId w:val="127"/>
              </w:numPr>
              <w:spacing w:after="0" w:line="240" w:lineRule="auto"/>
              <w:ind w:left="251" w:hanging="270"/>
              <w:jc w:val="both"/>
              <w:rPr>
                <w:rFonts w:ascii="Book Antiqua" w:hAnsi="Book Antiqua" w:cs="Arial"/>
              </w:rPr>
            </w:pPr>
            <w:r w:rsidRPr="009639CF">
              <w:rPr>
                <w:rFonts w:ascii="Book Antiqua" w:hAnsi="Book Antiqua" w:cs="Arial"/>
              </w:rPr>
              <w:t>Implement REDD+ by interpreting only existing legal instruments, without legal reform</w:t>
            </w:r>
          </w:p>
          <w:p w:rsidR="005870D7" w:rsidRPr="009639CF" w:rsidRDefault="005870D7" w:rsidP="008227FD">
            <w:pPr>
              <w:pStyle w:val="ListParagraph"/>
              <w:numPr>
                <w:ilvl w:val="0"/>
                <w:numId w:val="127"/>
              </w:numPr>
              <w:spacing w:after="0" w:line="240" w:lineRule="auto"/>
              <w:ind w:left="251" w:hanging="270"/>
              <w:jc w:val="both"/>
              <w:rPr>
                <w:rFonts w:ascii="Book Antiqua" w:hAnsi="Book Antiqua" w:cs="Arial"/>
              </w:rPr>
            </w:pPr>
            <w:r w:rsidRPr="009639CF">
              <w:rPr>
                <w:rFonts w:ascii="Book Antiqua" w:hAnsi="Book Antiqua" w:cs="Arial"/>
              </w:rPr>
              <w:t>Enact specific legal instruments to ensure clarity concerning REDD+ and administration of REDD+ revenues, without undertaking  broader legal reform</w:t>
            </w:r>
          </w:p>
          <w:p w:rsidR="005870D7" w:rsidRPr="009639CF" w:rsidRDefault="005870D7" w:rsidP="008227FD">
            <w:pPr>
              <w:pStyle w:val="ListParagraph"/>
              <w:numPr>
                <w:ilvl w:val="0"/>
                <w:numId w:val="127"/>
              </w:numPr>
              <w:spacing w:after="0" w:line="240" w:lineRule="auto"/>
              <w:ind w:left="251" w:hanging="270"/>
              <w:jc w:val="both"/>
              <w:rPr>
                <w:rFonts w:ascii="Book Antiqua" w:hAnsi="Book Antiqua" w:cs="Arial"/>
              </w:rPr>
            </w:pPr>
            <w:r w:rsidRPr="009639CF">
              <w:rPr>
                <w:rFonts w:ascii="Book Antiqua" w:hAnsi="Book Antiqua" w:cs="Arial"/>
              </w:rPr>
              <w:t>Undertake a broad legal reform which addresses all aspects of REDD+ governance and administration of REDD+ revenues.</w:t>
            </w:r>
          </w:p>
        </w:tc>
      </w:tr>
      <w:tr w:rsidR="005870D7" w:rsidRPr="003C0FC0">
        <w:trPr>
          <w:jc w:val="right"/>
        </w:trPr>
        <w:tc>
          <w:tcPr>
            <w:tcW w:w="1010" w:type="pct"/>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shd w:val="clear" w:color="auto" w:fill="D6E3BC"/>
            <w:vAlign w:val="center"/>
          </w:tcPr>
          <w:p w:rsidR="005870D7" w:rsidRPr="003C0FC0" w:rsidRDefault="005870D7" w:rsidP="003561C4">
            <w:pPr>
              <w:pStyle w:val="ListParagraph"/>
              <w:spacing w:after="0" w:line="240" w:lineRule="auto"/>
              <w:ind w:left="0"/>
              <w:jc w:val="both"/>
              <w:rPr>
                <w:rFonts w:ascii="Book Antiqua" w:hAnsi="Book Antiqua" w:cs="Arial"/>
                <w:lang w:val="en-GB"/>
              </w:rPr>
            </w:pPr>
            <w:r w:rsidRPr="003C0FC0">
              <w:rPr>
                <w:rFonts w:ascii="Book Antiqua" w:hAnsi="Book Antiqua" w:cs="Arial"/>
                <w:lang w:val="en-GB"/>
              </w:rPr>
              <w:t>A phased approach to legal reform is recommended. Consistent with its commitment to international leadership on REDD+, the GoV should in a first stage, and pending the clarification of the international REDD+ legal framework, plan to issue a REDD+ specific decree that addresses governance issues associated with international funding of REDD+, so as to ensure that implementation of REDD+ is consistent with Vietnamese law.  This decree should be issued after a pilot phase (over at least 2 years) during which REDD+ modalities would be tested.  This approach is similar to how PFES has been implemented with a decree being prepared following a 2-year pilot phase.  The GoV should also accelerate the other legal reforms required to ensure effective implementation of REDD+</w:t>
            </w:r>
          </w:p>
        </w:tc>
      </w:tr>
      <w:tr w:rsidR="005870D7" w:rsidRPr="003C0FC0">
        <w:trPr>
          <w:trHeight w:val="358"/>
          <w:jc w:val="right"/>
        </w:trPr>
        <w:tc>
          <w:tcPr>
            <w:tcW w:w="1010" w:type="pct"/>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As soon as possible, the GoV should develop plans for piloting REDD+ in a small number of provinces and districts, and establish a system to ensure that lessons are captured and analyzed in preparation for the issuance of a decree on REDD+ at some time in the future (target 2012 or 2013). </w:t>
            </w:r>
          </w:p>
          <w:p w:rsidR="005870D7" w:rsidRPr="003C0FC0" w:rsidRDefault="005870D7" w:rsidP="003561C4">
            <w:pPr>
              <w:spacing w:after="0" w:line="240" w:lineRule="auto"/>
              <w:jc w:val="both"/>
              <w:rPr>
                <w:rFonts w:ascii="Book Antiqua" w:hAnsi="Book Antiqua" w:cs="Arial"/>
              </w:rPr>
            </w:pPr>
          </w:p>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A detailed workplan for addressing the other required legal reforms should be developed in the first 3 months of 2010.  Consideration should also be given to the use of instruments such as “R-Coefficients” (see Policy Decision </w:t>
            </w:r>
            <w:r>
              <w:rPr>
                <w:rFonts w:ascii="Book Antiqua" w:hAnsi="Book Antiqua" w:cs="Arial"/>
              </w:rPr>
              <w:t>5.2</w:t>
            </w:r>
            <w:r w:rsidRPr="003C0FC0">
              <w:rPr>
                <w:rFonts w:ascii="Book Antiqua" w:hAnsi="Book Antiqua" w:cs="Arial"/>
              </w:rPr>
              <w:t xml:space="preserve">, below) to provide incentives for </w:t>
            </w:r>
            <w:r w:rsidR="003A6A8D">
              <w:rPr>
                <w:rFonts w:ascii="Book Antiqua" w:hAnsi="Book Antiqua" w:cs="Arial"/>
              </w:rPr>
              <w:t>SOC</w:t>
            </w:r>
            <w:r w:rsidRPr="003C0FC0">
              <w:rPr>
                <w:rFonts w:ascii="Book Antiqua" w:hAnsi="Book Antiqua" w:cs="Arial"/>
              </w:rPr>
              <w:t xml:space="preserve"> reform</w:t>
            </w:r>
          </w:p>
        </w:tc>
      </w:tr>
    </w:tbl>
    <w:p w:rsidR="005870D7" w:rsidRPr="003C0FC0" w:rsidRDefault="005870D7" w:rsidP="005870D7">
      <w:pPr>
        <w:spacing w:after="0" w:line="240" w:lineRule="auto"/>
        <w:jc w:val="both"/>
        <w:rPr>
          <w:rFonts w:ascii="Book Antiqua" w:hAnsi="Book Antiqua" w:cs="Arial"/>
          <w:sz w:val="24"/>
          <w:szCs w:val="24"/>
        </w:rPr>
      </w:pPr>
      <w:r w:rsidRPr="003C0FC0">
        <w:rPr>
          <w:rFonts w:ascii="Book Antiqua" w:hAnsi="Book Antiqua" w:cs="Arial"/>
          <w:sz w:val="24"/>
          <w:szCs w:val="24"/>
        </w:rPr>
        <w:t xml:space="preserve">   </w:t>
      </w:r>
    </w:p>
    <w:tbl>
      <w:tblPr>
        <w:tblW w:w="5000" w:type="pct"/>
        <w:jc w:val="right"/>
        <w:tblBorders>
          <w:insideH w:val="single" w:sz="24" w:space="0" w:color="FFFFFF"/>
          <w:insideV w:val="single" w:sz="24" w:space="0" w:color="FFFFFF"/>
        </w:tblBorders>
        <w:tblLook w:val="00A0"/>
      </w:tblPr>
      <w:tblGrid>
        <w:gridCol w:w="1819"/>
        <w:gridCol w:w="7185"/>
      </w:tblGrid>
      <w:tr w:rsidR="005870D7" w:rsidRPr="003C0FC0">
        <w:trPr>
          <w:tblHeader/>
          <w:jc w:val="right"/>
        </w:trPr>
        <w:tc>
          <w:tcPr>
            <w:tcW w:w="5000" w:type="pct"/>
            <w:gridSpan w:val="2"/>
            <w:tcBorders>
              <w:top w:val="single" w:sz="24" w:space="0" w:color="FFFFFF"/>
              <w:bottom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lastRenderedPageBreak/>
              <w:t>POLICY DECISION 3.4</w:t>
            </w:r>
          </w:p>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Strengthened law enforcement for a performance-based distribution</w:t>
            </w:r>
          </w:p>
        </w:tc>
      </w:tr>
      <w:tr w:rsidR="005870D7" w:rsidRPr="003C0FC0">
        <w:trPr>
          <w:jc w:val="right"/>
        </w:trPr>
        <w:tc>
          <w:tcPr>
            <w:tcW w:w="1010" w:type="pct"/>
            <w:tcBorders>
              <w:top w:val="single" w:sz="24"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Forest law enforcement continues to be weak in Viet Nam.  In particular, issues such as illegal logging and encroachment have the effect of counteracting other initiatives undertaken to reduce emissions.  Without more effective forest law enforcement, the risk exists that stakeholders who are successful in reducing emissions go unrewarded due to the non-performance of others who are responsible for illegal activities.  </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9639CF" w:rsidRDefault="005870D7" w:rsidP="008227FD">
            <w:pPr>
              <w:pStyle w:val="ListParagraph"/>
              <w:numPr>
                <w:ilvl w:val="0"/>
                <w:numId w:val="128"/>
              </w:numPr>
              <w:tabs>
                <w:tab w:val="left" w:pos="251"/>
              </w:tabs>
              <w:spacing w:after="0" w:line="240" w:lineRule="auto"/>
              <w:ind w:left="251" w:hanging="270"/>
              <w:jc w:val="both"/>
              <w:rPr>
                <w:rFonts w:ascii="Book Antiqua" w:hAnsi="Book Antiqua" w:cs="Arial"/>
              </w:rPr>
            </w:pPr>
            <w:r w:rsidRPr="009639CF">
              <w:rPr>
                <w:rFonts w:ascii="Book Antiqua" w:hAnsi="Book Antiqua" w:cs="Arial"/>
              </w:rPr>
              <w:t>GoV accepts that payments to stakeholders who undertake REDD+ interventions are diluted or possibly eliminated due to non-performance of others under the current forest law enforcement regime.</w:t>
            </w:r>
          </w:p>
          <w:p w:rsidR="005870D7" w:rsidRPr="009639CF" w:rsidRDefault="005870D7" w:rsidP="008227FD">
            <w:pPr>
              <w:pStyle w:val="ListParagraph"/>
              <w:numPr>
                <w:ilvl w:val="0"/>
                <w:numId w:val="128"/>
              </w:numPr>
              <w:tabs>
                <w:tab w:val="left" w:pos="251"/>
              </w:tabs>
              <w:spacing w:after="0" w:line="240" w:lineRule="auto"/>
              <w:ind w:left="251" w:hanging="270"/>
              <w:jc w:val="both"/>
              <w:rPr>
                <w:rFonts w:ascii="Book Antiqua" w:hAnsi="Book Antiqua" w:cs="Arial"/>
              </w:rPr>
            </w:pPr>
            <w:r w:rsidRPr="009639CF">
              <w:rPr>
                <w:rFonts w:ascii="Book Antiqua" w:hAnsi="Book Antiqua" w:cs="Arial"/>
              </w:rPr>
              <w:t>GoV develops operational structures that offer effective law enforcement to households and communities</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GoV should develop operational structures for effective forest law enforcement in the medium term.  These will most likely include a Central Forest Inspectorate with a hotline for reports on illegal operations and complaints about local law enforcement activities.  In the short term, GoV may have to define the conditions (such as timely reporting) under which payment recipients are exempt from liability for non-performance due to factors beyond their control.</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Recent experiences with community-based law enforcement require assessment and translation into national regulations.  The new General Department of Forestry and forest protection units at the district and provincial levels will need technical assistance to improve their law enforcement capacities.  The REDD+ pilots should make appropriate law enforcement a central component of project design from the beginning.  They will indicate ways to determine the liability of forest managers under different circumstances</w:t>
            </w:r>
          </w:p>
        </w:tc>
      </w:tr>
    </w:tbl>
    <w:p w:rsidR="005870D7" w:rsidRPr="009B54BA" w:rsidRDefault="005870D7" w:rsidP="005870D7">
      <w:pPr>
        <w:spacing w:after="0" w:line="240" w:lineRule="auto"/>
        <w:rPr>
          <w:rFonts w:ascii="Book Antiqua" w:hAnsi="Book Antiqua" w:cs="Arial"/>
          <w:color w:val="C00000"/>
          <w:sz w:val="24"/>
          <w:szCs w:val="24"/>
          <w:lang w:val="en-US" w:eastAsia="en-GB"/>
        </w:rPr>
      </w:pPr>
    </w:p>
    <w:tbl>
      <w:tblPr>
        <w:tblW w:w="5000" w:type="pct"/>
        <w:jc w:val="right"/>
        <w:tblBorders>
          <w:insideH w:val="single" w:sz="24" w:space="0" w:color="FFFFFF"/>
          <w:insideV w:val="single" w:sz="24" w:space="0" w:color="FFFFFF"/>
        </w:tblBorders>
        <w:tblLook w:val="00A0"/>
      </w:tblPr>
      <w:tblGrid>
        <w:gridCol w:w="1819"/>
        <w:gridCol w:w="7185"/>
      </w:tblGrid>
      <w:tr w:rsidR="005870D7" w:rsidRPr="003C0FC0">
        <w:trPr>
          <w:tblHeader/>
          <w:jc w:val="right"/>
        </w:trPr>
        <w:tc>
          <w:tcPr>
            <w:tcW w:w="5000" w:type="pct"/>
            <w:gridSpan w:val="2"/>
            <w:tcBorders>
              <w:top w:val="single" w:sz="24" w:space="0" w:color="FFFFFF"/>
              <w:bottom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POLICY DECISION 4.1</w:t>
            </w:r>
          </w:p>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Classification of REDD+ revenues and c</w:t>
            </w:r>
            <w:r w:rsidRPr="003C0FC0">
              <w:rPr>
                <w:rFonts w:ascii="Book Antiqua" w:hAnsi="Book Antiqua" w:cs="Arial"/>
                <w:b/>
                <w:bCs/>
                <w:color w:val="FFFFFF"/>
                <w:sz w:val="24"/>
                <w:szCs w:val="24"/>
              </w:rPr>
              <w:t>reation of a dedicated REDD+ fund</w:t>
            </w:r>
          </w:p>
        </w:tc>
      </w:tr>
      <w:tr w:rsidR="005870D7" w:rsidRPr="003C0FC0">
        <w:trPr>
          <w:jc w:val="right"/>
        </w:trPr>
        <w:tc>
          <w:tcPr>
            <w:tcW w:w="1010" w:type="pct"/>
            <w:tcBorders>
              <w:top w:val="single" w:sz="24"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An appropriate off-budget mechanism needs to be identified which meets international expectations regarding transparency, equity and performance linkage.  This implies the need to “fire-wall” REDD+ revenues to prevent co-mingling with other sources of funding.  The mechanism also needs to be able to accommodate the disbursement of REDD+ revenues to sub-national and local levels, as well as to follow strict monitoring and performance requirements.</w:t>
            </w:r>
          </w:p>
          <w:p w:rsidR="005870D7" w:rsidRPr="003C0FC0" w:rsidRDefault="005870D7" w:rsidP="003561C4">
            <w:pPr>
              <w:spacing w:after="0" w:line="240" w:lineRule="auto"/>
              <w:jc w:val="both"/>
              <w:rPr>
                <w:rFonts w:ascii="Book Antiqua" w:hAnsi="Book Antiqua" w:cs="Arial"/>
              </w:rPr>
            </w:pPr>
          </w:p>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Several possible mechanisms exist. One example is the FPDF, created in part to manage PFES revenues, and incorporating a national FPDF mirrored by provincial funds and, potentially, District funds.  The TFF is another example of an off-budget financial mechanism already existing in the forest sector.  The principle of transparent governance of REDD+ revenues implies the need for broad participation in the governance of the revenues which may be difficult to meet under current arrangements.</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lastRenderedPageBreak/>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9639CF" w:rsidRDefault="005870D7" w:rsidP="008227FD">
            <w:pPr>
              <w:pStyle w:val="ListParagraph"/>
              <w:numPr>
                <w:ilvl w:val="0"/>
                <w:numId w:val="129"/>
              </w:numPr>
              <w:spacing w:after="0" w:line="240" w:lineRule="auto"/>
              <w:ind w:left="251" w:hanging="270"/>
              <w:jc w:val="both"/>
              <w:rPr>
                <w:rFonts w:ascii="Book Antiqua" w:hAnsi="Book Antiqua" w:cs="Arial"/>
              </w:rPr>
            </w:pPr>
            <w:r w:rsidRPr="009639CF">
              <w:rPr>
                <w:rFonts w:ascii="Book Antiqua" w:hAnsi="Book Antiqua" w:cs="Arial"/>
              </w:rPr>
              <w:t>REDD+ revenues are managed through a sub-fund of the FPDF</w:t>
            </w:r>
          </w:p>
          <w:p w:rsidR="005870D7" w:rsidRPr="009639CF" w:rsidRDefault="005870D7" w:rsidP="008227FD">
            <w:pPr>
              <w:pStyle w:val="ListParagraph"/>
              <w:numPr>
                <w:ilvl w:val="0"/>
                <w:numId w:val="129"/>
              </w:numPr>
              <w:spacing w:after="0" w:line="240" w:lineRule="auto"/>
              <w:ind w:left="251" w:hanging="270"/>
              <w:jc w:val="both"/>
              <w:rPr>
                <w:rFonts w:ascii="Book Antiqua" w:hAnsi="Book Antiqua" w:cs="Arial"/>
              </w:rPr>
            </w:pPr>
            <w:r w:rsidRPr="009639CF">
              <w:rPr>
                <w:rFonts w:ascii="Book Antiqua" w:hAnsi="Book Antiqua" w:cs="Arial"/>
              </w:rPr>
              <w:t>REDD+ revenues are managed through a newly-created REDD+ Fund</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Given limitations in participatory governance of the FPDF, the GoV should commit to the establishment of a new, REDD+ Fund.  This could be modeled on the TFF, so as to allow participatory governance, and with equivalent provincial and district funds.</w:t>
            </w:r>
          </w:p>
          <w:p w:rsidR="005870D7" w:rsidRPr="003C0FC0" w:rsidRDefault="005870D7" w:rsidP="003561C4">
            <w:pPr>
              <w:spacing w:after="0" w:line="240" w:lineRule="auto"/>
              <w:jc w:val="both"/>
              <w:rPr>
                <w:rFonts w:ascii="Book Antiqua" w:hAnsi="Book Antiqua" w:cs="Arial"/>
              </w:rPr>
            </w:pPr>
          </w:p>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The GoV should also commit to ensuring that the REDD+ Fund is to be governed by a broad-based multi-stakeholder board, and subject to independent external audit.  </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International examples of REDD+, or Climate Change Funds (e.g. in Indonesia) should be studied, together with existing financial instruments in Viet Nam, such as the TFF, so as to identify the characteristics and necessary actions required for the creation of a Viet Nam REDD+ Fund.</w:t>
            </w:r>
          </w:p>
        </w:tc>
      </w:tr>
    </w:tbl>
    <w:p w:rsidR="005870D7" w:rsidRPr="003C0FC0" w:rsidRDefault="005870D7" w:rsidP="005870D7">
      <w:pPr>
        <w:spacing w:after="0" w:line="240" w:lineRule="auto"/>
        <w:rPr>
          <w:rFonts w:ascii="Book Antiqua" w:hAnsi="Book Antiqua" w:cs="Arial"/>
          <w:sz w:val="24"/>
          <w:szCs w:val="24"/>
          <w:lang w:val="en-US"/>
        </w:rPr>
      </w:pPr>
    </w:p>
    <w:tbl>
      <w:tblPr>
        <w:tblW w:w="5000" w:type="pct"/>
        <w:jc w:val="right"/>
        <w:tblBorders>
          <w:insideH w:val="single" w:sz="24" w:space="0" w:color="FFFFFF"/>
          <w:insideV w:val="single" w:sz="24" w:space="0" w:color="FFFFFF"/>
        </w:tblBorders>
        <w:tblLook w:val="00A0"/>
      </w:tblPr>
      <w:tblGrid>
        <w:gridCol w:w="1819"/>
        <w:gridCol w:w="7185"/>
      </w:tblGrid>
      <w:tr w:rsidR="005870D7" w:rsidRPr="003C0FC0">
        <w:trPr>
          <w:tblHeader/>
          <w:jc w:val="right"/>
        </w:trPr>
        <w:tc>
          <w:tcPr>
            <w:tcW w:w="5000" w:type="pct"/>
            <w:gridSpan w:val="2"/>
            <w:tcBorders>
              <w:top w:val="single" w:sz="24" w:space="0" w:color="FFFFFF"/>
              <w:bottom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POLICY DECISION 4.2</w:t>
            </w:r>
          </w:p>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Sub-national levels at which REDD+ revenues should be managed</w:t>
            </w:r>
          </w:p>
        </w:tc>
      </w:tr>
      <w:tr w:rsidR="005870D7" w:rsidRPr="003C0FC0">
        <w:trPr>
          <w:jc w:val="right"/>
        </w:trPr>
        <w:tc>
          <w:tcPr>
            <w:tcW w:w="1010" w:type="pct"/>
            <w:tcBorders>
              <w:top w:val="single" w:sz="24"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The national government will receive REDD+ funding from the international community (see Policy </w:t>
            </w:r>
            <w:r>
              <w:rPr>
                <w:rFonts w:ascii="Book Antiqua" w:hAnsi="Book Antiqua" w:cs="Arial"/>
              </w:rPr>
              <w:t>Decision</w:t>
            </w:r>
            <w:r w:rsidRPr="003C0FC0">
              <w:rPr>
                <w:rFonts w:ascii="Book Antiqua" w:hAnsi="Book Antiqua" w:cs="Arial"/>
              </w:rPr>
              <w:t xml:space="preserve"> 2).  These revenues will then need to be disbursed to those who have incurred costs in reducing emissions, with distribution to the ultimate beneficiaries, particularly people living in and around forest areas who have changed their behavior in response to REDD+ incentives.</w:t>
            </w:r>
          </w:p>
          <w:p w:rsidR="005870D7" w:rsidRPr="003C0FC0" w:rsidRDefault="005870D7" w:rsidP="003561C4">
            <w:pPr>
              <w:spacing w:after="0" w:line="240" w:lineRule="auto"/>
              <w:jc w:val="both"/>
              <w:rPr>
                <w:rFonts w:ascii="Book Antiqua" w:hAnsi="Book Antiqua" w:cs="Arial"/>
              </w:rPr>
            </w:pPr>
          </w:p>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There are trade-offs to be considered in this regard.  The greater the number of hierarchical levels at which revenues are managed, the less cost-effective the mechanism is likely to be. There will tend to be higher implementation costs, and a higher the risk of rent-seeking and corruption.  On the other hand, fewer hierarchical levels make it harder to ensure efficiency and equity in the disbursement, because of the “distance” between the source and target of the funds.</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9639CF" w:rsidRDefault="005870D7" w:rsidP="008227FD">
            <w:pPr>
              <w:pStyle w:val="ListParagraph"/>
              <w:numPr>
                <w:ilvl w:val="0"/>
                <w:numId w:val="130"/>
              </w:numPr>
              <w:spacing w:after="0" w:line="240" w:lineRule="auto"/>
              <w:ind w:left="251" w:hanging="270"/>
              <w:jc w:val="both"/>
              <w:rPr>
                <w:rFonts w:ascii="Book Antiqua" w:hAnsi="Book Antiqua" w:cs="Arial"/>
              </w:rPr>
            </w:pPr>
            <w:r w:rsidRPr="009639CF">
              <w:rPr>
                <w:rFonts w:ascii="Book Antiqua" w:hAnsi="Book Antiqua" w:cs="Arial"/>
              </w:rPr>
              <w:t xml:space="preserve">REDD+ revenues managed at national and provincial levels </w:t>
            </w:r>
          </w:p>
          <w:p w:rsidR="005870D7" w:rsidRPr="009639CF" w:rsidRDefault="005870D7" w:rsidP="008227FD">
            <w:pPr>
              <w:pStyle w:val="ListParagraph"/>
              <w:numPr>
                <w:ilvl w:val="0"/>
                <w:numId w:val="130"/>
              </w:numPr>
              <w:spacing w:after="0" w:line="240" w:lineRule="auto"/>
              <w:ind w:left="251" w:hanging="270"/>
              <w:jc w:val="both"/>
              <w:rPr>
                <w:rFonts w:ascii="Book Antiqua" w:hAnsi="Book Antiqua" w:cs="Arial"/>
              </w:rPr>
            </w:pPr>
            <w:r w:rsidRPr="009639CF">
              <w:rPr>
                <w:rFonts w:ascii="Book Antiqua" w:hAnsi="Book Antiqua" w:cs="Arial"/>
              </w:rPr>
              <w:t>REDD+ revenues managed at national, provincial and district levels</w:t>
            </w:r>
          </w:p>
          <w:p w:rsidR="005870D7" w:rsidRPr="009639CF" w:rsidRDefault="005870D7" w:rsidP="008227FD">
            <w:pPr>
              <w:pStyle w:val="ListParagraph"/>
              <w:numPr>
                <w:ilvl w:val="0"/>
                <w:numId w:val="130"/>
              </w:numPr>
              <w:spacing w:after="0" w:line="240" w:lineRule="auto"/>
              <w:ind w:left="251" w:hanging="270"/>
              <w:jc w:val="both"/>
              <w:rPr>
                <w:rFonts w:ascii="Book Antiqua" w:hAnsi="Book Antiqua" w:cs="Arial"/>
              </w:rPr>
            </w:pPr>
            <w:r w:rsidRPr="009639CF">
              <w:rPr>
                <w:rFonts w:ascii="Book Antiqua" w:hAnsi="Book Antiqua" w:cs="Arial"/>
              </w:rPr>
              <w:t>REDD+ revenues managed at national and district levels</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Option C (REDD+ revenues managed at national and district levels) is not recommended, as it bypasses the province, which is an important administrative level for forest management and planning.  For initial piloting of REDD+, Option A may be initially adopted.  However, once experience has been developed, provided the additional transaction costs are not prohibitive, and especially when appropriate capacity has been built at province and district level, including the establishment of district level funds, Option B should be adopted.</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 xml:space="preserve">Actions required to confirm policy </w:t>
            </w:r>
            <w:r w:rsidRPr="003C0FC0">
              <w:rPr>
                <w:rFonts w:ascii="Book Antiqua" w:hAnsi="Book Antiqua" w:cs="Arial"/>
              </w:rPr>
              <w:lastRenderedPageBreak/>
              <w:t>option</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lastRenderedPageBreak/>
              <w:t xml:space="preserve">Piloting of REDD+ revenue management structures in a small number of provinces and for capacity building at province and district level should be undertaken over a period of at least 2 years to gain lessons </w:t>
            </w:r>
            <w:r w:rsidRPr="003C0FC0">
              <w:rPr>
                <w:rFonts w:ascii="Book Antiqua" w:hAnsi="Book Antiqua" w:cs="Arial"/>
              </w:rPr>
              <w:lastRenderedPageBreak/>
              <w:t>concerning the costs, efficiency and effectiveness of management of REDD+ revenues at multiple levels.  Note that PFES pilots have not yet had to address this issue of disbursement from national down to local level.</w:t>
            </w:r>
          </w:p>
        </w:tc>
      </w:tr>
    </w:tbl>
    <w:p w:rsidR="005870D7" w:rsidRPr="003C0FC0" w:rsidRDefault="005870D7" w:rsidP="005870D7">
      <w:pPr>
        <w:spacing w:after="0" w:line="240" w:lineRule="auto"/>
        <w:rPr>
          <w:rFonts w:ascii="Book Antiqua" w:hAnsi="Book Antiqua" w:cs="Arial"/>
        </w:rPr>
      </w:pPr>
    </w:p>
    <w:p w:rsidR="005870D7" w:rsidRPr="003C0FC0" w:rsidRDefault="005870D7" w:rsidP="005870D7">
      <w:pPr>
        <w:spacing w:after="0" w:line="240" w:lineRule="auto"/>
        <w:jc w:val="both"/>
        <w:rPr>
          <w:rFonts w:ascii="Book Antiqua" w:hAnsi="Book Antiqua" w:cs="Arial"/>
        </w:rPr>
      </w:pPr>
    </w:p>
    <w:tbl>
      <w:tblPr>
        <w:tblW w:w="5000" w:type="pct"/>
        <w:jc w:val="right"/>
        <w:tblBorders>
          <w:insideH w:val="single" w:sz="24" w:space="0" w:color="FFFFFF"/>
          <w:insideV w:val="single" w:sz="24" w:space="0" w:color="FFFFFF"/>
        </w:tblBorders>
        <w:tblLook w:val="00A0"/>
      </w:tblPr>
      <w:tblGrid>
        <w:gridCol w:w="1819"/>
        <w:gridCol w:w="7185"/>
      </w:tblGrid>
      <w:tr w:rsidR="005870D7" w:rsidRPr="003C0FC0">
        <w:trPr>
          <w:tblHeader/>
          <w:jc w:val="right"/>
        </w:trPr>
        <w:tc>
          <w:tcPr>
            <w:tcW w:w="5000" w:type="pct"/>
            <w:gridSpan w:val="2"/>
            <w:tcBorders>
              <w:bottom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bCs/>
                <w:color w:val="FFFFFF"/>
                <w:sz w:val="24"/>
                <w:szCs w:val="24"/>
              </w:rPr>
            </w:pPr>
            <w:r w:rsidRPr="003C0FC0">
              <w:rPr>
                <w:rFonts w:ascii="Book Antiqua" w:hAnsi="Book Antiqua" w:cs="Arial"/>
                <w:b/>
                <w:bCs/>
                <w:color w:val="FFFFFF"/>
                <w:sz w:val="24"/>
                <w:szCs w:val="24"/>
              </w:rPr>
              <w:t>POLICY DECISION 5.1</w:t>
            </w:r>
          </w:p>
          <w:p w:rsidR="005870D7" w:rsidRPr="003C0FC0" w:rsidRDefault="005870D7" w:rsidP="003561C4">
            <w:pPr>
              <w:spacing w:after="0" w:line="240" w:lineRule="auto"/>
              <w:jc w:val="center"/>
              <w:rPr>
                <w:rFonts w:ascii="Book Antiqua" w:hAnsi="Book Antiqua" w:cs="Arial"/>
                <w:b/>
                <w:bCs/>
                <w:color w:val="FFFFFF"/>
                <w:sz w:val="24"/>
                <w:szCs w:val="24"/>
              </w:rPr>
            </w:pPr>
            <w:r w:rsidRPr="003C0FC0">
              <w:rPr>
                <w:rFonts w:ascii="Book Antiqua" w:hAnsi="Book Antiqua" w:cs="Arial"/>
                <w:b/>
                <w:bCs/>
                <w:color w:val="FFFFFF"/>
                <w:sz w:val="24"/>
                <w:szCs w:val="24"/>
              </w:rPr>
              <w:t>Revenue retention by government</w:t>
            </w:r>
          </w:p>
        </w:tc>
      </w:tr>
      <w:tr w:rsidR="005870D7" w:rsidRPr="003C0FC0">
        <w:trPr>
          <w:jc w:val="right"/>
        </w:trPr>
        <w:tc>
          <w:tcPr>
            <w:tcW w:w="1010" w:type="pct"/>
            <w:tcBorders>
              <w:top w:val="single" w:sz="24"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Administration of a payment distribution system incurs administration and management costs. This needs to be balanced with the requirement of ensuring that the major portion of REDD+ funds are used as efficiently and effectively as possible to reduce deforestation. In relation to national-level government-administered funds in Viet Nam, there are currently no standard procedures for determining permissible management fees.</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9639CF" w:rsidRDefault="005870D7" w:rsidP="008227FD">
            <w:pPr>
              <w:pStyle w:val="ListParagraph"/>
              <w:numPr>
                <w:ilvl w:val="0"/>
                <w:numId w:val="131"/>
              </w:numPr>
              <w:spacing w:after="0" w:line="240" w:lineRule="auto"/>
              <w:ind w:left="251" w:hanging="270"/>
              <w:jc w:val="both"/>
              <w:rPr>
                <w:rFonts w:ascii="Book Antiqua" w:hAnsi="Book Antiqua" w:cs="Arial"/>
              </w:rPr>
            </w:pPr>
            <w:r w:rsidRPr="009639CF">
              <w:rPr>
                <w:rFonts w:ascii="Book Antiqua" w:hAnsi="Book Antiqua" w:cs="Arial"/>
              </w:rPr>
              <w:t>Allocate based on costs incurred and emissions reductions delivered; or</w:t>
            </w:r>
          </w:p>
          <w:p w:rsidR="005870D7" w:rsidRPr="009639CF" w:rsidRDefault="005870D7" w:rsidP="008227FD">
            <w:pPr>
              <w:pStyle w:val="ListParagraph"/>
              <w:numPr>
                <w:ilvl w:val="0"/>
                <w:numId w:val="131"/>
              </w:numPr>
              <w:spacing w:after="0" w:line="240" w:lineRule="auto"/>
              <w:ind w:left="251" w:hanging="270"/>
              <w:jc w:val="both"/>
              <w:rPr>
                <w:rFonts w:ascii="Book Antiqua" w:hAnsi="Book Antiqua" w:cs="Arial"/>
              </w:rPr>
            </w:pPr>
            <w:r w:rsidRPr="009639CF">
              <w:rPr>
                <w:rFonts w:ascii="Book Antiqua" w:hAnsi="Book Antiqua" w:cs="Arial"/>
              </w:rPr>
              <w:t>Allocate according to a flat fee or percentage of total funds.</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903E2A">
            <w:pPr>
              <w:spacing w:after="0" w:line="240" w:lineRule="auto"/>
              <w:jc w:val="both"/>
              <w:rPr>
                <w:rFonts w:ascii="Book Antiqua" w:hAnsi="Book Antiqua" w:cs="Arial"/>
              </w:rPr>
            </w:pPr>
            <w:r w:rsidRPr="003C0FC0">
              <w:rPr>
                <w:rFonts w:ascii="Book Antiqua" w:hAnsi="Book Antiqua" w:cs="Arial"/>
              </w:rPr>
              <w:t>The specified amount or percentage of revenues retained by government should be set at a level which approximates closely to actual transactions and implementation costs, plus a small incentive for participation in REDD+.</w:t>
            </w:r>
          </w:p>
        </w:tc>
      </w:tr>
      <w:tr w:rsidR="005870D7" w:rsidRPr="003C0FC0">
        <w:trPr>
          <w:jc w:val="right"/>
        </w:trPr>
        <w:tc>
          <w:tcPr>
            <w:tcW w:w="1010" w:type="pct"/>
            <w:tcBorders>
              <w:top w:val="single" w:sz="8" w:space="0" w:color="FFFFFF"/>
              <w:bottom w:val="nil"/>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tcBorders>
              <w:top w:val="single" w:sz="8" w:space="0" w:color="FFFFFF"/>
              <w:left w:val="single" w:sz="24" w:space="0" w:color="FFFFFF"/>
              <w:bottom w:val="nil"/>
            </w:tcBorders>
            <w:shd w:val="clear" w:color="auto" w:fill="D6E3BC"/>
            <w:vAlign w:val="center"/>
          </w:tcPr>
          <w:p w:rsidR="005870D7" w:rsidRPr="003C0FC0" w:rsidRDefault="005870D7"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As part of its commitment to establishing a world-class payment distribution system, the GoV should indicate that the revenues to be retained by government will be limited to actual implementation and transactions costs, against agreed budgets;</w:t>
            </w:r>
          </w:p>
          <w:p w:rsidR="005870D7" w:rsidRPr="003C0FC0" w:rsidRDefault="005870D7"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The magnitude of these costs, and indicative retention levels, will be determined by further studies to be conducted.</w:t>
            </w:r>
            <w:r w:rsidRPr="003C0FC0">
              <w:rPr>
                <w:rFonts w:ascii="Book Antiqua" w:hAnsi="Book Antiqua" w:cs="Arial"/>
                <w:i/>
                <w:iCs/>
                <w:lang w:val="en-GB"/>
              </w:rPr>
              <w:t xml:space="preserve"> </w:t>
            </w:r>
          </w:p>
        </w:tc>
      </w:tr>
    </w:tbl>
    <w:p w:rsidR="005870D7" w:rsidRPr="003C0FC0" w:rsidRDefault="005870D7" w:rsidP="005870D7">
      <w:pPr>
        <w:spacing w:after="0" w:line="240" w:lineRule="auto"/>
        <w:jc w:val="both"/>
        <w:rPr>
          <w:rFonts w:ascii="Book Antiqua" w:hAnsi="Book Antiqua" w:cs="Arial"/>
          <w:sz w:val="24"/>
          <w:szCs w:val="24"/>
        </w:rPr>
      </w:pPr>
    </w:p>
    <w:tbl>
      <w:tblPr>
        <w:tblW w:w="5000" w:type="pct"/>
        <w:tblBorders>
          <w:insideH w:val="single" w:sz="24" w:space="0" w:color="FFFFFF"/>
          <w:insideV w:val="single" w:sz="24" w:space="0" w:color="FFFFFF"/>
        </w:tblBorders>
        <w:tblLook w:val="00A0"/>
      </w:tblPr>
      <w:tblGrid>
        <w:gridCol w:w="1819"/>
        <w:gridCol w:w="7185"/>
      </w:tblGrid>
      <w:tr w:rsidR="005870D7" w:rsidRPr="003C0FC0">
        <w:trPr>
          <w:tblHeader/>
        </w:trPr>
        <w:tc>
          <w:tcPr>
            <w:tcW w:w="5000" w:type="pct"/>
            <w:gridSpan w:val="2"/>
            <w:tcBorders>
              <w:bottom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bCs/>
                <w:color w:val="FFFFFF"/>
                <w:sz w:val="24"/>
                <w:szCs w:val="24"/>
              </w:rPr>
            </w:pPr>
            <w:r w:rsidRPr="003C0FC0">
              <w:rPr>
                <w:rFonts w:ascii="Book Antiqua" w:hAnsi="Book Antiqua" w:cs="Arial"/>
                <w:b/>
                <w:bCs/>
                <w:color w:val="FFFFFF"/>
                <w:sz w:val="24"/>
                <w:szCs w:val="24"/>
              </w:rPr>
              <w:t>POLICY DECISION 5.2</w:t>
            </w:r>
          </w:p>
          <w:p w:rsidR="005870D7" w:rsidRPr="003C0FC0" w:rsidRDefault="005870D7" w:rsidP="003561C4">
            <w:pPr>
              <w:spacing w:after="0" w:line="240" w:lineRule="auto"/>
              <w:jc w:val="center"/>
              <w:rPr>
                <w:rFonts w:ascii="Book Antiqua" w:hAnsi="Book Antiqua" w:cs="Arial"/>
                <w:b/>
                <w:bCs/>
                <w:color w:val="FFFFFF"/>
                <w:sz w:val="24"/>
                <w:szCs w:val="24"/>
              </w:rPr>
            </w:pPr>
            <w:r w:rsidRPr="003C0FC0">
              <w:rPr>
                <w:rFonts w:ascii="Book Antiqua" w:hAnsi="Book Antiqua" w:cs="Arial"/>
                <w:b/>
                <w:bCs/>
                <w:color w:val="FFFFFF"/>
                <w:sz w:val="24"/>
                <w:szCs w:val="24"/>
              </w:rPr>
              <w:t>Local payment levels</w:t>
            </w:r>
            <w:r>
              <w:rPr>
                <w:rFonts w:ascii="Book Antiqua" w:hAnsi="Book Antiqua" w:cs="Arial"/>
                <w:b/>
                <w:bCs/>
                <w:color w:val="FFFFFF"/>
                <w:sz w:val="24"/>
                <w:szCs w:val="24"/>
              </w:rPr>
              <w:t xml:space="preserve"> and Payment Structuring</w:t>
            </w:r>
          </w:p>
        </w:tc>
      </w:tr>
      <w:tr w:rsidR="005870D7" w:rsidRPr="003C0FC0">
        <w:tc>
          <w:tcPr>
            <w:tcW w:w="1010" w:type="pct"/>
            <w:tcBorders>
              <w:top w:val="single" w:sz="24"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103E2D" w:rsidRDefault="000711A6" w:rsidP="00103E2D">
            <w:pPr>
              <w:spacing w:after="0" w:line="240" w:lineRule="auto"/>
              <w:jc w:val="both"/>
              <w:rPr>
                <w:rFonts w:ascii="Book Antiqua" w:hAnsi="Book Antiqua" w:cs="Arial"/>
              </w:rPr>
            </w:pPr>
            <w:r w:rsidRPr="005B3882">
              <w:rPr>
                <w:rFonts w:ascii="Book Antiqua" w:hAnsi="Book Antiqua" w:cs="Arial"/>
              </w:rPr>
              <w:t>Local-level payments for avoided deforestation</w:t>
            </w:r>
            <w:r>
              <w:rPr>
                <w:rFonts w:ascii="Book Antiqua" w:hAnsi="Book Antiqua" w:cs="Arial"/>
              </w:rPr>
              <w:t xml:space="preserve"> and forest degradation, and for conservation, sustainable forest management and enhancement of carbon stocks,</w:t>
            </w:r>
            <w:r w:rsidRPr="005B3882">
              <w:rPr>
                <w:rFonts w:ascii="Book Antiqua" w:hAnsi="Book Antiqua" w:cs="Arial"/>
              </w:rPr>
              <w:t xml:space="preserve"> </w:t>
            </w:r>
            <w:r w:rsidR="00103E2D" w:rsidRPr="003C0FC0">
              <w:rPr>
                <w:rFonts w:ascii="Book Antiqua" w:hAnsi="Book Antiqua" w:cs="Arial"/>
              </w:rPr>
              <w:t>should both compensate the expenditures and opportunity costs incurred, as well as providing clear incentives to land and resource users. Current procedures for calculating payments for forest conservation and the provision of environmental services in Viet Nam do not reflect the variation in supply costs, or balance the need for monetary and non-monetary incentives.</w:t>
            </w:r>
          </w:p>
          <w:p w:rsidR="00103E2D" w:rsidRDefault="00103E2D" w:rsidP="00103E2D">
            <w:pPr>
              <w:spacing w:after="0" w:line="240" w:lineRule="auto"/>
              <w:jc w:val="both"/>
              <w:rPr>
                <w:rFonts w:ascii="Book Antiqua" w:hAnsi="Book Antiqua" w:cs="Arial"/>
              </w:rPr>
            </w:pPr>
          </w:p>
          <w:p w:rsidR="005870D7" w:rsidRPr="003C0FC0" w:rsidRDefault="00103E2D" w:rsidP="00103E2D">
            <w:pPr>
              <w:spacing w:after="0" w:line="240" w:lineRule="auto"/>
              <w:jc w:val="both"/>
              <w:rPr>
                <w:rFonts w:ascii="Book Antiqua" w:hAnsi="Book Antiqua" w:cs="Arial"/>
              </w:rPr>
            </w:pPr>
            <w:r w:rsidRPr="005B3882">
              <w:rPr>
                <w:rFonts w:ascii="Book Antiqua" w:hAnsi="Book Antiqua" w:cs="Arial"/>
              </w:rPr>
              <w:t xml:space="preserve">Payment structuring can also be designed to meet social goals in parallel with rewarding performance.  This is the intent of the K-factors developed by PFES pilot projects.  As </w:t>
            </w:r>
            <w:r>
              <w:rPr>
                <w:rFonts w:ascii="Book Antiqua" w:hAnsi="Book Antiqua" w:cs="Arial"/>
              </w:rPr>
              <w:t>REDD+</w:t>
            </w:r>
            <w:r w:rsidRPr="005B3882">
              <w:rPr>
                <w:rFonts w:ascii="Book Antiqua" w:hAnsi="Book Antiqua" w:cs="Arial"/>
              </w:rPr>
              <w:t xml:space="preserve"> is expected to address local social and economic needs while rewarding performance in reducing emissions, similar considerations should be incorporated into </w:t>
            </w:r>
            <w:r>
              <w:rPr>
                <w:rFonts w:ascii="Book Antiqua" w:hAnsi="Book Antiqua" w:cs="Arial"/>
              </w:rPr>
              <w:t>REDD+</w:t>
            </w:r>
            <w:r w:rsidRPr="005B3882">
              <w:rPr>
                <w:rFonts w:ascii="Book Antiqua" w:hAnsi="Book Antiqua" w:cs="Arial"/>
              </w:rPr>
              <w:t xml:space="preserve"> payment structuring.  However, </w:t>
            </w:r>
            <w:r>
              <w:rPr>
                <w:rFonts w:ascii="Book Antiqua" w:hAnsi="Book Antiqua" w:cs="Arial"/>
              </w:rPr>
              <w:t>REDD+</w:t>
            </w:r>
            <w:r w:rsidRPr="005B3882">
              <w:rPr>
                <w:rFonts w:ascii="Book Antiqua" w:hAnsi="Book Antiqua" w:cs="Arial"/>
              </w:rPr>
              <w:t xml:space="preserve"> considerations will not be the same as those applicable to PFES as there are additional </w:t>
            </w:r>
            <w:r w:rsidRPr="005B3882">
              <w:rPr>
                <w:rFonts w:ascii="Book Antiqua" w:hAnsi="Book Antiqua" w:cs="Arial"/>
              </w:rPr>
              <w:lastRenderedPageBreak/>
              <w:t>actors influencing the criteria used for payment structuring, notably international investors.</w:t>
            </w:r>
          </w:p>
        </w:tc>
      </w:tr>
      <w:tr w:rsidR="000711A6" w:rsidRPr="003C0FC0">
        <w:tc>
          <w:tcPr>
            <w:tcW w:w="1010" w:type="pct"/>
            <w:tcBorders>
              <w:top w:val="single" w:sz="8" w:space="0" w:color="FFFFFF"/>
              <w:bottom w:val="single" w:sz="8" w:space="0" w:color="FFFFFF"/>
              <w:right w:val="single" w:sz="24" w:space="0" w:color="FFFFFF"/>
            </w:tcBorders>
            <w:shd w:val="clear" w:color="auto" w:fill="C2D69B"/>
            <w:vAlign w:val="center"/>
          </w:tcPr>
          <w:p w:rsidR="000711A6" w:rsidRPr="003C0FC0" w:rsidRDefault="000711A6" w:rsidP="003561C4">
            <w:pPr>
              <w:spacing w:after="0" w:line="240" w:lineRule="auto"/>
              <w:rPr>
                <w:rFonts w:ascii="Book Antiqua" w:hAnsi="Book Antiqua" w:cs="Arial"/>
              </w:rPr>
            </w:pPr>
            <w:r w:rsidRPr="003C0FC0">
              <w:rPr>
                <w:rFonts w:ascii="Book Antiqua" w:hAnsi="Book Antiqua" w:cs="Arial"/>
              </w:rPr>
              <w:lastRenderedPageBreak/>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0711A6" w:rsidRPr="003C0FC0" w:rsidRDefault="000711A6" w:rsidP="0096579B">
            <w:pPr>
              <w:pStyle w:val="ListParagraph"/>
              <w:numPr>
                <w:ilvl w:val="0"/>
                <w:numId w:val="5"/>
              </w:numPr>
              <w:spacing w:after="0" w:line="240" w:lineRule="auto"/>
              <w:ind w:left="251" w:hanging="284"/>
              <w:contextualSpacing w:val="0"/>
              <w:jc w:val="both"/>
              <w:rPr>
                <w:rFonts w:ascii="Book Antiqua" w:hAnsi="Book Antiqua" w:cs="Arial"/>
                <w:lang w:val="en-GB"/>
              </w:rPr>
            </w:pPr>
            <w:r w:rsidRPr="003C0FC0">
              <w:rPr>
                <w:rFonts w:ascii="Book Antiqua" w:hAnsi="Book Antiqua" w:cs="Arial"/>
                <w:lang w:val="en-GB"/>
              </w:rPr>
              <w:t>Apply standardized cost norms; or</w:t>
            </w:r>
          </w:p>
          <w:p w:rsidR="000711A6" w:rsidRPr="003C0FC0" w:rsidRDefault="000711A6" w:rsidP="0096579B">
            <w:pPr>
              <w:pStyle w:val="ListParagraph"/>
              <w:numPr>
                <w:ilvl w:val="0"/>
                <w:numId w:val="5"/>
              </w:numPr>
              <w:spacing w:after="0" w:line="240" w:lineRule="auto"/>
              <w:ind w:left="251" w:hanging="284"/>
              <w:contextualSpacing w:val="0"/>
              <w:jc w:val="both"/>
              <w:rPr>
                <w:rFonts w:ascii="Book Antiqua" w:hAnsi="Book Antiqua" w:cs="Arial"/>
                <w:lang w:val="en-GB"/>
              </w:rPr>
            </w:pPr>
            <w:r w:rsidRPr="003C0FC0">
              <w:rPr>
                <w:rFonts w:ascii="Book Antiqua" w:hAnsi="Book Antiqua" w:cs="Arial"/>
                <w:lang w:val="en-GB"/>
              </w:rPr>
              <w:t xml:space="preserve">Base payments on costs incurred </w:t>
            </w:r>
            <w:r>
              <w:rPr>
                <w:rFonts w:ascii="Book Antiqua" w:hAnsi="Book Antiqua" w:cs="Arial"/>
                <w:lang w:val="en-GB"/>
              </w:rPr>
              <w:t xml:space="preserve">and amount of emissions reduced. </w:t>
            </w:r>
            <w:r w:rsidRPr="003C0FC0">
              <w:rPr>
                <w:rFonts w:ascii="Book Antiqua" w:hAnsi="Book Antiqua" w:cs="Arial"/>
                <w:i/>
                <w:iCs/>
                <w:lang w:val="en-GB"/>
              </w:rPr>
              <w:t>and</w:t>
            </w:r>
          </w:p>
          <w:p w:rsidR="000711A6" w:rsidRPr="003C0FC0" w:rsidRDefault="000711A6" w:rsidP="0096579B">
            <w:pPr>
              <w:pStyle w:val="ListParagraph"/>
              <w:numPr>
                <w:ilvl w:val="0"/>
                <w:numId w:val="8"/>
              </w:numPr>
              <w:spacing w:after="0" w:line="240" w:lineRule="auto"/>
              <w:ind w:left="251" w:hanging="284"/>
              <w:contextualSpacing w:val="0"/>
              <w:jc w:val="both"/>
              <w:rPr>
                <w:rFonts w:ascii="Book Antiqua" w:hAnsi="Book Antiqua" w:cs="Arial"/>
                <w:lang w:val="en-GB"/>
              </w:rPr>
            </w:pPr>
            <w:r w:rsidRPr="003C0FC0">
              <w:rPr>
                <w:rFonts w:ascii="Book Antiqua" w:hAnsi="Book Antiqua" w:cs="Arial"/>
                <w:lang w:val="en-GB"/>
              </w:rPr>
              <w:t>Make cash payments only; or</w:t>
            </w:r>
          </w:p>
          <w:p w:rsidR="000711A6" w:rsidRPr="003C0FC0" w:rsidRDefault="000711A6" w:rsidP="008227FD">
            <w:pPr>
              <w:pStyle w:val="ListParagraph"/>
              <w:numPr>
                <w:ilvl w:val="0"/>
                <w:numId w:val="132"/>
              </w:numPr>
              <w:spacing w:after="0" w:line="240" w:lineRule="auto"/>
              <w:ind w:left="251" w:hanging="270"/>
              <w:contextualSpacing w:val="0"/>
              <w:jc w:val="both"/>
              <w:rPr>
                <w:rFonts w:ascii="Book Antiqua" w:hAnsi="Book Antiqua" w:cs="Arial"/>
                <w:lang w:val="en-GB"/>
              </w:rPr>
            </w:pPr>
            <w:r w:rsidRPr="003C0FC0">
              <w:rPr>
                <w:rFonts w:ascii="Book Antiqua" w:hAnsi="Book Antiqua" w:cs="Arial"/>
                <w:lang w:val="en-GB"/>
              </w:rPr>
              <w:t>Combine cash payments and non-monetary benefits.</w:t>
            </w:r>
          </w:p>
        </w:tc>
      </w:tr>
      <w:tr w:rsidR="000711A6" w:rsidRPr="003C0FC0">
        <w:tc>
          <w:tcPr>
            <w:tcW w:w="1010" w:type="pct"/>
            <w:tcBorders>
              <w:top w:val="single" w:sz="8" w:space="0" w:color="FFFFFF"/>
              <w:bottom w:val="single" w:sz="8" w:space="0" w:color="FFFFFF"/>
              <w:right w:val="single" w:sz="24" w:space="0" w:color="FFFFFF"/>
            </w:tcBorders>
            <w:shd w:val="clear" w:color="auto" w:fill="C2D69B"/>
            <w:vAlign w:val="center"/>
          </w:tcPr>
          <w:p w:rsidR="000711A6" w:rsidRPr="003C0FC0" w:rsidRDefault="000711A6"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0711A6" w:rsidRPr="003C0FC0" w:rsidRDefault="000711A6" w:rsidP="003561C4">
            <w:pPr>
              <w:spacing w:after="0" w:line="240" w:lineRule="auto"/>
              <w:jc w:val="both"/>
              <w:rPr>
                <w:rFonts w:ascii="Book Antiqua" w:hAnsi="Book Antiqua" w:cs="Arial"/>
              </w:rPr>
            </w:pPr>
            <w:r w:rsidRPr="003C0FC0">
              <w:rPr>
                <w:rFonts w:ascii="Book Antiqua" w:hAnsi="Book Antiqua" w:cs="Arial"/>
              </w:rPr>
              <w:t>The level and nature of benefits provided should reflect opportunity costs and losses incurred in avoiding deforestation</w:t>
            </w:r>
            <w:r>
              <w:rPr>
                <w:rFonts w:ascii="Book Antiqua" w:hAnsi="Book Antiqua" w:cs="Arial"/>
              </w:rPr>
              <w:t xml:space="preserve"> and forest degradation, and for conservation, sustainable forest management and enhancement of carbon stocks</w:t>
            </w:r>
            <w:r w:rsidRPr="003C0FC0">
              <w:rPr>
                <w:rFonts w:ascii="Book Antiqua" w:hAnsi="Book Antiqua" w:cs="Arial"/>
              </w:rPr>
              <w:t>, both monetary and non-monetary; although it may be most practical to use a standardised formula to compute payments, this should allow for weighting to reflect variation in the costs of generating emissions reductions between different areas and groups and under different production systems and ecological conditions.</w:t>
            </w:r>
          </w:p>
        </w:tc>
      </w:tr>
      <w:tr w:rsidR="005870D7" w:rsidRPr="003C0FC0">
        <w:tc>
          <w:tcPr>
            <w:tcW w:w="1010" w:type="pct"/>
            <w:tcBorders>
              <w:top w:val="single" w:sz="8" w:space="0" w:color="FFFFFF"/>
              <w:bottom w:val="nil"/>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tcBorders>
              <w:top w:val="single" w:sz="8" w:space="0" w:color="FFFFFF"/>
              <w:left w:val="single" w:sz="24" w:space="0" w:color="FFFFFF"/>
              <w:bottom w:val="nil"/>
            </w:tcBorders>
            <w:shd w:val="clear" w:color="auto" w:fill="D6E3BC"/>
            <w:vAlign w:val="center"/>
          </w:tcPr>
          <w:p w:rsidR="005870D7" w:rsidRPr="003C0FC0" w:rsidRDefault="005870D7"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Consistent with its stated goals of compensating for the provision of environmental services and stimulating sustainable</w:t>
            </w:r>
            <w:r w:rsidRPr="003C0FC0">
              <w:rPr>
                <w:rFonts w:ascii="Book Antiqua" w:hAnsi="Book Antiqua" w:cs="Arial"/>
                <w:i/>
                <w:iCs/>
                <w:lang w:val="en-GB"/>
              </w:rPr>
              <w:t xml:space="preserve"> </w:t>
            </w:r>
            <w:r w:rsidRPr="003C0FC0">
              <w:rPr>
                <w:rFonts w:ascii="Book Antiqua" w:hAnsi="Book Antiqua" w:cs="Arial"/>
                <w:lang w:val="en-GB"/>
              </w:rPr>
              <w:t>rural development, the GoV should reiterate its intention to ensure that REDD+ benefits shared with forest land and resource users will be set at equitable and effective levels.</w:t>
            </w:r>
          </w:p>
          <w:p w:rsidR="005870D7" w:rsidRPr="003C0FC0" w:rsidRDefault="005870D7"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Further work will require broad opportunity cost norms to be investigated for different areas, groups, production systems and ecological conditions;</w:t>
            </w:r>
          </w:p>
          <w:p w:rsidR="005870D7" w:rsidRPr="003C0FC0" w:rsidRDefault="005870D7"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Further work will include design of checks and balances and</w:t>
            </w:r>
            <w:r w:rsidRPr="003C0FC0">
              <w:rPr>
                <w:rFonts w:ascii="Book Antiqua" w:hAnsi="Book Antiqua" w:cs="Arial"/>
                <w:i/>
                <w:iCs/>
                <w:lang w:val="en-GB"/>
              </w:rPr>
              <w:t xml:space="preserve"> </w:t>
            </w:r>
            <w:r w:rsidRPr="003C0FC0">
              <w:rPr>
                <w:rFonts w:ascii="Book Antiqua" w:hAnsi="Book Antiqua" w:cs="Arial"/>
                <w:lang w:val="en-GB"/>
              </w:rPr>
              <w:t>guidance on calculation of payment weights (</w:t>
            </w:r>
            <w:r>
              <w:rPr>
                <w:rFonts w:ascii="Book Antiqua" w:hAnsi="Book Antiqua" w:cs="Arial"/>
                <w:lang w:val="en-GB"/>
              </w:rPr>
              <w:t xml:space="preserve">“R-Coefficients”, </w:t>
            </w:r>
            <w:r w:rsidRPr="003C0FC0">
              <w:rPr>
                <w:rFonts w:ascii="Book Antiqua" w:hAnsi="Book Antiqua" w:cs="Arial"/>
                <w:lang w:val="en-GB"/>
              </w:rPr>
              <w:t xml:space="preserve">similar to the “K-factors” used in current </w:t>
            </w:r>
            <w:r>
              <w:rPr>
                <w:rFonts w:ascii="Book Antiqua" w:hAnsi="Book Antiqua" w:cs="Arial"/>
                <w:lang w:val="en-GB"/>
              </w:rPr>
              <w:t>PFES</w:t>
            </w:r>
            <w:r w:rsidRPr="003C0FC0">
              <w:rPr>
                <w:rFonts w:ascii="Book Antiqua" w:hAnsi="Book Antiqua" w:cs="Arial"/>
                <w:lang w:val="en-GB"/>
              </w:rPr>
              <w:t xml:space="preserve"> schemes).</w:t>
            </w:r>
          </w:p>
        </w:tc>
      </w:tr>
    </w:tbl>
    <w:p w:rsidR="005870D7" w:rsidRPr="003C0FC0" w:rsidRDefault="005870D7" w:rsidP="005870D7">
      <w:pPr>
        <w:spacing w:after="0" w:line="240" w:lineRule="auto"/>
        <w:jc w:val="both"/>
        <w:rPr>
          <w:rFonts w:ascii="Book Antiqua" w:hAnsi="Book Antiqua" w:cs="Arial"/>
          <w:sz w:val="24"/>
          <w:szCs w:val="24"/>
        </w:rPr>
      </w:pPr>
    </w:p>
    <w:tbl>
      <w:tblPr>
        <w:tblW w:w="5000" w:type="pct"/>
        <w:jc w:val="right"/>
        <w:tblBorders>
          <w:insideH w:val="single" w:sz="24" w:space="0" w:color="FFFFFF"/>
          <w:insideV w:val="single" w:sz="24" w:space="0" w:color="FFFFFF"/>
        </w:tblBorders>
        <w:tblLook w:val="00A0"/>
      </w:tblPr>
      <w:tblGrid>
        <w:gridCol w:w="1819"/>
        <w:gridCol w:w="7185"/>
      </w:tblGrid>
      <w:tr w:rsidR="005870D7" w:rsidRPr="003C0FC0">
        <w:trPr>
          <w:tblHeader/>
          <w:jc w:val="right"/>
        </w:trPr>
        <w:tc>
          <w:tcPr>
            <w:tcW w:w="5000" w:type="pct"/>
            <w:gridSpan w:val="2"/>
            <w:tcBorders>
              <w:bottom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bCs/>
                <w:color w:val="FFFFFF"/>
                <w:sz w:val="24"/>
                <w:szCs w:val="24"/>
              </w:rPr>
            </w:pPr>
            <w:r w:rsidRPr="003C0FC0">
              <w:rPr>
                <w:rFonts w:ascii="Book Antiqua" w:hAnsi="Book Antiqua" w:cs="Arial"/>
                <w:b/>
                <w:bCs/>
                <w:color w:val="FFFFFF"/>
                <w:sz w:val="24"/>
                <w:szCs w:val="24"/>
              </w:rPr>
              <w:t>POLICY DECISION 5.3</w:t>
            </w:r>
          </w:p>
          <w:p w:rsidR="005870D7" w:rsidRPr="003C0FC0" w:rsidRDefault="005870D7" w:rsidP="003561C4">
            <w:pPr>
              <w:spacing w:after="0" w:line="240" w:lineRule="auto"/>
              <w:jc w:val="center"/>
              <w:rPr>
                <w:rFonts w:ascii="Book Antiqua" w:hAnsi="Book Antiqua" w:cs="Arial"/>
                <w:b/>
                <w:bCs/>
                <w:color w:val="FFFFFF"/>
                <w:sz w:val="24"/>
                <w:szCs w:val="24"/>
              </w:rPr>
            </w:pPr>
            <w:r w:rsidRPr="003C0FC0">
              <w:rPr>
                <w:rFonts w:ascii="Book Antiqua" w:hAnsi="Book Antiqua" w:cs="Arial"/>
                <w:b/>
                <w:bCs/>
                <w:color w:val="FFFFFF"/>
                <w:sz w:val="24"/>
                <w:szCs w:val="24"/>
              </w:rPr>
              <w:t>Admissible costs and activities</w:t>
            </w:r>
          </w:p>
        </w:tc>
      </w:tr>
      <w:tr w:rsidR="005870D7" w:rsidRPr="003C0FC0">
        <w:trPr>
          <w:jc w:val="right"/>
        </w:trPr>
        <w:tc>
          <w:tcPr>
            <w:tcW w:w="1010" w:type="pct"/>
            <w:tcBorders>
              <w:top w:val="single" w:sz="24"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The distribution of REDD+ benefits will be closely linked to actual performance – at national and sub-national levels. Reducing deforestation in a REDD-compliant manner requires that funding is spent on the specific actions and processes which are required to achieve these outcomes, unlike the broader conservation goals and less-defined targets that are associated with existing national-level environmental funds in Viet Nam. There is a need to balance a practical approach to budgeting and financial monitoring with the necessity of ensuring that REDD+ funds are spent on their intended purpose.</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9639CF" w:rsidRDefault="005870D7" w:rsidP="008227FD">
            <w:pPr>
              <w:pStyle w:val="ListParagraph"/>
              <w:numPr>
                <w:ilvl w:val="0"/>
                <w:numId w:val="133"/>
              </w:numPr>
              <w:spacing w:after="0" w:line="240" w:lineRule="auto"/>
              <w:ind w:left="251" w:hanging="270"/>
              <w:jc w:val="both"/>
              <w:rPr>
                <w:rFonts w:ascii="Book Antiqua" w:hAnsi="Book Antiqua" w:cs="Arial"/>
              </w:rPr>
            </w:pPr>
            <w:r w:rsidRPr="009639CF">
              <w:rPr>
                <w:rFonts w:ascii="Book Antiqua" w:hAnsi="Book Antiqua" w:cs="Arial"/>
              </w:rPr>
              <w:t>Release funds solely against performance targets; or</w:t>
            </w:r>
          </w:p>
          <w:p w:rsidR="005870D7" w:rsidRPr="009639CF" w:rsidRDefault="005870D7" w:rsidP="008227FD">
            <w:pPr>
              <w:pStyle w:val="ListParagraph"/>
              <w:numPr>
                <w:ilvl w:val="0"/>
                <w:numId w:val="133"/>
              </w:numPr>
              <w:spacing w:after="0" w:line="240" w:lineRule="auto"/>
              <w:ind w:left="251" w:hanging="270"/>
              <w:jc w:val="both"/>
              <w:rPr>
                <w:rFonts w:ascii="Book Antiqua" w:hAnsi="Book Antiqua" w:cs="Arial"/>
              </w:rPr>
            </w:pPr>
            <w:r w:rsidRPr="009639CF">
              <w:rPr>
                <w:rFonts w:ascii="Book Antiqua" w:hAnsi="Book Antiqua" w:cs="Arial"/>
              </w:rPr>
              <w:t>Specify admissible costs and activities.</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A broad list of admissible costs and activities to be funded through REDD+ payments should be formulated, which will form the basis of the REDD+ budgets that will be prepared and submitted for approval at the sub-national level. There should be close monitoring of expenditures against these agreed budgets, as well as against the delivery of emissions reductions targets. A different set of metrics will </w:t>
            </w:r>
            <w:r w:rsidRPr="003C0FC0">
              <w:rPr>
                <w:rFonts w:ascii="Book Antiqua" w:hAnsi="Book Antiqua" w:cs="Arial"/>
              </w:rPr>
              <w:lastRenderedPageBreak/>
              <w:t>however be applied at the local level, although these will include the provision of broad development incentives as admissible expenditures.</w:t>
            </w:r>
          </w:p>
        </w:tc>
      </w:tr>
      <w:tr w:rsidR="005870D7" w:rsidRPr="003C0FC0">
        <w:trPr>
          <w:jc w:val="right"/>
        </w:trPr>
        <w:tc>
          <w:tcPr>
            <w:tcW w:w="1010" w:type="pct"/>
            <w:tcBorders>
              <w:top w:val="single" w:sz="8" w:space="0" w:color="FFFFFF"/>
              <w:bottom w:val="nil"/>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lastRenderedPageBreak/>
              <w:t>Actions required to confirm policy option</w:t>
            </w:r>
          </w:p>
        </w:tc>
        <w:tc>
          <w:tcPr>
            <w:tcW w:w="3990" w:type="pct"/>
            <w:tcBorders>
              <w:top w:val="single" w:sz="8" w:space="0" w:color="FFFFFF"/>
              <w:left w:val="single" w:sz="24" w:space="0" w:color="FFFFFF"/>
              <w:bottom w:val="nil"/>
            </w:tcBorders>
            <w:shd w:val="clear" w:color="auto" w:fill="D6E3BC"/>
            <w:vAlign w:val="center"/>
          </w:tcPr>
          <w:p w:rsidR="005870D7" w:rsidRPr="003C0FC0" w:rsidRDefault="005870D7"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In the interests of ensuring that BDSs are both transparent and effective in delivering REDD-compliant emissions reductions, the GoV should make it clear to beneficiaries that there will be certain principles established for the use and spending of REDD+ payments.</w:t>
            </w:r>
          </w:p>
          <w:p w:rsidR="005870D7" w:rsidRPr="003C0FC0" w:rsidRDefault="005870D7"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Further work will require a list of admissible REDD+ costs and activities to be prepared, and agreed by stakeholders.</w:t>
            </w:r>
          </w:p>
        </w:tc>
      </w:tr>
    </w:tbl>
    <w:p w:rsidR="005870D7" w:rsidRPr="003C0FC0" w:rsidRDefault="005870D7" w:rsidP="005870D7">
      <w:pPr>
        <w:spacing w:after="0" w:line="240" w:lineRule="auto"/>
        <w:rPr>
          <w:rFonts w:ascii="Book Antiqua" w:hAnsi="Book Antiqua" w:cs="Arial"/>
          <w:sz w:val="24"/>
          <w:szCs w:val="24"/>
        </w:rPr>
      </w:pPr>
    </w:p>
    <w:tbl>
      <w:tblPr>
        <w:tblW w:w="5000" w:type="pct"/>
        <w:jc w:val="right"/>
        <w:tblBorders>
          <w:insideH w:val="single" w:sz="24" w:space="0" w:color="FFFFFF"/>
          <w:insideV w:val="single" w:sz="24" w:space="0" w:color="FFFFFF"/>
        </w:tblBorders>
        <w:tblLook w:val="00A0"/>
      </w:tblPr>
      <w:tblGrid>
        <w:gridCol w:w="1819"/>
        <w:gridCol w:w="7185"/>
      </w:tblGrid>
      <w:tr w:rsidR="005870D7" w:rsidRPr="003C0FC0">
        <w:trPr>
          <w:tblHeader/>
          <w:jc w:val="right"/>
        </w:trPr>
        <w:tc>
          <w:tcPr>
            <w:tcW w:w="5000" w:type="pct"/>
            <w:gridSpan w:val="2"/>
            <w:tcBorders>
              <w:bottom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bCs/>
                <w:color w:val="FFFFFF"/>
                <w:sz w:val="24"/>
                <w:szCs w:val="24"/>
              </w:rPr>
            </w:pPr>
            <w:r w:rsidRPr="003C0FC0">
              <w:rPr>
                <w:rFonts w:ascii="Book Antiqua" w:hAnsi="Book Antiqua" w:cs="Arial"/>
                <w:b/>
                <w:bCs/>
                <w:color w:val="FFFFFF"/>
                <w:sz w:val="24"/>
                <w:szCs w:val="24"/>
              </w:rPr>
              <w:t>POLICY DECISION 5.4</w:t>
            </w:r>
          </w:p>
          <w:p w:rsidR="005870D7" w:rsidRPr="003C0FC0" w:rsidRDefault="005870D7" w:rsidP="003561C4">
            <w:pPr>
              <w:spacing w:after="0" w:line="240" w:lineRule="auto"/>
              <w:jc w:val="center"/>
              <w:rPr>
                <w:rFonts w:ascii="Book Antiqua" w:hAnsi="Book Antiqua" w:cs="Arial"/>
                <w:b/>
                <w:bCs/>
                <w:color w:val="FFFFFF"/>
                <w:sz w:val="24"/>
                <w:szCs w:val="24"/>
              </w:rPr>
            </w:pPr>
            <w:r w:rsidRPr="003C0FC0">
              <w:rPr>
                <w:rFonts w:ascii="Book Antiqua" w:hAnsi="Book Antiqua" w:cs="Arial"/>
                <w:b/>
                <w:bCs/>
                <w:color w:val="FFFFFF"/>
                <w:sz w:val="24"/>
                <w:szCs w:val="24"/>
              </w:rPr>
              <w:t>Timing of fund disbursement</w:t>
            </w:r>
          </w:p>
        </w:tc>
      </w:tr>
      <w:tr w:rsidR="005870D7" w:rsidRPr="003C0FC0">
        <w:trPr>
          <w:jc w:val="right"/>
        </w:trPr>
        <w:tc>
          <w:tcPr>
            <w:tcW w:w="1010" w:type="pct"/>
            <w:tcBorders>
              <w:top w:val="single" w:sz="24"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Although it seems probable that global REDD+ payments to Viet Nam will be made </w:t>
            </w:r>
            <w:r w:rsidRPr="003C0FC0">
              <w:rPr>
                <w:rFonts w:ascii="Book Antiqua" w:hAnsi="Book Antiqua" w:cs="Arial"/>
                <w:i/>
                <w:iCs/>
              </w:rPr>
              <w:t>ex post</w:t>
            </w:r>
            <w:r w:rsidRPr="003C0FC0">
              <w:rPr>
                <w:rFonts w:ascii="Book Antiqua" w:hAnsi="Book Antiqua" w:cs="Arial"/>
              </w:rPr>
              <w:t xml:space="preserve"> or “on delivery”, the costs of undertaking actions to reduce deforestation will start to be incurred well before this. There is a need for </w:t>
            </w:r>
            <w:r w:rsidRPr="003C0FC0">
              <w:rPr>
                <w:rFonts w:ascii="Book Antiqua" w:hAnsi="Book Antiqua" w:cs="Arial"/>
                <w:i/>
                <w:iCs/>
              </w:rPr>
              <w:t>a priori</w:t>
            </w:r>
            <w:r w:rsidRPr="003C0FC0">
              <w:rPr>
                <w:rFonts w:ascii="Book Antiqua" w:hAnsi="Book Antiqua" w:cs="Arial"/>
              </w:rPr>
              <w:t xml:space="preserve"> funding, especially to cover start-up costs and to foster stakeholder buy-in. Many participants will not be in a position to pre-finance the upfront costs of REDD+ actions or to bear the risks of delayed payment delivery.</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9639CF" w:rsidRDefault="005870D7" w:rsidP="008227FD">
            <w:pPr>
              <w:pStyle w:val="ListParagraph"/>
              <w:numPr>
                <w:ilvl w:val="0"/>
                <w:numId w:val="134"/>
              </w:numPr>
              <w:spacing w:after="0" w:line="240" w:lineRule="auto"/>
              <w:ind w:left="251" w:hanging="270"/>
              <w:jc w:val="both"/>
              <w:rPr>
                <w:rFonts w:ascii="Book Antiqua" w:hAnsi="Book Antiqua" w:cs="Arial"/>
              </w:rPr>
            </w:pPr>
            <w:r w:rsidRPr="009639CF">
              <w:rPr>
                <w:rFonts w:ascii="Book Antiqua" w:hAnsi="Book Antiqua" w:cs="Arial"/>
              </w:rPr>
              <w:t>Release funds ex-post: after delivery of agreed activities; or</w:t>
            </w:r>
          </w:p>
          <w:p w:rsidR="005870D7" w:rsidRPr="009639CF" w:rsidRDefault="005870D7" w:rsidP="008227FD">
            <w:pPr>
              <w:pStyle w:val="ListParagraph"/>
              <w:numPr>
                <w:ilvl w:val="0"/>
                <w:numId w:val="134"/>
              </w:numPr>
              <w:spacing w:after="0" w:line="240" w:lineRule="auto"/>
              <w:ind w:left="251" w:hanging="270"/>
              <w:jc w:val="both"/>
              <w:rPr>
                <w:rFonts w:ascii="Book Antiqua" w:hAnsi="Book Antiqua" w:cs="Arial"/>
              </w:rPr>
            </w:pPr>
            <w:r w:rsidRPr="009639CF">
              <w:rPr>
                <w:rFonts w:ascii="Book Antiqua" w:hAnsi="Book Antiqua" w:cs="Arial"/>
              </w:rPr>
              <w:t>Make a phased release of funds from initiation onwards.</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The timing and frequency of REDD+ payments made within Viet Nam should be phased to start when actions to reduce deforestation are first initiated, and subsequently disbursed on a regular basis so as to match the timing of costs incurred and to provide a regular flow of benefits to participants. Supplementary funding, from either domestic or international sources, should be sourced to provide this pre-finance.</w:t>
            </w:r>
          </w:p>
        </w:tc>
      </w:tr>
      <w:tr w:rsidR="005870D7" w:rsidRPr="003C0FC0">
        <w:trPr>
          <w:jc w:val="right"/>
        </w:trPr>
        <w:tc>
          <w:tcPr>
            <w:tcW w:w="1010" w:type="pct"/>
            <w:tcBorders>
              <w:top w:val="single" w:sz="8" w:space="0" w:color="FFFFFF"/>
              <w:bottom w:val="nil"/>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tcBorders>
              <w:top w:val="single" w:sz="8" w:space="0" w:color="FFFFFF"/>
              <w:left w:val="single" w:sz="24" w:space="0" w:color="FFFFFF"/>
              <w:bottom w:val="nil"/>
            </w:tcBorders>
            <w:shd w:val="clear" w:color="auto" w:fill="D6E3BC"/>
            <w:vAlign w:val="center"/>
          </w:tcPr>
          <w:p w:rsidR="005870D7" w:rsidRPr="003C0FC0" w:rsidRDefault="005870D7"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With a view to shifting the burden of responsibility for pre-financing and bearing the risks of investing in avoided deforestation, the GoV should announce its intention to secure adequate funds to ensure that</w:t>
            </w:r>
            <w:r w:rsidRPr="003C0FC0">
              <w:rPr>
                <w:rFonts w:ascii="Book Antiqua" w:hAnsi="Book Antiqua" w:cs="Arial"/>
                <w:i/>
                <w:iCs/>
                <w:lang w:val="en-GB"/>
              </w:rPr>
              <w:t xml:space="preserve"> </w:t>
            </w:r>
            <w:r w:rsidRPr="003C0FC0">
              <w:rPr>
                <w:rFonts w:ascii="Book Antiqua" w:hAnsi="Book Antiqua" w:cs="Arial"/>
                <w:lang w:val="en-GB"/>
              </w:rPr>
              <w:t>the distribution of REDD+ payments to participants will begin at the time they commence activities, and will be transferred on a regular basis thereafter.</w:t>
            </w:r>
          </w:p>
          <w:p w:rsidR="005870D7" w:rsidRPr="003C0FC0" w:rsidRDefault="005870D7" w:rsidP="003561C4">
            <w:pPr>
              <w:pStyle w:val="ListParagraph"/>
              <w:numPr>
                <w:ilvl w:val="0"/>
                <w:numId w:val="4"/>
              </w:numPr>
              <w:spacing w:after="0" w:line="240" w:lineRule="auto"/>
              <w:ind w:left="161" w:hanging="194"/>
              <w:contextualSpacing w:val="0"/>
              <w:jc w:val="both"/>
              <w:rPr>
                <w:rFonts w:ascii="Book Antiqua" w:hAnsi="Book Antiqua" w:cs="Arial"/>
                <w:lang w:val="en-GB"/>
              </w:rPr>
            </w:pPr>
            <w:r w:rsidRPr="003C0FC0">
              <w:rPr>
                <w:rFonts w:ascii="Book Antiqua" w:hAnsi="Book Antiqua" w:cs="Arial"/>
                <w:lang w:val="en-GB"/>
              </w:rPr>
              <w:t>Further work will require that indicative projections of required REDD+ cashflows over time are prepared, and initial discussions are held between the GoV and international donors about possible sources of funds to pre-finance payment distribution.</w:t>
            </w:r>
          </w:p>
        </w:tc>
      </w:tr>
    </w:tbl>
    <w:p w:rsidR="005870D7" w:rsidRPr="003C0FC0" w:rsidRDefault="005870D7" w:rsidP="005870D7">
      <w:pPr>
        <w:spacing w:after="0" w:line="240" w:lineRule="auto"/>
        <w:rPr>
          <w:rFonts w:ascii="Book Antiqua" w:eastAsia="Times New Roman" w:hAnsi="Book Antiqua" w:cs="Arial"/>
          <w:bCs/>
          <w:color w:val="1F497D"/>
          <w:sz w:val="24"/>
          <w:szCs w:val="24"/>
        </w:rPr>
      </w:pPr>
    </w:p>
    <w:p w:rsidR="005870D7" w:rsidRPr="003C0FC0" w:rsidRDefault="005870D7" w:rsidP="005870D7">
      <w:pPr>
        <w:spacing w:after="0" w:line="240" w:lineRule="auto"/>
        <w:jc w:val="both"/>
        <w:rPr>
          <w:rFonts w:ascii="Book Antiqua" w:hAnsi="Book Antiqua" w:cs="Arial"/>
        </w:rPr>
      </w:pPr>
    </w:p>
    <w:tbl>
      <w:tblPr>
        <w:tblW w:w="5000" w:type="pct"/>
        <w:jc w:val="right"/>
        <w:tblBorders>
          <w:insideH w:val="single" w:sz="24" w:space="0" w:color="FFFFFF"/>
          <w:insideV w:val="single" w:sz="24" w:space="0" w:color="FFFFFF"/>
        </w:tblBorders>
        <w:tblLook w:val="04A0"/>
      </w:tblPr>
      <w:tblGrid>
        <w:gridCol w:w="1819"/>
        <w:gridCol w:w="7185"/>
      </w:tblGrid>
      <w:tr w:rsidR="005870D7" w:rsidRPr="003C0FC0">
        <w:trPr>
          <w:tblHeader/>
          <w:jc w:val="right"/>
        </w:trPr>
        <w:tc>
          <w:tcPr>
            <w:tcW w:w="5000" w:type="pct"/>
            <w:gridSpan w:val="2"/>
            <w:tcBorders>
              <w:top w:val="single" w:sz="24" w:space="0" w:color="FFFFFF"/>
              <w:bottom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POLICY DECISION 6.</w:t>
            </w:r>
            <w:r>
              <w:rPr>
                <w:rFonts w:ascii="Book Antiqua" w:hAnsi="Book Antiqua" w:cs="Arial"/>
                <w:b/>
                <w:color w:val="FFFFFF"/>
                <w:sz w:val="24"/>
                <w:szCs w:val="24"/>
              </w:rPr>
              <w:t>1</w:t>
            </w:r>
          </w:p>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 xml:space="preserve">Balancing performance-based payments </w:t>
            </w:r>
            <w:r w:rsidRPr="003C0FC0">
              <w:rPr>
                <w:rFonts w:ascii="Book Antiqua" w:hAnsi="Book Antiqua" w:cs="Arial"/>
                <w:b/>
                <w:i/>
                <w:color w:val="FFFFFF"/>
                <w:sz w:val="24"/>
                <w:szCs w:val="24"/>
              </w:rPr>
              <w:t>ex post</w:t>
            </w:r>
            <w:r w:rsidRPr="003C0FC0">
              <w:rPr>
                <w:rFonts w:ascii="Book Antiqua" w:hAnsi="Book Antiqua" w:cs="Arial"/>
                <w:b/>
                <w:color w:val="FFFFFF"/>
                <w:sz w:val="24"/>
                <w:szCs w:val="24"/>
              </w:rPr>
              <w:t xml:space="preserve"> with the provision of upfront resources and incentives</w:t>
            </w:r>
          </w:p>
        </w:tc>
      </w:tr>
      <w:tr w:rsidR="005870D7" w:rsidRPr="003C0FC0">
        <w:trPr>
          <w:jc w:val="right"/>
        </w:trPr>
        <w:tc>
          <w:tcPr>
            <w:tcW w:w="1010" w:type="pct"/>
            <w:tcBorders>
              <w:top w:val="single" w:sz="24" w:space="0" w:color="FFFFFF"/>
              <w:bottom w:val="single" w:sz="8"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Viet Nam will receive international carbon finance on the basis of actual performance, that is, after the performance has been measured and verified.  Performance measurement and verification is unlikely to take place on an annual basis and perhaps every five years only.  Yet forest managers require upfront incentives and resources to engage in carbon-enhancing forest management.</w:t>
            </w:r>
          </w:p>
        </w:tc>
      </w:tr>
      <w:tr w:rsidR="005870D7" w:rsidRPr="003C0FC0">
        <w:trPr>
          <w:jc w:val="right"/>
        </w:trPr>
        <w:tc>
          <w:tcPr>
            <w:tcW w:w="1010" w:type="pct"/>
            <w:tcBorders>
              <w:top w:val="single" w:sz="8" w:space="0" w:color="FFFFFF"/>
              <w:bottom w:val="single" w:sz="8"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lastRenderedPageBreak/>
              <w:t>Options</w:t>
            </w:r>
          </w:p>
        </w:tc>
        <w:tc>
          <w:tcPr>
            <w:tcW w:w="3990" w:type="pct"/>
            <w:tcBorders>
              <w:top w:val="single" w:sz="8" w:space="0" w:color="FFFFFF"/>
              <w:bottom w:val="single" w:sz="8" w:space="0" w:color="FFFFFF"/>
            </w:tcBorders>
            <w:shd w:val="clear" w:color="auto" w:fill="D6E3BC"/>
            <w:vAlign w:val="center"/>
          </w:tcPr>
          <w:p w:rsidR="005870D7" w:rsidRPr="009639CF" w:rsidRDefault="005870D7" w:rsidP="008227FD">
            <w:pPr>
              <w:pStyle w:val="ListParagraph"/>
              <w:numPr>
                <w:ilvl w:val="0"/>
                <w:numId w:val="135"/>
              </w:numPr>
              <w:spacing w:after="0" w:line="240" w:lineRule="auto"/>
              <w:ind w:left="251" w:hanging="270"/>
              <w:jc w:val="both"/>
              <w:rPr>
                <w:rFonts w:ascii="Book Antiqua" w:hAnsi="Book Antiqua" w:cs="Arial"/>
              </w:rPr>
            </w:pPr>
            <w:r w:rsidRPr="009639CF">
              <w:rPr>
                <w:rFonts w:ascii="Book Antiqua" w:hAnsi="Book Antiqua" w:cs="Arial"/>
              </w:rPr>
              <w:t xml:space="preserve">GoV makes all REDD+ payments to recipients </w:t>
            </w:r>
            <w:r w:rsidRPr="009639CF">
              <w:rPr>
                <w:rFonts w:ascii="Book Antiqua" w:hAnsi="Book Antiqua" w:cs="Arial"/>
                <w:i/>
              </w:rPr>
              <w:t>ex post</w:t>
            </w:r>
            <w:r w:rsidRPr="009639CF">
              <w:rPr>
                <w:rFonts w:ascii="Book Antiqua" w:hAnsi="Book Antiqua" w:cs="Arial"/>
              </w:rPr>
              <w:t>, that is, after performance has been measured and verified.</w:t>
            </w:r>
          </w:p>
          <w:p w:rsidR="005870D7" w:rsidRPr="009639CF" w:rsidRDefault="005870D7" w:rsidP="008227FD">
            <w:pPr>
              <w:pStyle w:val="ListParagraph"/>
              <w:numPr>
                <w:ilvl w:val="0"/>
                <w:numId w:val="135"/>
              </w:numPr>
              <w:spacing w:after="0" w:line="240" w:lineRule="auto"/>
              <w:ind w:left="251" w:hanging="270"/>
              <w:jc w:val="both"/>
              <w:rPr>
                <w:rFonts w:ascii="Book Antiqua" w:hAnsi="Book Antiqua" w:cs="Arial"/>
              </w:rPr>
            </w:pPr>
            <w:r w:rsidRPr="009639CF">
              <w:rPr>
                <w:rFonts w:ascii="Book Antiqua" w:hAnsi="Book Antiqua" w:cs="Arial"/>
              </w:rPr>
              <w:t>GoV disburses REDD+ payments upfront and makes them conditional upon verified performance.</w:t>
            </w:r>
          </w:p>
          <w:p w:rsidR="005870D7" w:rsidRPr="009639CF" w:rsidRDefault="005870D7" w:rsidP="008227FD">
            <w:pPr>
              <w:pStyle w:val="ListParagraph"/>
              <w:numPr>
                <w:ilvl w:val="0"/>
                <w:numId w:val="135"/>
              </w:numPr>
              <w:spacing w:after="0" w:line="240" w:lineRule="auto"/>
              <w:ind w:left="251" w:hanging="270"/>
              <w:jc w:val="both"/>
              <w:rPr>
                <w:rFonts w:ascii="Book Antiqua" w:hAnsi="Book Antiqua" w:cs="Arial"/>
              </w:rPr>
            </w:pPr>
            <w:r w:rsidRPr="009639CF">
              <w:rPr>
                <w:rFonts w:ascii="Book Antiqua" w:hAnsi="Book Antiqua" w:cs="Arial"/>
              </w:rPr>
              <w:t xml:space="preserve">GoV combines </w:t>
            </w:r>
            <w:r w:rsidRPr="009639CF">
              <w:rPr>
                <w:rFonts w:ascii="Book Antiqua" w:hAnsi="Book Antiqua" w:cs="Arial"/>
                <w:i/>
              </w:rPr>
              <w:t xml:space="preserve">ex post </w:t>
            </w:r>
            <w:r w:rsidRPr="009639CF">
              <w:rPr>
                <w:rFonts w:ascii="Book Antiqua" w:hAnsi="Book Antiqua" w:cs="Arial"/>
              </w:rPr>
              <w:t>payments with the provision of upfront incentives and resources through the establishment of conditional savings books</w:t>
            </w:r>
          </w:p>
        </w:tc>
      </w:tr>
      <w:tr w:rsidR="005870D7" w:rsidRPr="003C0FC0">
        <w:trPr>
          <w:jc w:val="right"/>
        </w:trPr>
        <w:tc>
          <w:tcPr>
            <w:tcW w:w="1010" w:type="pct"/>
            <w:tcBorders>
              <w:top w:val="single" w:sz="8" w:space="0" w:color="FFFFFF"/>
              <w:bottom w:val="single" w:sz="8"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single" w:sz="8"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The GoV should combine </w:t>
            </w:r>
            <w:r w:rsidRPr="003C0FC0">
              <w:rPr>
                <w:rFonts w:ascii="Book Antiqua" w:hAnsi="Book Antiqua" w:cs="Arial"/>
                <w:i/>
              </w:rPr>
              <w:t>ex post</w:t>
            </w:r>
            <w:r w:rsidRPr="003C0FC0">
              <w:rPr>
                <w:rFonts w:ascii="Book Antiqua" w:hAnsi="Book Antiqua" w:cs="Arial"/>
              </w:rPr>
              <w:t xml:space="preserve"> payments with the provision of upfront incentives and resources.  Viet Nam’s existing experience with the use of conditional savings books in forestry suggests that they provide a suitable means to balance the requirements of a credible performance base with the needs of forest managers.</w:t>
            </w:r>
          </w:p>
        </w:tc>
      </w:tr>
      <w:tr w:rsidR="005870D7" w:rsidRPr="003C0FC0">
        <w:trPr>
          <w:jc w:val="right"/>
        </w:trPr>
        <w:tc>
          <w:tcPr>
            <w:tcW w:w="1010" w:type="pct"/>
            <w:tcBorders>
              <w:top w:val="single" w:sz="8" w:space="0" w:color="FFFFFF"/>
              <w:bottom w:val="single" w:sz="8"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tcBorders>
              <w:top w:val="single" w:sz="8" w:space="0" w:color="FFFFFF"/>
              <w:bottom w:val="single" w:sz="8" w:space="0" w:color="FFFFFF"/>
            </w:tcBorders>
            <w:shd w:val="clear" w:color="auto" w:fill="D6E3BC"/>
            <w:vAlign w:val="center"/>
          </w:tcPr>
          <w:p w:rsidR="005870D7" w:rsidRPr="00052753" w:rsidRDefault="005870D7" w:rsidP="003561C4">
            <w:pPr>
              <w:spacing w:after="0" w:line="240" w:lineRule="auto"/>
              <w:jc w:val="both"/>
              <w:rPr>
                <w:rFonts w:ascii="Book Antiqua" w:hAnsi="Book Antiqua" w:cs="Arial"/>
              </w:rPr>
            </w:pPr>
            <w:r w:rsidRPr="00052753">
              <w:rPr>
                <w:rFonts w:ascii="Book Antiqua" w:hAnsi="Book Antiqua"/>
              </w:rPr>
              <w:t>There is an urgent need to review existing experiences with the use of micro finance approaches in the forestry sector.  The review would inform the design of a suitable microfinance approach to provide upfront resources and incentives under REDD</w:t>
            </w:r>
            <w:r>
              <w:rPr>
                <w:rFonts w:ascii="Book Antiqua" w:hAnsi="Book Antiqua"/>
              </w:rPr>
              <w:t>+</w:t>
            </w:r>
            <w:r w:rsidRPr="00052753">
              <w:rPr>
                <w:rFonts w:ascii="Book Antiqua" w:hAnsi="Book Antiqua"/>
              </w:rPr>
              <w:t>.  In addition, work is needed on potential sources of bridging funding, including government budget and ODA.</w:t>
            </w:r>
          </w:p>
        </w:tc>
      </w:tr>
    </w:tbl>
    <w:p w:rsidR="005870D7" w:rsidRPr="003C0FC0" w:rsidRDefault="005870D7" w:rsidP="005870D7">
      <w:pPr>
        <w:spacing w:after="0" w:line="240" w:lineRule="auto"/>
        <w:jc w:val="both"/>
        <w:rPr>
          <w:rFonts w:ascii="Book Antiqua" w:hAnsi="Book Antiqua" w:cs="Arial"/>
          <w:sz w:val="24"/>
          <w:szCs w:val="24"/>
        </w:rPr>
      </w:pPr>
    </w:p>
    <w:tbl>
      <w:tblPr>
        <w:tblW w:w="5000" w:type="pct"/>
        <w:jc w:val="right"/>
        <w:tblBorders>
          <w:insideH w:val="single" w:sz="24" w:space="0" w:color="FFFFFF"/>
          <w:insideV w:val="single" w:sz="24" w:space="0" w:color="FFFFFF"/>
        </w:tblBorders>
        <w:tblLook w:val="00A0"/>
      </w:tblPr>
      <w:tblGrid>
        <w:gridCol w:w="1819"/>
        <w:gridCol w:w="7185"/>
      </w:tblGrid>
      <w:tr w:rsidR="005870D7" w:rsidRPr="003C0FC0">
        <w:trPr>
          <w:tblHeader/>
          <w:jc w:val="right"/>
        </w:trPr>
        <w:tc>
          <w:tcPr>
            <w:tcW w:w="5000" w:type="pct"/>
            <w:gridSpan w:val="2"/>
            <w:tcBorders>
              <w:top w:val="single" w:sz="24" w:space="0" w:color="FFFFFF"/>
              <w:bottom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POLICY DECISION 6.</w:t>
            </w:r>
            <w:r>
              <w:rPr>
                <w:rFonts w:ascii="Book Antiqua" w:hAnsi="Book Antiqua" w:cs="Arial"/>
                <w:b/>
                <w:color w:val="FFFFFF"/>
                <w:sz w:val="24"/>
                <w:szCs w:val="24"/>
              </w:rPr>
              <w:t>2</w:t>
            </w:r>
          </w:p>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Strengthened law enforcement for a performance-based distribution</w:t>
            </w:r>
          </w:p>
        </w:tc>
      </w:tr>
      <w:tr w:rsidR="005870D7" w:rsidRPr="003C0FC0">
        <w:trPr>
          <w:jc w:val="right"/>
        </w:trPr>
        <w:tc>
          <w:tcPr>
            <w:tcW w:w="1010" w:type="pct"/>
            <w:tcBorders>
              <w:top w:val="single" w:sz="24"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single" w:sz="24"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Forest law enforcement continues to be weak in Viet Nam.  In particular, issues such as illegal logging and encroachment have the effect of counteracting other initiatives undertaken to reduce emissions.  Without more effective forest law enforcement, the risk exists that stakeholders who are successful in reducing emissions go unrewarded due to the non-performance of others who are responsible for illegal activities.  </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Options</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9615E6" w:rsidRDefault="005870D7" w:rsidP="008227FD">
            <w:pPr>
              <w:pStyle w:val="ListParagraph"/>
              <w:numPr>
                <w:ilvl w:val="0"/>
                <w:numId w:val="121"/>
              </w:numPr>
              <w:spacing w:after="0" w:line="240" w:lineRule="auto"/>
              <w:ind w:left="251" w:hanging="270"/>
              <w:jc w:val="both"/>
              <w:rPr>
                <w:rFonts w:ascii="Book Antiqua" w:hAnsi="Book Antiqua" w:cs="Arial"/>
              </w:rPr>
            </w:pPr>
            <w:r w:rsidRPr="009615E6">
              <w:rPr>
                <w:rFonts w:ascii="Book Antiqua" w:hAnsi="Book Antiqua" w:cs="Arial"/>
              </w:rPr>
              <w:t>GoV accepts that payments to stakeholders who undertake REDD+ interventions are diluted or possibly eliminated due to non-performance of others under the current forest law enforcement regime.</w:t>
            </w:r>
          </w:p>
          <w:p w:rsidR="005870D7" w:rsidRPr="009615E6" w:rsidRDefault="005870D7" w:rsidP="008227FD">
            <w:pPr>
              <w:pStyle w:val="ListParagraph"/>
              <w:numPr>
                <w:ilvl w:val="0"/>
                <w:numId w:val="121"/>
              </w:numPr>
              <w:spacing w:after="0" w:line="240" w:lineRule="auto"/>
              <w:ind w:left="251" w:hanging="270"/>
              <w:jc w:val="both"/>
              <w:rPr>
                <w:rFonts w:ascii="Book Antiqua" w:hAnsi="Book Antiqua" w:cs="Arial"/>
              </w:rPr>
            </w:pPr>
            <w:r w:rsidRPr="009615E6">
              <w:rPr>
                <w:rFonts w:ascii="Book Antiqua" w:hAnsi="Book Antiqua" w:cs="Arial"/>
              </w:rPr>
              <w:t>GoV develops operational structures that offer effective law enforcement to households and communities</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GoV should develop operational structures for effective forest law enforcement in the medium term.  These will most likely include a Central Forest Inspectorate with a hotline for reports on illegal operations and complaints about local law enforcement activities.  In the short term, GoV may have to define the conditions (such as timely reporting) under which payment recipients are exempt from liability for non-performance due to factors beyond their control.</w:t>
            </w:r>
          </w:p>
        </w:tc>
      </w:tr>
      <w:tr w:rsidR="005870D7" w:rsidRPr="003C0FC0">
        <w:trPr>
          <w:jc w:val="right"/>
        </w:trPr>
        <w:tc>
          <w:tcPr>
            <w:tcW w:w="1010" w:type="pct"/>
            <w:tcBorders>
              <w:top w:val="single" w:sz="8" w:space="0" w:color="FFFFFF"/>
              <w:bottom w:val="single" w:sz="8" w:space="0" w:color="FFFFFF"/>
              <w:right w:val="single" w:sz="24"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tcBorders>
              <w:top w:val="single" w:sz="8" w:space="0" w:color="FFFFFF"/>
              <w:left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 xml:space="preserve">Recent experiences with community-based law enforcement require assessment and translation into national regulations.  The new General Department of Forestry and forest protection units at the district and provincial levels will need technical assistance to improve their law enforcement capacities.  The REDD+ pilots should make appropriate </w:t>
            </w:r>
            <w:r w:rsidRPr="003C0FC0">
              <w:rPr>
                <w:rFonts w:ascii="Book Antiqua" w:hAnsi="Book Antiqua" w:cs="Arial"/>
              </w:rPr>
              <w:lastRenderedPageBreak/>
              <w:t>law enforcement a central component of project design from the beginning.  They will indicate ways to determine the liability of forest managers under different circumstances</w:t>
            </w:r>
          </w:p>
        </w:tc>
      </w:tr>
    </w:tbl>
    <w:p w:rsidR="005870D7" w:rsidRPr="003C0FC0" w:rsidRDefault="005870D7" w:rsidP="005870D7">
      <w:pPr>
        <w:spacing w:after="0" w:line="240" w:lineRule="auto"/>
        <w:jc w:val="both"/>
        <w:rPr>
          <w:rFonts w:ascii="Book Antiqua" w:hAnsi="Book Antiqua" w:cs="Arial"/>
          <w:sz w:val="24"/>
          <w:szCs w:val="24"/>
        </w:rPr>
      </w:pPr>
    </w:p>
    <w:tbl>
      <w:tblPr>
        <w:tblW w:w="5000" w:type="pct"/>
        <w:jc w:val="right"/>
        <w:tblBorders>
          <w:insideH w:val="single" w:sz="24" w:space="0" w:color="FFFFFF"/>
          <w:insideV w:val="single" w:sz="24" w:space="0" w:color="FFFFFF"/>
        </w:tblBorders>
        <w:tblLook w:val="04A0"/>
      </w:tblPr>
      <w:tblGrid>
        <w:gridCol w:w="1819"/>
        <w:gridCol w:w="7185"/>
      </w:tblGrid>
      <w:tr w:rsidR="005870D7" w:rsidRPr="003C0FC0">
        <w:trPr>
          <w:tblHeader/>
          <w:jc w:val="right"/>
        </w:trPr>
        <w:tc>
          <w:tcPr>
            <w:tcW w:w="5000" w:type="pct"/>
            <w:gridSpan w:val="2"/>
            <w:tcBorders>
              <w:top w:val="single" w:sz="24" w:space="0" w:color="FFFFFF"/>
              <w:bottom w:val="single" w:sz="24" w:space="0" w:color="FFFFFF"/>
            </w:tcBorders>
            <w:shd w:val="clear" w:color="auto" w:fill="76923C"/>
            <w:vAlign w:val="center"/>
          </w:tcPr>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POLICY DECISION 6.</w:t>
            </w:r>
            <w:r>
              <w:rPr>
                <w:rFonts w:ascii="Book Antiqua" w:hAnsi="Book Antiqua" w:cs="Arial"/>
                <w:b/>
                <w:color w:val="FFFFFF"/>
                <w:sz w:val="24"/>
                <w:szCs w:val="24"/>
              </w:rPr>
              <w:t>3</w:t>
            </w:r>
          </w:p>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Institutional structure for a performance-based sub-national distribution of REDD+ benefits</w:t>
            </w:r>
          </w:p>
        </w:tc>
      </w:tr>
      <w:tr w:rsidR="005870D7" w:rsidRPr="003C0FC0">
        <w:trPr>
          <w:jc w:val="right"/>
        </w:trPr>
        <w:tc>
          <w:tcPr>
            <w:tcW w:w="1010" w:type="pct"/>
            <w:tcBorders>
              <w:top w:val="single" w:sz="24" w:space="0" w:color="FFFFFF"/>
              <w:bottom w:val="single" w:sz="8"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single" w:sz="24"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International best practice demonstrates that right institutional design is a precondition for the success of performance-based payments.  Institutional structures only achieve to efficiently allocate and credible enforce payments if they include a system of checks and balances among several institutions.  A focus on a single institution often creates a conflict of interests detrimental to an efficient allocation of project funds and effective conditionality of payments.  This is also a key lesson learned from the weak performance of 661 projects in Viet Nam where district-level FPUs and Forestry Companies often combine the tasks of implementation and enforcement.</w:t>
            </w:r>
          </w:p>
        </w:tc>
      </w:tr>
      <w:tr w:rsidR="005870D7" w:rsidRPr="003C0FC0">
        <w:trPr>
          <w:jc w:val="right"/>
        </w:trPr>
        <w:tc>
          <w:tcPr>
            <w:tcW w:w="1010" w:type="pct"/>
            <w:tcBorders>
              <w:top w:val="single" w:sz="8" w:space="0" w:color="FFFFFF"/>
              <w:bottom w:val="single" w:sz="8"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Options</w:t>
            </w:r>
          </w:p>
        </w:tc>
        <w:tc>
          <w:tcPr>
            <w:tcW w:w="3990" w:type="pct"/>
            <w:tcBorders>
              <w:top w:val="single" w:sz="8" w:space="0" w:color="FFFFFF"/>
              <w:bottom w:val="single" w:sz="8" w:space="0" w:color="FFFFFF"/>
            </w:tcBorders>
            <w:shd w:val="clear" w:color="auto" w:fill="D6E3BC"/>
            <w:vAlign w:val="center"/>
          </w:tcPr>
          <w:p w:rsidR="005870D7" w:rsidRPr="009639CF" w:rsidRDefault="005870D7" w:rsidP="008227FD">
            <w:pPr>
              <w:pStyle w:val="ListParagraph"/>
              <w:numPr>
                <w:ilvl w:val="0"/>
                <w:numId w:val="136"/>
              </w:numPr>
              <w:spacing w:after="0" w:line="240" w:lineRule="auto"/>
              <w:ind w:left="251" w:hanging="270"/>
              <w:jc w:val="both"/>
              <w:rPr>
                <w:rFonts w:ascii="Book Antiqua" w:hAnsi="Book Antiqua" w:cs="Arial"/>
              </w:rPr>
            </w:pPr>
            <w:r w:rsidRPr="009639CF">
              <w:rPr>
                <w:rFonts w:ascii="Book Antiqua" w:hAnsi="Book Antiqua" w:cs="Arial"/>
              </w:rPr>
              <w:t>GoV enables district-level FPUs to receive payments and puts another agency in charge of enforcing their compliance with forest regulations and contractual conditions.</w:t>
            </w:r>
          </w:p>
          <w:p w:rsidR="005870D7" w:rsidRPr="009639CF" w:rsidRDefault="005870D7" w:rsidP="008227FD">
            <w:pPr>
              <w:pStyle w:val="ListParagraph"/>
              <w:numPr>
                <w:ilvl w:val="0"/>
                <w:numId w:val="136"/>
              </w:numPr>
              <w:spacing w:after="0" w:line="240" w:lineRule="auto"/>
              <w:ind w:left="251" w:hanging="270"/>
              <w:jc w:val="both"/>
              <w:rPr>
                <w:rFonts w:ascii="Book Antiqua" w:hAnsi="Book Antiqua" w:cs="Arial"/>
              </w:rPr>
            </w:pPr>
            <w:r w:rsidRPr="009639CF">
              <w:rPr>
                <w:rFonts w:ascii="Book Antiqua" w:hAnsi="Book Antiqua" w:cs="Arial"/>
              </w:rPr>
              <w:t>GoV mandates district-level FPUs to monitor and enforce payment recipients’ compliance with forest regulations and contractual conditions, ruling them out as a payment recipient</w:t>
            </w:r>
          </w:p>
        </w:tc>
      </w:tr>
      <w:tr w:rsidR="005870D7" w:rsidRPr="003C0FC0">
        <w:trPr>
          <w:jc w:val="right"/>
        </w:trPr>
        <w:tc>
          <w:tcPr>
            <w:tcW w:w="1010" w:type="pct"/>
            <w:tcBorders>
              <w:top w:val="single" w:sz="8" w:space="0" w:color="FFFFFF"/>
              <w:bottom w:val="single" w:sz="8"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single" w:sz="8" w:space="0" w:color="FFFFFF"/>
              <w:bottom w:val="single" w:sz="8" w:space="0" w:color="FFFFFF"/>
            </w:tcBorders>
            <w:shd w:val="clear" w:color="auto" w:fill="D6E3BC"/>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The GoV should mandate district-level FPUs to monitor and enforce payment recipients’ compliance with forest regulations and contractual conditions against a suitable fee.  They should not be eligible for REDD+ payments, though, as that would create a conflict of interest.</w:t>
            </w:r>
          </w:p>
        </w:tc>
      </w:tr>
      <w:tr w:rsidR="005870D7" w:rsidRPr="003C0FC0">
        <w:trPr>
          <w:jc w:val="right"/>
        </w:trPr>
        <w:tc>
          <w:tcPr>
            <w:tcW w:w="1010" w:type="pct"/>
            <w:tcBorders>
              <w:top w:val="single" w:sz="8" w:space="0" w:color="FFFFFF"/>
              <w:bottom w:val="single" w:sz="8" w:space="0" w:color="FFFFFF"/>
            </w:tcBorders>
            <w:shd w:val="clear" w:color="auto" w:fill="C2D69B"/>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tcBorders>
              <w:top w:val="single" w:sz="8" w:space="0" w:color="FFFFFF"/>
              <w:bottom w:val="single" w:sz="8" w:space="0" w:color="FFFFFF"/>
            </w:tcBorders>
            <w:shd w:val="clear" w:color="auto" w:fill="D6E3BC"/>
            <w:vAlign w:val="center"/>
          </w:tcPr>
          <w:p w:rsidR="005870D7" w:rsidRPr="00052753" w:rsidRDefault="005870D7" w:rsidP="003561C4">
            <w:pPr>
              <w:spacing w:after="0" w:line="240" w:lineRule="auto"/>
              <w:jc w:val="both"/>
              <w:rPr>
                <w:rFonts w:ascii="Book Antiqua" w:hAnsi="Book Antiqua" w:cs="Arial"/>
              </w:rPr>
            </w:pPr>
            <w:r w:rsidRPr="00052753">
              <w:rPr>
                <w:rFonts w:ascii="Book Antiqua" w:hAnsi="Book Antiqua"/>
              </w:rPr>
              <w:t>The GoV should assess the institutional structures used for the implementation of the 661 Program</w:t>
            </w:r>
            <w:r>
              <w:rPr>
                <w:rFonts w:ascii="Book Antiqua" w:hAnsi="Book Antiqua"/>
              </w:rPr>
              <w:t>me</w:t>
            </w:r>
            <w:r w:rsidRPr="00052753">
              <w:rPr>
                <w:rFonts w:ascii="Book Antiqua" w:hAnsi="Book Antiqua"/>
              </w:rPr>
              <w:t xml:space="preserve"> and P</w:t>
            </w:r>
            <w:r>
              <w:rPr>
                <w:rFonts w:ascii="Book Antiqua" w:hAnsi="Book Antiqua"/>
              </w:rPr>
              <w:t>F</w:t>
            </w:r>
            <w:r w:rsidRPr="00052753">
              <w:rPr>
                <w:rFonts w:ascii="Book Antiqua" w:hAnsi="Book Antiqua"/>
              </w:rPr>
              <w:t>ES schemes in Son La and Lam Dong.  The assessment should inform the institutional design of the sub-national component of Viet Nam’s future REDD</w:t>
            </w:r>
            <w:r>
              <w:rPr>
                <w:rFonts w:ascii="Book Antiqua" w:hAnsi="Book Antiqua"/>
              </w:rPr>
              <w:t>+</w:t>
            </w:r>
            <w:r w:rsidRPr="00052753">
              <w:rPr>
                <w:rFonts w:ascii="Book Antiqua" w:hAnsi="Book Antiqua"/>
              </w:rPr>
              <w:t xml:space="preserve"> Program</w:t>
            </w:r>
            <w:r>
              <w:rPr>
                <w:rFonts w:ascii="Book Antiqua" w:hAnsi="Book Antiqua"/>
              </w:rPr>
              <w:t>me.</w:t>
            </w:r>
          </w:p>
        </w:tc>
      </w:tr>
    </w:tbl>
    <w:p w:rsidR="005870D7" w:rsidRPr="003C0FC0" w:rsidRDefault="005870D7" w:rsidP="005870D7">
      <w:pPr>
        <w:spacing w:after="0" w:line="240" w:lineRule="auto"/>
        <w:jc w:val="both"/>
        <w:rPr>
          <w:rFonts w:ascii="Book Antiqua" w:hAnsi="Book Antiqua" w:cs="Arial"/>
          <w:sz w:val="24"/>
          <w:szCs w:val="24"/>
        </w:rPr>
      </w:pPr>
    </w:p>
    <w:tbl>
      <w:tblPr>
        <w:tblpPr w:leftFromText="180" w:rightFromText="180" w:vertAnchor="text"/>
        <w:tblW w:w="5000" w:type="pct"/>
        <w:tblCellMar>
          <w:left w:w="0" w:type="dxa"/>
          <w:right w:w="0" w:type="dxa"/>
        </w:tblCellMar>
        <w:tblLook w:val="04A0"/>
      </w:tblPr>
      <w:tblGrid>
        <w:gridCol w:w="1819"/>
        <w:gridCol w:w="7185"/>
      </w:tblGrid>
      <w:tr w:rsidR="005870D7" w:rsidRPr="003C0FC0">
        <w:trPr>
          <w:tblHeader/>
        </w:trPr>
        <w:tc>
          <w:tcPr>
            <w:tcW w:w="5000" w:type="pct"/>
            <w:gridSpan w:val="2"/>
            <w:tcBorders>
              <w:top w:val="single" w:sz="24" w:space="0" w:color="FFFFFF"/>
              <w:left w:val="nil"/>
              <w:bottom w:val="single" w:sz="24" w:space="0" w:color="FFFFFF"/>
              <w:right w:val="nil"/>
            </w:tcBorders>
            <w:shd w:val="clear" w:color="auto" w:fill="76923C"/>
            <w:tcMar>
              <w:top w:w="0" w:type="dxa"/>
              <w:left w:w="108" w:type="dxa"/>
              <w:bottom w:w="0" w:type="dxa"/>
              <w:right w:w="108" w:type="dxa"/>
            </w:tcMar>
            <w:vAlign w:val="center"/>
          </w:tcPr>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POLICY DECISION 7.1</w:t>
            </w:r>
          </w:p>
          <w:p w:rsidR="005870D7" w:rsidRPr="003C0FC0" w:rsidRDefault="005870D7" w:rsidP="003561C4">
            <w:pPr>
              <w:spacing w:after="0" w:line="240" w:lineRule="auto"/>
              <w:jc w:val="center"/>
              <w:rPr>
                <w:rFonts w:ascii="Book Antiqua" w:hAnsi="Book Antiqua" w:cs="Arial"/>
                <w:color w:val="FFFFFF"/>
                <w:sz w:val="24"/>
                <w:szCs w:val="24"/>
              </w:rPr>
            </w:pPr>
            <w:r w:rsidRPr="003C0FC0">
              <w:rPr>
                <w:rFonts w:ascii="Book Antiqua" w:hAnsi="Book Antiqua" w:cs="Arial"/>
                <w:b/>
                <w:color w:val="FFFFFF"/>
                <w:sz w:val="24"/>
                <w:szCs w:val="24"/>
              </w:rPr>
              <w:t>Participatory Monitoring</w:t>
            </w:r>
          </w:p>
        </w:tc>
      </w:tr>
      <w:tr w:rsidR="005870D7" w:rsidRPr="003C0FC0">
        <w:tc>
          <w:tcPr>
            <w:tcW w:w="101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103E2D" w:rsidRPr="005B3882" w:rsidRDefault="00103E2D" w:rsidP="00103E2D">
            <w:pPr>
              <w:pStyle w:val="Default"/>
              <w:jc w:val="both"/>
              <w:rPr>
                <w:rFonts w:ascii="Book Antiqua" w:hAnsi="Book Antiqua" w:cs="Arial"/>
                <w:sz w:val="22"/>
                <w:szCs w:val="22"/>
              </w:rPr>
            </w:pPr>
            <w:r w:rsidRPr="005B3882">
              <w:rPr>
                <w:rFonts w:ascii="Book Antiqua" w:hAnsi="Book Antiqua" w:cs="Arial"/>
                <w:sz w:val="22"/>
                <w:szCs w:val="22"/>
              </w:rPr>
              <w:t>Local people can efficiently record information about numerous variables and events affecting their livelihoods.  Participatory monitoring creates a culture of questioning (or social control) and acts as a catalyst for learning about the landscape and the cycle of planning, action, assessment, and learning.  Participatory monitoring also builds confidence in the overall system and a sense of equity and transparency.</w:t>
            </w:r>
          </w:p>
          <w:p w:rsidR="00103E2D" w:rsidRPr="005B3882" w:rsidRDefault="00103E2D" w:rsidP="00103E2D">
            <w:pPr>
              <w:pStyle w:val="Default"/>
              <w:jc w:val="both"/>
              <w:rPr>
                <w:rFonts w:ascii="Book Antiqua" w:hAnsi="Book Antiqua" w:cs="Arial"/>
                <w:sz w:val="22"/>
                <w:szCs w:val="22"/>
              </w:rPr>
            </w:pPr>
          </w:p>
          <w:p w:rsidR="00103E2D" w:rsidRPr="005B3882" w:rsidRDefault="00103E2D" w:rsidP="00103E2D">
            <w:pPr>
              <w:pStyle w:val="Default"/>
              <w:jc w:val="both"/>
              <w:rPr>
                <w:rFonts w:ascii="Book Antiqua" w:hAnsi="Book Antiqua" w:cs="Arial"/>
                <w:color w:val="FF0000"/>
                <w:sz w:val="22"/>
                <w:szCs w:val="22"/>
              </w:rPr>
            </w:pPr>
            <w:r w:rsidRPr="005B3882">
              <w:rPr>
                <w:rFonts w:ascii="Book Antiqua" w:hAnsi="Book Antiqua" w:cs="Arial"/>
                <w:sz w:val="22"/>
                <w:szCs w:val="22"/>
              </w:rPr>
              <w:t xml:space="preserve">Local people can play a role in monitoring emissions, but are especially valuable in identifying, reporting, and enforcing the interventions and tasks required for </w:t>
            </w:r>
            <w:r>
              <w:rPr>
                <w:rFonts w:ascii="Book Antiqua" w:hAnsi="Book Antiqua" w:cs="Arial"/>
                <w:sz w:val="22"/>
                <w:szCs w:val="22"/>
              </w:rPr>
              <w:t>REDD+</w:t>
            </w:r>
            <w:r w:rsidRPr="005B3882">
              <w:rPr>
                <w:rFonts w:ascii="Book Antiqua" w:hAnsi="Book Antiqua" w:cs="Arial"/>
                <w:sz w:val="22"/>
                <w:szCs w:val="22"/>
              </w:rPr>
              <w:t xml:space="preserve">.  Participatory monitoring will strengthen </w:t>
            </w:r>
            <w:r w:rsidRPr="005B3882">
              <w:rPr>
                <w:rFonts w:ascii="Book Antiqua" w:hAnsi="Book Antiqua" w:cs="Arial"/>
                <w:sz w:val="22"/>
                <w:szCs w:val="22"/>
              </w:rPr>
              <w:lastRenderedPageBreak/>
              <w:t xml:space="preserve">their understanding and commitment while providing a degree of comfort to investors that </w:t>
            </w:r>
            <w:r>
              <w:rPr>
                <w:rFonts w:ascii="Book Antiqua" w:hAnsi="Book Antiqua" w:cs="Arial"/>
                <w:sz w:val="22"/>
                <w:szCs w:val="22"/>
              </w:rPr>
              <w:t>REDD+</w:t>
            </w:r>
            <w:r w:rsidRPr="005B3882">
              <w:rPr>
                <w:rFonts w:ascii="Book Antiqua" w:hAnsi="Book Antiqua" w:cs="Arial"/>
                <w:sz w:val="22"/>
                <w:szCs w:val="22"/>
              </w:rPr>
              <w:t xml:space="preserve"> is sustainable.  Participatory monitoring may add value to the carbon offsets generated. </w:t>
            </w:r>
            <w:r w:rsidRPr="005B3882">
              <w:rPr>
                <w:rFonts w:ascii="Book Antiqua" w:hAnsi="Book Antiqua" w:cs="Arial"/>
                <w:color w:val="auto"/>
                <w:sz w:val="22"/>
                <w:szCs w:val="22"/>
              </w:rPr>
              <w:t xml:space="preserve"> However, GoV has limited experience with participatory forest monitoring approaches.</w:t>
            </w:r>
          </w:p>
          <w:p w:rsidR="00103E2D" w:rsidRPr="005B3882" w:rsidRDefault="00103E2D" w:rsidP="00103E2D">
            <w:pPr>
              <w:pStyle w:val="Default"/>
              <w:jc w:val="both"/>
              <w:rPr>
                <w:rFonts w:ascii="Book Antiqua" w:hAnsi="Book Antiqua" w:cs="Arial"/>
                <w:sz w:val="22"/>
                <w:szCs w:val="22"/>
              </w:rPr>
            </w:pPr>
          </w:p>
          <w:p w:rsidR="005870D7" w:rsidRPr="003C0FC0" w:rsidRDefault="00103E2D" w:rsidP="00103E2D">
            <w:pPr>
              <w:spacing w:after="0" w:line="240" w:lineRule="auto"/>
              <w:jc w:val="both"/>
              <w:rPr>
                <w:rFonts w:ascii="Book Antiqua" w:hAnsi="Book Antiqua" w:cs="Arial"/>
              </w:rPr>
            </w:pPr>
            <w:r w:rsidRPr="005B3882">
              <w:rPr>
                <w:rFonts w:ascii="Book Antiqua" w:hAnsi="Book Antiqua" w:cs="Arial"/>
              </w:rPr>
              <w:t>There is a wide range of approaches that have been tried for local people to participate in monitoring.  At this stage no preferred method has been identified.</w:t>
            </w:r>
          </w:p>
        </w:tc>
      </w:tr>
      <w:tr w:rsidR="005870D7" w:rsidRPr="003C0FC0">
        <w:tc>
          <w:tcPr>
            <w:tcW w:w="101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lastRenderedPageBreak/>
              <w:t>Options</w:t>
            </w:r>
          </w:p>
        </w:tc>
        <w:tc>
          <w:tcPr>
            <w:tcW w:w="399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5870D7" w:rsidRPr="005870D7" w:rsidRDefault="005870D7" w:rsidP="008227FD">
            <w:pPr>
              <w:pStyle w:val="ListParagraph"/>
              <w:numPr>
                <w:ilvl w:val="0"/>
                <w:numId w:val="124"/>
              </w:numPr>
              <w:spacing w:after="0" w:line="240" w:lineRule="auto"/>
              <w:ind w:left="251" w:hanging="270"/>
              <w:jc w:val="both"/>
              <w:rPr>
                <w:rFonts w:ascii="Book Antiqua" w:hAnsi="Book Antiqua" w:cs="Arial"/>
              </w:rPr>
            </w:pPr>
            <w:r w:rsidRPr="005870D7">
              <w:rPr>
                <w:rFonts w:ascii="Book Antiqua" w:hAnsi="Book Antiqua" w:cs="Arial"/>
              </w:rPr>
              <w:t xml:space="preserve">Participatory monitoring; bringing the advantages of community engagement and ensuring the involvement of a critical stakeholder at the local level; or </w:t>
            </w:r>
          </w:p>
          <w:p w:rsidR="005870D7" w:rsidRPr="005870D7" w:rsidRDefault="005870D7" w:rsidP="008227FD">
            <w:pPr>
              <w:pStyle w:val="ListParagraph"/>
              <w:numPr>
                <w:ilvl w:val="0"/>
                <w:numId w:val="124"/>
              </w:numPr>
              <w:spacing w:after="0" w:line="240" w:lineRule="auto"/>
              <w:ind w:left="251" w:hanging="270"/>
              <w:jc w:val="both"/>
              <w:rPr>
                <w:rFonts w:ascii="Book Antiqua" w:hAnsi="Book Antiqua" w:cs="Arial"/>
              </w:rPr>
            </w:pPr>
            <w:r w:rsidRPr="005870D7">
              <w:rPr>
                <w:rFonts w:ascii="Book Antiqua" w:hAnsi="Book Antiqua" w:cs="Arial"/>
              </w:rPr>
              <w:t>Non-participatory monitoring by parties and persons from outside the local area</w:t>
            </w:r>
          </w:p>
        </w:tc>
      </w:tr>
      <w:tr w:rsidR="00103E2D" w:rsidRPr="003C0FC0">
        <w:tc>
          <w:tcPr>
            <w:tcW w:w="101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103E2D" w:rsidRPr="003C0FC0" w:rsidRDefault="00103E2D" w:rsidP="00103E2D">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103E2D" w:rsidRPr="00792F44" w:rsidRDefault="00103E2D" w:rsidP="008E7F87">
            <w:pPr>
              <w:spacing w:after="0" w:line="240" w:lineRule="auto"/>
              <w:ind w:left="-29"/>
              <w:jc w:val="both"/>
              <w:rPr>
                <w:rFonts w:ascii="Book Antiqua" w:hAnsi="Book Antiqua" w:cs="Arial"/>
              </w:rPr>
            </w:pPr>
            <w:r w:rsidRPr="00792F44">
              <w:rPr>
                <w:rFonts w:ascii="Book Antiqua" w:hAnsi="Book Antiqua" w:cs="Arial"/>
              </w:rPr>
              <w:t xml:space="preserve">Option </w:t>
            </w:r>
            <w:r w:rsidR="008E7F87">
              <w:rPr>
                <w:rFonts w:ascii="Book Antiqua" w:hAnsi="Book Antiqua" w:cs="Arial"/>
              </w:rPr>
              <w:t>A</w:t>
            </w:r>
            <w:r w:rsidRPr="00792F44">
              <w:rPr>
                <w:rFonts w:ascii="Book Antiqua" w:hAnsi="Book Antiqua" w:cs="Arial"/>
              </w:rPr>
              <w:t xml:space="preserve"> is recommended.  Consistent with its stated goal of international leadership on REDD+, GoV should embrace the concept of participatory monitoring and implement principles governing such monitoring.</w:t>
            </w:r>
          </w:p>
        </w:tc>
      </w:tr>
      <w:tr w:rsidR="00103E2D" w:rsidRPr="003C0FC0">
        <w:trPr>
          <w:trHeight w:val="1150"/>
        </w:trPr>
        <w:tc>
          <w:tcPr>
            <w:tcW w:w="1010" w:type="pct"/>
            <w:tcBorders>
              <w:top w:val="nil"/>
              <w:left w:val="nil"/>
              <w:bottom w:val="nil"/>
              <w:right w:val="single" w:sz="24" w:space="0" w:color="FFFFFF"/>
            </w:tcBorders>
            <w:shd w:val="clear" w:color="auto" w:fill="C2D69B"/>
            <w:tcMar>
              <w:top w:w="0" w:type="dxa"/>
              <w:left w:w="108" w:type="dxa"/>
              <w:bottom w:w="0" w:type="dxa"/>
              <w:right w:w="108" w:type="dxa"/>
            </w:tcMar>
            <w:vAlign w:val="center"/>
          </w:tcPr>
          <w:p w:rsidR="00103E2D" w:rsidRPr="003C0FC0" w:rsidRDefault="00103E2D" w:rsidP="00103E2D">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shd w:val="clear" w:color="auto" w:fill="D6E3BC"/>
            <w:tcMar>
              <w:top w:w="0" w:type="dxa"/>
              <w:left w:w="108" w:type="dxa"/>
              <w:bottom w:w="0" w:type="dxa"/>
              <w:right w:w="108" w:type="dxa"/>
            </w:tcMar>
            <w:vAlign w:val="center"/>
          </w:tcPr>
          <w:p w:rsidR="00103E2D" w:rsidRPr="00792F44" w:rsidRDefault="00103E2D" w:rsidP="00103E2D">
            <w:pPr>
              <w:spacing w:after="0" w:line="240" w:lineRule="auto"/>
              <w:ind w:left="-19"/>
              <w:jc w:val="both"/>
              <w:rPr>
                <w:rFonts w:ascii="Book Antiqua" w:hAnsi="Book Antiqua" w:cs="Arial"/>
              </w:rPr>
            </w:pPr>
            <w:r w:rsidRPr="00792F44">
              <w:rPr>
                <w:rFonts w:ascii="Book Antiqua" w:hAnsi="Book Antiqua" w:cs="Arial"/>
              </w:rPr>
              <w:t>GoV should review participatory monitoring methods with a demonstrated history of success.  Based on this review, GoV should prepare principles for participatory REDD+ monitoring.</w:t>
            </w:r>
          </w:p>
        </w:tc>
      </w:tr>
    </w:tbl>
    <w:p w:rsidR="005870D7" w:rsidRPr="003C0FC0" w:rsidRDefault="005870D7" w:rsidP="005870D7">
      <w:pPr>
        <w:spacing w:after="0" w:line="240" w:lineRule="auto"/>
        <w:jc w:val="both"/>
        <w:rPr>
          <w:rFonts w:ascii="Book Antiqua" w:hAnsi="Book Antiqua" w:cs="Arial"/>
          <w:sz w:val="24"/>
          <w:szCs w:val="24"/>
        </w:rPr>
      </w:pPr>
    </w:p>
    <w:tbl>
      <w:tblPr>
        <w:tblpPr w:leftFromText="180" w:rightFromText="180" w:vertAnchor="text"/>
        <w:tblW w:w="5000" w:type="pct"/>
        <w:tblCellMar>
          <w:left w:w="0" w:type="dxa"/>
          <w:right w:w="0" w:type="dxa"/>
        </w:tblCellMar>
        <w:tblLook w:val="04A0"/>
      </w:tblPr>
      <w:tblGrid>
        <w:gridCol w:w="1819"/>
        <w:gridCol w:w="7185"/>
      </w:tblGrid>
      <w:tr w:rsidR="005870D7" w:rsidRPr="003C0FC0">
        <w:trPr>
          <w:tblHeader/>
        </w:trPr>
        <w:tc>
          <w:tcPr>
            <w:tcW w:w="5000" w:type="pct"/>
            <w:gridSpan w:val="2"/>
            <w:tcBorders>
              <w:top w:val="single" w:sz="24" w:space="0" w:color="FFFFFF"/>
              <w:left w:val="nil"/>
              <w:bottom w:val="single" w:sz="24" w:space="0" w:color="FFFFFF"/>
              <w:right w:val="nil"/>
            </w:tcBorders>
            <w:shd w:val="clear" w:color="auto" w:fill="76923C"/>
            <w:tcMar>
              <w:top w:w="0" w:type="dxa"/>
              <w:left w:w="108" w:type="dxa"/>
              <w:bottom w:w="0" w:type="dxa"/>
              <w:right w:w="108" w:type="dxa"/>
            </w:tcMar>
            <w:vAlign w:val="center"/>
          </w:tcPr>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POLICY DECISION 7.2</w:t>
            </w:r>
          </w:p>
          <w:p w:rsidR="005870D7" w:rsidRPr="00792300" w:rsidRDefault="005870D7" w:rsidP="003561C4">
            <w:pPr>
              <w:spacing w:after="0" w:line="240" w:lineRule="auto"/>
              <w:jc w:val="center"/>
              <w:rPr>
                <w:rFonts w:ascii="Book Antiqua" w:hAnsi="Book Antiqua" w:cs="Arial"/>
                <w:color w:val="FFFFFF"/>
                <w:sz w:val="24"/>
                <w:szCs w:val="24"/>
              </w:rPr>
            </w:pPr>
            <w:r w:rsidRPr="00792300">
              <w:rPr>
                <w:rFonts w:ascii="Book Antiqua" w:hAnsi="Book Antiqua" w:cs="Arial"/>
                <w:b/>
                <w:color w:val="FFFFFF"/>
                <w:sz w:val="24"/>
                <w:szCs w:val="24"/>
              </w:rPr>
              <w:t>Institutions to be Involved in Monitoring REDD+ Interventions and Actions</w:t>
            </w:r>
          </w:p>
        </w:tc>
      </w:tr>
      <w:tr w:rsidR="005870D7" w:rsidRPr="003C0FC0">
        <w:tc>
          <w:tcPr>
            <w:tcW w:w="101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5870D7" w:rsidRDefault="005870D7" w:rsidP="003561C4">
            <w:pPr>
              <w:pStyle w:val="Default"/>
              <w:jc w:val="both"/>
              <w:rPr>
                <w:rFonts w:ascii="Book Antiqua" w:hAnsi="Book Antiqua" w:cs="Arial"/>
                <w:sz w:val="22"/>
                <w:szCs w:val="22"/>
              </w:rPr>
            </w:pPr>
            <w:r>
              <w:rPr>
                <w:rFonts w:ascii="Book Antiqua" w:hAnsi="Book Antiqua" w:cs="Arial"/>
                <w:sz w:val="22"/>
                <w:szCs w:val="22"/>
              </w:rPr>
              <w:t>T</w:t>
            </w:r>
            <w:r w:rsidRPr="005B3882">
              <w:rPr>
                <w:rFonts w:ascii="Book Antiqua" w:hAnsi="Book Antiqua" w:cs="Arial"/>
                <w:sz w:val="22"/>
                <w:szCs w:val="22"/>
              </w:rPr>
              <w:t xml:space="preserve">here are four different types of monitoring required for </w:t>
            </w:r>
            <w:r>
              <w:rPr>
                <w:rFonts w:ascii="Book Antiqua" w:hAnsi="Book Antiqua" w:cs="Arial"/>
                <w:sz w:val="22"/>
                <w:szCs w:val="22"/>
              </w:rPr>
              <w:t>REDD+:</w:t>
            </w:r>
          </w:p>
          <w:p w:rsidR="005870D7" w:rsidRDefault="005870D7" w:rsidP="008227FD">
            <w:pPr>
              <w:pStyle w:val="Default"/>
              <w:numPr>
                <w:ilvl w:val="0"/>
                <w:numId w:val="119"/>
              </w:numPr>
              <w:ind w:left="258" w:hanging="270"/>
              <w:jc w:val="both"/>
              <w:rPr>
                <w:rFonts w:ascii="Book Antiqua" w:hAnsi="Book Antiqua" w:cs="Arial"/>
                <w:sz w:val="22"/>
                <w:szCs w:val="22"/>
              </w:rPr>
            </w:pPr>
            <w:r>
              <w:rPr>
                <w:rFonts w:ascii="Book Antiqua" w:hAnsi="Book Antiqua" w:cs="Arial"/>
                <w:sz w:val="22"/>
                <w:szCs w:val="22"/>
              </w:rPr>
              <w:t>Monitoring of emissions (C-stocks)</w:t>
            </w:r>
          </w:p>
          <w:p w:rsidR="005870D7" w:rsidRDefault="005870D7" w:rsidP="008227FD">
            <w:pPr>
              <w:pStyle w:val="Default"/>
              <w:numPr>
                <w:ilvl w:val="0"/>
                <w:numId w:val="119"/>
              </w:numPr>
              <w:ind w:left="258" w:hanging="270"/>
              <w:jc w:val="both"/>
              <w:rPr>
                <w:rFonts w:ascii="Book Antiqua" w:hAnsi="Book Antiqua" w:cs="Arial"/>
                <w:sz w:val="22"/>
                <w:szCs w:val="22"/>
              </w:rPr>
            </w:pPr>
            <w:r>
              <w:rPr>
                <w:rFonts w:ascii="Book Antiqua" w:hAnsi="Book Antiqua" w:cs="Arial"/>
                <w:sz w:val="22"/>
                <w:szCs w:val="22"/>
              </w:rPr>
              <w:t>Monitoring of REDD+ interventions and actions</w:t>
            </w:r>
          </w:p>
          <w:p w:rsidR="005870D7" w:rsidRDefault="005870D7" w:rsidP="008227FD">
            <w:pPr>
              <w:pStyle w:val="Default"/>
              <w:numPr>
                <w:ilvl w:val="0"/>
                <w:numId w:val="119"/>
              </w:numPr>
              <w:ind w:left="258" w:hanging="270"/>
              <w:jc w:val="both"/>
              <w:rPr>
                <w:rFonts w:ascii="Book Antiqua" w:hAnsi="Book Antiqua" w:cs="Arial"/>
                <w:sz w:val="22"/>
                <w:szCs w:val="22"/>
              </w:rPr>
            </w:pPr>
            <w:r>
              <w:rPr>
                <w:rFonts w:ascii="Book Antiqua" w:hAnsi="Book Antiqua" w:cs="Arial"/>
                <w:sz w:val="22"/>
                <w:szCs w:val="22"/>
              </w:rPr>
              <w:t>Monitoring of revenue disbursement</w:t>
            </w:r>
          </w:p>
          <w:p w:rsidR="005870D7" w:rsidRDefault="005870D7" w:rsidP="008227FD">
            <w:pPr>
              <w:pStyle w:val="Default"/>
              <w:numPr>
                <w:ilvl w:val="0"/>
                <w:numId w:val="119"/>
              </w:numPr>
              <w:ind w:left="258" w:hanging="270"/>
              <w:jc w:val="both"/>
              <w:rPr>
                <w:rFonts w:ascii="Book Antiqua" w:hAnsi="Book Antiqua" w:cs="Arial"/>
                <w:sz w:val="22"/>
                <w:szCs w:val="22"/>
              </w:rPr>
            </w:pPr>
            <w:r>
              <w:rPr>
                <w:rFonts w:ascii="Book Antiqua" w:hAnsi="Book Antiqua" w:cs="Arial"/>
                <w:sz w:val="22"/>
                <w:szCs w:val="22"/>
              </w:rPr>
              <w:t>Monitoring of financial transactions (auditing)</w:t>
            </w:r>
          </w:p>
          <w:p w:rsidR="005870D7" w:rsidRDefault="005870D7" w:rsidP="003561C4">
            <w:pPr>
              <w:pStyle w:val="Default"/>
              <w:jc w:val="both"/>
              <w:rPr>
                <w:rFonts w:ascii="Book Antiqua" w:hAnsi="Book Antiqua" w:cs="Arial"/>
                <w:sz w:val="22"/>
                <w:szCs w:val="22"/>
              </w:rPr>
            </w:pPr>
          </w:p>
          <w:p w:rsidR="005870D7" w:rsidRPr="005B3882" w:rsidRDefault="005870D7" w:rsidP="003561C4">
            <w:pPr>
              <w:pStyle w:val="Default"/>
              <w:jc w:val="both"/>
              <w:rPr>
                <w:rFonts w:ascii="Book Antiqua" w:hAnsi="Book Antiqua" w:cs="Arial"/>
                <w:sz w:val="22"/>
                <w:szCs w:val="22"/>
              </w:rPr>
            </w:pPr>
            <w:r w:rsidRPr="005B3882">
              <w:rPr>
                <w:rFonts w:ascii="Book Antiqua" w:hAnsi="Book Antiqua" w:cs="Arial"/>
                <w:sz w:val="22"/>
                <w:szCs w:val="22"/>
              </w:rPr>
              <w:t>The range of expertise required is therefore broad.  For monitoring of emissions, technical agencies such as FPD and the Forest Inventory and Planning Institute (FIPI) must be involved given their experience in forest resource monitoring at national and local levels.</w:t>
            </w:r>
          </w:p>
          <w:p w:rsidR="005870D7" w:rsidRPr="005B3882" w:rsidRDefault="005870D7" w:rsidP="003561C4">
            <w:pPr>
              <w:pStyle w:val="Default"/>
              <w:jc w:val="both"/>
              <w:rPr>
                <w:rFonts w:ascii="Book Antiqua" w:hAnsi="Book Antiqua" w:cs="Arial"/>
                <w:sz w:val="22"/>
                <w:szCs w:val="22"/>
              </w:rPr>
            </w:pPr>
          </w:p>
          <w:p w:rsidR="005870D7" w:rsidRPr="005B3882" w:rsidRDefault="005870D7" w:rsidP="003561C4">
            <w:pPr>
              <w:pStyle w:val="Default"/>
              <w:jc w:val="both"/>
              <w:rPr>
                <w:rFonts w:ascii="Book Antiqua" w:hAnsi="Book Antiqua" w:cs="Arial"/>
                <w:sz w:val="22"/>
                <w:szCs w:val="22"/>
              </w:rPr>
            </w:pPr>
            <w:r w:rsidRPr="005B3882">
              <w:rPr>
                <w:rFonts w:ascii="Book Antiqua" w:hAnsi="Book Antiqua" w:cs="Arial"/>
                <w:sz w:val="22"/>
                <w:szCs w:val="22"/>
              </w:rPr>
              <w:t xml:space="preserve">For monitoring of actions and disbursements at sub-national levels, the provincial (and possibly district) PCs need to be involved.  Mass organizations such as the Farmers' Association, Women's Union, and Youth Union may also be involved in </w:t>
            </w:r>
            <w:r>
              <w:rPr>
                <w:rFonts w:ascii="Book Antiqua" w:hAnsi="Book Antiqua" w:cs="Arial"/>
                <w:sz w:val="22"/>
                <w:szCs w:val="22"/>
              </w:rPr>
              <w:t>REDD+</w:t>
            </w:r>
            <w:r w:rsidRPr="005B3882">
              <w:rPr>
                <w:rFonts w:ascii="Book Antiqua" w:hAnsi="Book Antiqua" w:cs="Arial"/>
                <w:sz w:val="22"/>
                <w:szCs w:val="22"/>
              </w:rPr>
              <w:t xml:space="preserve"> monitoring since they have branches down to commune/village level.</w:t>
            </w:r>
          </w:p>
          <w:p w:rsidR="005870D7" w:rsidRPr="005B3882" w:rsidRDefault="005870D7" w:rsidP="003561C4">
            <w:pPr>
              <w:pStyle w:val="Default"/>
              <w:jc w:val="both"/>
              <w:rPr>
                <w:rFonts w:ascii="Book Antiqua" w:hAnsi="Book Antiqua" w:cs="Arial"/>
                <w:sz w:val="22"/>
                <w:szCs w:val="22"/>
              </w:rPr>
            </w:pPr>
          </w:p>
          <w:p w:rsidR="005870D7" w:rsidRPr="005B3882" w:rsidRDefault="005870D7" w:rsidP="003561C4">
            <w:pPr>
              <w:pStyle w:val="Default"/>
              <w:jc w:val="both"/>
              <w:rPr>
                <w:rFonts w:ascii="Book Antiqua" w:hAnsi="Book Antiqua" w:cs="Arial"/>
                <w:sz w:val="22"/>
                <w:szCs w:val="22"/>
              </w:rPr>
            </w:pPr>
            <w:r w:rsidRPr="005B3882">
              <w:rPr>
                <w:rFonts w:ascii="Book Antiqua" w:hAnsi="Book Antiqua" w:cs="Arial"/>
                <w:sz w:val="22"/>
                <w:szCs w:val="22"/>
              </w:rPr>
              <w:t xml:space="preserve">The need for comprehensive monitoring needs to be balanced with the transaction costs.  Care also needs to be taken to avoid any conflict of interest between the monitoring agency and recipients of </w:t>
            </w:r>
            <w:r>
              <w:rPr>
                <w:rFonts w:ascii="Book Antiqua" w:hAnsi="Book Antiqua" w:cs="Arial"/>
                <w:sz w:val="22"/>
                <w:szCs w:val="22"/>
              </w:rPr>
              <w:t>REDD+</w:t>
            </w:r>
            <w:r w:rsidRPr="005B3882">
              <w:rPr>
                <w:rFonts w:ascii="Book Antiqua" w:hAnsi="Book Antiqua" w:cs="Arial"/>
                <w:sz w:val="22"/>
                <w:szCs w:val="22"/>
              </w:rPr>
              <w:t xml:space="preserve"> funding.</w:t>
            </w:r>
          </w:p>
        </w:tc>
      </w:tr>
      <w:tr w:rsidR="005870D7" w:rsidRPr="003C0FC0">
        <w:tc>
          <w:tcPr>
            <w:tcW w:w="101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Options</w:t>
            </w:r>
          </w:p>
        </w:tc>
        <w:tc>
          <w:tcPr>
            <w:tcW w:w="399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5870D7" w:rsidRPr="005B3882" w:rsidRDefault="005870D7" w:rsidP="008227FD">
            <w:pPr>
              <w:pStyle w:val="Default"/>
              <w:numPr>
                <w:ilvl w:val="0"/>
                <w:numId w:val="123"/>
              </w:numPr>
              <w:tabs>
                <w:tab w:val="clear" w:pos="360"/>
                <w:tab w:val="num" w:pos="251"/>
              </w:tabs>
              <w:ind w:left="251" w:hanging="251"/>
              <w:jc w:val="both"/>
              <w:rPr>
                <w:rFonts w:ascii="Book Antiqua" w:hAnsi="Book Antiqua" w:cs="Arial"/>
                <w:sz w:val="22"/>
                <w:szCs w:val="22"/>
              </w:rPr>
            </w:pPr>
            <w:r w:rsidRPr="005B3882">
              <w:rPr>
                <w:rFonts w:ascii="Book Antiqua" w:hAnsi="Book Antiqua" w:cs="Arial"/>
                <w:sz w:val="22"/>
                <w:szCs w:val="22"/>
              </w:rPr>
              <w:t xml:space="preserve">Assign monitoring of different aspects of </w:t>
            </w:r>
            <w:r>
              <w:rPr>
                <w:rFonts w:ascii="Book Antiqua" w:hAnsi="Book Antiqua" w:cs="Arial"/>
                <w:sz w:val="22"/>
                <w:szCs w:val="22"/>
              </w:rPr>
              <w:t>REDD+</w:t>
            </w:r>
            <w:r w:rsidRPr="005B3882">
              <w:rPr>
                <w:rFonts w:ascii="Book Antiqua" w:hAnsi="Book Antiqua" w:cs="Arial"/>
                <w:sz w:val="22"/>
                <w:szCs w:val="22"/>
              </w:rPr>
              <w:t xml:space="preserve"> to different technical agencies in line with their mandates and competencies.</w:t>
            </w:r>
          </w:p>
          <w:p w:rsidR="005870D7" w:rsidRPr="005B3882" w:rsidRDefault="005870D7" w:rsidP="008227FD">
            <w:pPr>
              <w:pStyle w:val="Default"/>
              <w:numPr>
                <w:ilvl w:val="0"/>
                <w:numId w:val="123"/>
              </w:numPr>
              <w:tabs>
                <w:tab w:val="clear" w:pos="360"/>
                <w:tab w:val="num" w:pos="251"/>
              </w:tabs>
              <w:ind w:left="251" w:hanging="251"/>
              <w:jc w:val="both"/>
              <w:rPr>
                <w:rFonts w:ascii="Book Antiqua" w:hAnsi="Book Antiqua" w:cs="Arial"/>
                <w:sz w:val="22"/>
                <w:szCs w:val="22"/>
              </w:rPr>
            </w:pPr>
            <w:r w:rsidRPr="005B3882">
              <w:rPr>
                <w:rFonts w:ascii="Book Antiqua" w:hAnsi="Book Antiqua" w:cs="Arial"/>
                <w:sz w:val="22"/>
                <w:szCs w:val="22"/>
              </w:rPr>
              <w:t xml:space="preserve">Establish a comprehensive monitoring process to ensure </w:t>
            </w:r>
            <w:r w:rsidRPr="005B3882">
              <w:rPr>
                <w:rFonts w:ascii="Book Antiqua" w:hAnsi="Book Antiqua" w:cs="Arial"/>
                <w:sz w:val="22"/>
                <w:szCs w:val="22"/>
              </w:rPr>
              <w:lastRenderedPageBreak/>
              <w:t>effectiveness and efficiency across all types of monitoring and at all levels from national to local.</w:t>
            </w:r>
          </w:p>
        </w:tc>
      </w:tr>
      <w:tr w:rsidR="005870D7" w:rsidRPr="003C0FC0">
        <w:tc>
          <w:tcPr>
            <w:tcW w:w="101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lastRenderedPageBreak/>
              <w:t>Recommended principle or policy to be adopted</w:t>
            </w:r>
          </w:p>
        </w:tc>
        <w:tc>
          <w:tcPr>
            <w:tcW w:w="399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5870D7" w:rsidRPr="005B3882" w:rsidRDefault="005870D7" w:rsidP="003561C4">
            <w:pPr>
              <w:pStyle w:val="Default"/>
              <w:jc w:val="both"/>
              <w:rPr>
                <w:rFonts w:ascii="Book Antiqua" w:hAnsi="Book Antiqua" w:cs="Arial"/>
                <w:sz w:val="22"/>
                <w:szCs w:val="22"/>
              </w:rPr>
            </w:pPr>
            <w:r>
              <w:rPr>
                <w:rFonts w:ascii="Book Antiqua" w:hAnsi="Book Antiqua" w:cs="Arial"/>
                <w:sz w:val="22"/>
                <w:szCs w:val="22"/>
              </w:rPr>
              <w:t xml:space="preserve">Option </w:t>
            </w:r>
            <w:r w:rsidR="008E7F87">
              <w:rPr>
                <w:rFonts w:ascii="Book Antiqua" w:hAnsi="Book Antiqua" w:cs="Arial"/>
                <w:sz w:val="22"/>
                <w:szCs w:val="22"/>
              </w:rPr>
              <w:t>B</w:t>
            </w:r>
            <w:r w:rsidRPr="005B3882">
              <w:rPr>
                <w:rFonts w:ascii="Book Antiqua" w:hAnsi="Book Antiqua" w:cs="Arial"/>
                <w:sz w:val="22"/>
                <w:szCs w:val="22"/>
              </w:rPr>
              <w:t xml:space="preserve"> is recommended.  GoV should establish a </w:t>
            </w:r>
            <w:r>
              <w:rPr>
                <w:rFonts w:ascii="Book Antiqua" w:hAnsi="Book Antiqua" w:cs="Arial"/>
                <w:sz w:val="22"/>
                <w:szCs w:val="22"/>
              </w:rPr>
              <w:t>REDD+</w:t>
            </w:r>
            <w:r w:rsidRPr="005B3882">
              <w:rPr>
                <w:rFonts w:ascii="Book Antiqua" w:hAnsi="Book Antiqua" w:cs="Arial"/>
                <w:sz w:val="22"/>
                <w:szCs w:val="22"/>
              </w:rPr>
              <w:t xml:space="preserve"> Monitoring Body to oversee and coordinate all </w:t>
            </w:r>
            <w:r>
              <w:rPr>
                <w:rFonts w:ascii="Book Antiqua" w:hAnsi="Book Antiqua" w:cs="Arial"/>
                <w:sz w:val="22"/>
                <w:szCs w:val="22"/>
              </w:rPr>
              <w:t>REDD+</w:t>
            </w:r>
            <w:r w:rsidRPr="005B3882">
              <w:rPr>
                <w:rFonts w:ascii="Book Antiqua" w:hAnsi="Book Antiqua" w:cs="Arial"/>
                <w:sz w:val="22"/>
                <w:szCs w:val="22"/>
              </w:rPr>
              <w:t xml:space="preserve"> monitoring.  Members of this body should come from Government Inspection, Ministry of Finance, an independent financial auditing company (e.g., Viet Nam National Independent Auditing Company Ltd.), FPD, FIPI, and </w:t>
            </w:r>
            <w:r>
              <w:rPr>
                <w:rFonts w:ascii="Book Antiqua" w:hAnsi="Book Antiqua" w:cs="Arial"/>
                <w:sz w:val="22"/>
                <w:szCs w:val="22"/>
              </w:rPr>
              <w:t>Vietnamese</w:t>
            </w:r>
            <w:r w:rsidRPr="005B3882">
              <w:rPr>
                <w:rFonts w:ascii="Book Antiqua" w:hAnsi="Book Antiqua" w:cs="Arial"/>
                <w:sz w:val="22"/>
                <w:szCs w:val="22"/>
              </w:rPr>
              <w:t xml:space="preserve"> civil society organizations.  Except for the secretariat, members of this body may work part-time in the initial stages.</w:t>
            </w:r>
          </w:p>
          <w:p w:rsidR="005870D7" w:rsidRPr="005B3882" w:rsidRDefault="005870D7" w:rsidP="003561C4">
            <w:pPr>
              <w:pStyle w:val="Default"/>
              <w:jc w:val="both"/>
              <w:rPr>
                <w:rFonts w:ascii="Book Antiqua" w:hAnsi="Book Antiqua" w:cs="Arial"/>
                <w:sz w:val="22"/>
                <w:szCs w:val="22"/>
              </w:rPr>
            </w:pPr>
          </w:p>
          <w:p w:rsidR="005870D7" w:rsidRPr="005B3882" w:rsidRDefault="005870D7" w:rsidP="003561C4">
            <w:pPr>
              <w:pStyle w:val="Default"/>
              <w:jc w:val="both"/>
              <w:rPr>
                <w:rFonts w:ascii="Book Antiqua" w:hAnsi="Book Antiqua" w:cs="Arial"/>
                <w:sz w:val="22"/>
                <w:szCs w:val="22"/>
              </w:rPr>
            </w:pPr>
            <w:r w:rsidRPr="005B3882">
              <w:rPr>
                <w:rFonts w:ascii="Book Antiqua" w:hAnsi="Book Antiqua" w:cs="Arial"/>
                <w:sz w:val="22"/>
                <w:szCs w:val="22"/>
              </w:rPr>
              <w:t>At the provincial level, a similar structure should be established.  It is not necessary that members of the provincial body come from the province.  For example, civil society organizations or sub-FIPI may be based outside the province.  To reduce costs, lower level bodies would not be created; the provincial bodies would be responsible for monitoring down to the local level.</w:t>
            </w:r>
          </w:p>
        </w:tc>
      </w:tr>
      <w:tr w:rsidR="005870D7" w:rsidRPr="003C0FC0">
        <w:tc>
          <w:tcPr>
            <w:tcW w:w="1010" w:type="pct"/>
            <w:tcBorders>
              <w:top w:val="nil"/>
              <w:left w:val="nil"/>
              <w:bottom w:val="nil"/>
              <w:right w:val="single" w:sz="24" w:space="0" w:color="FFFFFF"/>
            </w:tcBorders>
            <w:shd w:val="clear" w:color="auto" w:fill="C2D69B"/>
            <w:tcMar>
              <w:top w:w="0" w:type="dxa"/>
              <w:left w:w="108" w:type="dxa"/>
              <w:bottom w:w="0" w:type="dxa"/>
              <w:right w:w="108" w:type="dxa"/>
            </w:tcMar>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shd w:val="clear" w:color="auto" w:fill="D6E3BC"/>
            <w:tcMar>
              <w:top w:w="0" w:type="dxa"/>
              <w:left w:w="108" w:type="dxa"/>
              <w:bottom w:w="0" w:type="dxa"/>
              <w:right w:w="108" w:type="dxa"/>
            </w:tcMar>
            <w:vAlign w:val="center"/>
          </w:tcPr>
          <w:p w:rsidR="005870D7" w:rsidRPr="005B3882" w:rsidRDefault="005870D7" w:rsidP="003561C4">
            <w:pPr>
              <w:pStyle w:val="Default"/>
              <w:jc w:val="both"/>
              <w:rPr>
                <w:rFonts w:ascii="Book Antiqua" w:hAnsi="Book Antiqua" w:cs="Arial"/>
                <w:sz w:val="22"/>
                <w:szCs w:val="22"/>
              </w:rPr>
            </w:pPr>
            <w:r>
              <w:rPr>
                <w:rFonts w:ascii="Book Antiqua" w:hAnsi="Book Antiqua" w:cs="Arial"/>
                <w:sz w:val="22"/>
                <w:szCs w:val="22"/>
              </w:rPr>
              <w:t>The</w:t>
            </w:r>
            <w:r w:rsidRPr="005B3882">
              <w:rPr>
                <w:rFonts w:ascii="Book Antiqua" w:hAnsi="Book Antiqua" w:cs="Arial"/>
                <w:sz w:val="22"/>
                <w:szCs w:val="22"/>
              </w:rPr>
              <w:t xml:space="preserve"> GoV should carry out an assessment of monitoring needs and costs through a review of current monitoring processes, taking into account the higher standard of monitoring expected under </w:t>
            </w:r>
            <w:r>
              <w:rPr>
                <w:rFonts w:ascii="Book Antiqua" w:hAnsi="Book Antiqua" w:cs="Arial"/>
                <w:sz w:val="22"/>
                <w:szCs w:val="22"/>
              </w:rPr>
              <w:t>REDD+</w:t>
            </w:r>
            <w:r w:rsidRPr="005B3882">
              <w:rPr>
                <w:rFonts w:ascii="Book Antiqua" w:hAnsi="Book Antiqua" w:cs="Arial"/>
                <w:sz w:val="22"/>
                <w:szCs w:val="22"/>
              </w:rPr>
              <w:t xml:space="preserve">.  Results of this assessment can then be used to develop a detailed plan for national and provincial </w:t>
            </w:r>
            <w:r>
              <w:rPr>
                <w:rFonts w:ascii="Book Antiqua" w:hAnsi="Book Antiqua" w:cs="Arial"/>
                <w:sz w:val="22"/>
                <w:szCs w:val="22"/>
              </w:rPr>
              <w:t>REDD+</w:t>
            </w:r>
            <w:r w:rsidRPr="005B3882">
              <w:rPr>
                <w:rFonts w:ascii="Book Antiqua" w:hAnsi="Book Antiqua" w:cs="Arial"/>
                <w:sz w:val="22"/>
                <w:szCs w:val="22"/>
              </w:rPr>
              <w:t xml:space="preserve"> monitoring.</w:t>
            </w:r>
          </w:p>
        </w:tc>
      </w:tr>
    </w:tbl>
    <w:p w:rsidR="005870D7" w:rsidRPr="00445F77" w:rsidRDefault="005870D7" w:rsidP="005870D7">
      <w:pPr>
        <w:spacing w:after="0"/>
        <w:jc w:val="both"/>
        <w:rPr>
          <w:rFonts w:ascii="Arial" w:hAnsi="Arial" w:cs="Arial"/>
          <w:color w:val="000000"/>
          <w:sz w:val="24"/>
          <w:szCs w:val="24"/>
        </w:rPr>
      </w:pPr>
    </w:p>
    <w:tbl>
      <w:tblPr>
        <w:tblpPr w:leftFromText="180" w:rightFromText="180" w:vertAnchor="text"/>
        <w:tblW w:w="5000" w:type="pct"/>
        <w:tblCellMar>
          <w:left w:w="0" w:type="dxa"/>
          <w:right w:w="0" w:type="dxa"/>
        </w:tblCellMar>
        <w:tblLook w:val="04A0"/>
      </w:tblPr>
      <w:tblGrid>
        <w:gridCol w:w="1819"/>
        <w:gridCol w:w="7185"/>
      </w:tblGrid>
      <w:tr w:rsidR="005870D7" w:rsidRPr="00445F77">
        <w:trPr>
          <w:tblHeader/>
        </w:trPr>
        <w:tc>
          <w:tcPr>
            <w:tcW w:w="5000" w:type="pct"/>
            <w:gridSpan w:val="2"/>
            <w:tcBorders>
              <w:top w:val="single" w:sz="24" w:space="0" w:color="FFFFFF"/>
              <w:left w:val="nil"/>
              <w:bottom w:val="single" w:sz="24" w:space="0" w:color="FFFFFF"/>
              <w:right w:val="nil"/>
            </w:tcBorders>
            <w:shd w:val="clear" w:color="auto" w:fill="76923C"/>
            <w:tcMar>
              <w:top w:w="0" w:type="dxa"/>
              <w:left w:w="108" w:type="dxa"/>
              <w:bottom w:w="0" w:type="dxa"/>
              <w:right w:w="108" w:type="dxa"/>
            </w:tcMar>
            <w:vAlign w:val="center"/>
          </w:tcPr>
          <w:p w:rsidR="005870D7" w:rsidRPr="007223AA" w:rsidRDefault="005870D7" w:rsidP="003561C4">
            <w:pPr>
              <w:spacing w:after="0" w:line="240" w:lineRule="auto"/>
              <w:jc w:val="center"/>
              <w:rPr>
                <w:rFonts w:ascii="Book Antiqua" w:hAnsi="Book Antiqua" w:cs="Arial"/>
                <w:b/>
                <w:color w:val="FFFFFF"/>
                <w:sz w:val="24"/>
                <w:szCs w:val="24"/>
              </w:rPr>
            </w:pPr>
            <w:r w:rsidRPr="007223AA">
              <w:rPr>
                <w:rFonts w:ascii="Book Antiqua" w:hAnsi="Book Antiqua" w:cs="Arial"/>
                <w:b/>
                <w:color w:val="FFFFFF"/>
                <w:sz w:val="24"/>
                <w:szCs w:val="24"/>
              </w:rPr>
              <w:t>POLICY DECISION 7.</w:t>
            </w:r>
            <w:r>
              <w:rPr>
                <w:rFonts w:ascii="Book Antiqua" w:hAnsi="Book Antiqua" w:cs="Arial"/>
                <w:b/>
                <w:color w:val="FFFFFF"/>
                <w:sz w:val="24"/>
                <w:szCs w:val="24"/>
              </w:rPr>
              <w:t>3</w:t>
            </w:r>
          </w:p>
          <w:p w:rsidR="005870D7" w:rsidRPr="00445F77" w:rsidRDefault="005870D7" w:rsidP="003561C4">
            <w:pPr>
              <w:spacing w:after="0" w:line="240" w:lineRule="auto"/>
              <w:jc w:val="center"/>
              <w:rPr>
                <w:rFonts w:ascii="Arial" w:hAnsi="Arial" w:cs="Arial"/>
                <w:color w:val="FFFFFF"/>
                <w:sz w:val="24"/>
                <w:szCs w:val="24"/>
              </w:rPr>
            </w:pPr>
            <w:r>
              <w:rPr>
                <w:rFonts w:ascii="Book Antiqua" w:hAnsi="Book Antiqua" w:cs="Arial"/>
                <w:b/>
                <w:color w:val="FFFFFF"/>
                <w:sz w:val="24"/>
                <w:szCs w:val="24"/>
              </w:rPr>
              <w:t>Audit</w:t>
            </w:r>
            <w:r w:rsidRPr="007223AA">
              <w:rPr>
                <w:rFonts w:ascii="Book Antiqua" w:hAnsi="Book Antiqua" w:cs="Arial"/>
                <w:b/>
                <w:color w:val="FFFFFF"/>
                <w:sz w:val="24"/>
                <w:szCs w:val="24"/>
              </w:rPr>
              <w:t>ing of financial transactions</w:t>
            </w:r>
          </w:p>
        </w:tc>
      </w:tr>
      <w:tr w:rsidR="005870D7" w:rsidRPr="00445F77">
        <w:tc>
          <w:tcPr>
            <w:tcW w:w="101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5870D7" w:rsidRPr="00EC1298" w:rsidRDefault="005870D7" w:rsidP="003561C4">
            <w:pPr>
              <w:spacing w:after="0" w:line="240" w:lineRule="auto"/>
              <w:rPr>
                <w:rFonts w:ascii="Book Antiqua" w:hAnsi="Book Antiqua" w:cs="Arial"/>
              </w:rPr>
            </w:pPr>
            <w:r w:rsidRPr="00EC1298">
              <w:rPr>
                <w:rFonts w:ascii="Book Antiqua" w:hAnsi="Book Antiqua" w:cs="Arial"/>
              </w:rPr>
              <w:t>Issue to be addressed</w:t>
            </w:r>
          </w:p>
        </w:tc>
        <w:tc>
          <w:tcPr>
            <w:tcW w:w="399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5870D7" w:rsidRPr="00D053A8" w:rsidRDefault="005870D7" w:rsidP="003561C4">
            <w:pPr>
              <w:spacing w:after="0" w:line="240" w:lineRule="auto"/>
              <w:jc w:val="both"/>
              <w:rPr>
                <w:rFonts w:ascii="Book Antiqua" w:hAnsi="Book Antiqua" w:cs="Arial"/>
              </w:rPr>
            </w:pPr>
            <w:r>
              <w:rPr>
                <w:rFonts w:ascii="Book Antiqua" w:hAnsi="Book Antiqua" w:cs="Arial"/>
              </w:rPr>
              <w:t>F</w:t>
            </w:r>
            <w:r w:rsidRPr="007223AA">
              <w:rPr>
                <w:rFonts w:ascii="Book Antiqua" w:hAnsi="Book Antiqua" w:cs="Arial"/>
              </w:rPr>
              <w:t xml:space="preserve">inancial transactions for </w:t>
            </w:r>
            <w:r>
              <w:rPr>
                <w:rFonts w:ascii="Book Antiqua" w:hAnsi="Book Antiqua" w:cs="Arial"/>
              </w:rPr>
              <w:t>REDD+</w:t>
            </w:r>
            <w:r w:rsidRPr="007223AA">
              <w:rPr>
                <w:rFonts w:ascii="Book Antiqua" w:hAnsi="Book Antiqua" w:cs="Arial"/>
              </w:rPr>
              <w:t xml:space="preserve">, must be </w:t>
            </w:r>
            <w:r>
              <w:rPr>
                <w:rFonts w:ascii="Book Antiqua" w:hAnsi="Book Antiqua" w:cs="Arial"/>
              </w:rPr>
              <w:t>audited</w:t>
            </w:r>
            <w:r w:rsidRPr="007223AA">
              <w:rPr>
                <w:rFonts w:ascii="Book Antiqua" w:hAnsi="Book Antiqua" w:cs="Arial"/>
              </w:rPr>
              <w:t xml:space="preserve"> to ensure </w:t>
            </w:r>
            <w:r>
              <w:rPr>
                <w:rFonts w:ascii="Book Antiqua" w:hAnsi="Book Antiqua" w:cs="Arial"/>
              </w:rPr>
              <w:t xml:space="preserve">that revenues are disbursed according to established policies, and that there is no diversion of funds of unnecessary hold-up in disbursement.  </w:t>
            </w:r>
            <w:r w:rsidRPr="007223AA">
              <w:rPr>
                <w:rFonts w:ascii="Book Antiqua" w:hAnsi="Book Antiqua" w:cs="Arial"/>
              </w:rPr>
              <w:t xml:space="preserve">Financial processes must meet standards for probity in both </w:t>
            </w:r>
            <w:r>
              <w:rPr>
                <w:rFonts w:ascii="Book Antiqua" w:hAnsi="Book Antiqua" w:cs="Arial"/>
              </w:rPr>
              <w:t>GoV</w:t>
            </w:r>
            <w:r w:rsidRPr="007223AA">
              <w:rPr>
                <w:rFonts w:ascii="Book Antiqua" w:hAnsi="Book Antiqua" w:cs="Arial"/>
              </w:rPr>
              <w:t xml:space="preserve"> and </w:t>
            </w:r>
            <w:r>
              <w:rPr>
                <w:rFonts w:ascii="Book Antiqua" w:hAnsi="Book Antiqua" w:cs="Arial"/>
              </w:rPr>
              <w:t>international stakeholders</w:t>
            </w:r>
            <w:r w:rsidRPr="007223AA">
              <w:rPr>
                <w:rFonts w:ascii="Book Antiqua" w:hAnsi="Book Antiqua" w:cs="Arial"/>
              </w:rPr>
              <w:t xml:space="preserve">. </w:t>
            </w:r>
            <w:r>
              <w:rPr>
                <w:rFonts w:ascii="Book Antiqua" w:hAnsi="Book Antiqua" w:cs="Arial"/>
              </w:rPr>
              <w:t xml:space="preserve"> </w:t>
            </w:r>
            <w:r w:rsidRPr="007223AA">
              <w:rPr>
                <w:rFonts w:ascii="Book Antiqua" w:hAnsi="Book Antiqua" w:cs="Arial"/>
              </w:rPr>
              <w:t xml:space="preserve">Investors and carbon offset purchasers will require independent confirmation that financial transactions are undertaken properly, an audit function is needed. In the absence of this sort of third party verification access to the </w:t>
            </w:r>
            <w:r>
              <w:rPr>
                <w:rFonts w:ascii="Book Antiqua" w:hAnsi="Book Antiqua" w:cs="Arial"/>
              </w:rPr>
              <w:t>REDD+</w:t>
            </w:r>
            <w:r w:rsidRPr="007223AA">
              <w:rPr>
                <w:rFonts w:ascii="Book Antiqua" w:hAnsi="Book Antiqua" w:cs="Arial"/>
              </w:rPr>
              <w:t xml:space="preserve"> market mechanisms will not be possible. </w:t>
            </w:r>
            <w:r>
              <w:rPr>
                <w:rFonts w:ascii="Book Antiqua" w:hAnsi="Book Antiqua" w:cs="Arial"/>
              </w:rPr>
              <w:t xml:space="preserve"> </w:t>
            </w:r>
            <w:r w:rsidRPr="007223AA">
              <w:rPr>
                <w:rFonts w:ascii="Book Antiqua" w:hAnsi="Book Antiqua" w:cs="Arial"/>
              </w:rPr>
              <w:t xml:space="preserve"> This is similar to the third party financial audit role as already practiced by the ‘big five’ auditing firms and others.</w:t>
            </w:r>
          </w:p>
        </w:tc>
      </w:tr>
      <w:tr w:rsidR="005870D7" w:rsidRPr="00445F77">
        <w:tc>
          <w:tcPr>
            <w:tcW w:w="101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5870D7" w:rsidRPr="00EC1298" w:rsidRDefault="005870D7" w:rsidP="003561C4">
            <w:pPr>
              <w:spacing w:after="0" w:line="240" w:lineRule="auto"/>
              <w:rPr>
                <w:rFonts w:ascii="Book Antiqua" w:hAnsi="Book Antiqua" w:cs="Arial"/>
              </w:rPr>
            </w:pPr>
            <w:r w:rsidRPr="00EC1298">
              <w:rPr>
                <w:rFonts w:ascii="Book Antiqua" w:hAnsi="Book Antiqua" w:cs="Arial"/>
              </w:rPr>
              <w:t>Options</w:t>
            </w:r>
          </w:p>
        </w:tc>
        <w:tc>
          <w:tcPr>
            <w:tcW w:w="399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5870D7" w:rsidRPr="009639CF" w:rsidRDefault="005870D7" w:rsidP="008227FD">
            <w:pPr>
              <w:pStyle w:val="ListParagraph"/>
              <w:numPr>
                <w:ilvl w:val="0"/>
                <w:numId w:val="137"/>
              </w:numPr>
              <w:spacing w:after="0" w:line="240" w:lineRule="auto"/>
              <w:ind w:left="251" w:hanging="270"/>
              <w:jc w:val="both"/>
              <w:rPr>
                <w:rFonts w:ascii="Book Antiqua" w:hAnsi="Book Antiqua" w:cs="Arial"/>
              </w:rPr>
            </w:pPr>
            <w:r w:rsidRPr="009639CF">
              <w:rPr>
                <w:rFonts w:ascii="Book Antiqua" w:hAnsi="Book Antiqua" w:cs="Arial"/>
              </w:rPr>
              <w:t>Independent external auditing is undertaken which meets the standards and norms required by the UNFCCC and international stakeholders.</w:t>
            </w:r>
          </w:p>
          <w:p w:rsidR="005870D7" w:rsidRPr="009639CF" w:rsidRDefault="005870D7" w:rsidP="008227FD">
            <w:pPr>
              <w:pStyle w:val="ListParagraph"/>
              <w:numPr>
                <w:ilvl w:val="0"/>
                <w:numId w:val="137"/>
              </w:numPr>
              <w:spacing w:after="0" w:line="240" w:lineRule="auto"/>
              <w:ind w:left="251" w:hanging="270"/>
              <w:jc w:val="both"/>
              <w:rPr>
                <w:rFonts w:ascii="Book Antiqua" w:hAnsi="Book Antiqua" w:cs="Arial"/>
              </w:rPr>
            </w:pPr>
            <w:r w:rsidRPr="009639CF">
              <w:rPr>
                <w:rFonts w:ascii="Book Antiqua" w:hAnsi="Book Antiqua" w:cs="Arial"/>
              </w:rPr>
              <w:t>Auditing of financial transactions follows standards and norms used for other national funds</w:t>
            </w:r>
          </w:p>
        </w:tc>
      </w:tr>
      <w:tr w:rsidR="005870D7" w:rsidRPr="00445F77">
        <w:tc>
          <w:tcPr>
            <w:tcW w:w="101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5870D7" w:rsidRPr="00EC1298" w:rsidRDefault="005870D7" w:rsidP="003561C4">
            <w:pPr>
              <w:spacing w:after="0" w:line="240" w:lineRule="auto"/>
              <w:rPr>
                <w:rFonts w:ascii="Book Antiqua" w:hAnsi="Book Antiqua" w:cs="Arial"/>
              </w:rPr>
            </w:pPr>
            <w:r w:rsidRPr="00EC1298">
              <w:rPr>
                <w:rFonts w:ascii="Book Antiqua" w:hAnsi="Book Antiqua" w:cs="Arial"/>
              </w:rPr>
              <w:t>Recommended principle or policy to be adopted</w:t>
            </w:r>
          </w:p>
        </w:tc>
        <w:tc>
          <w:tcPr>
            <w:tcW w:w="399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5870D7" w:rsidRPr="007223AA" w:rsidRDefault="005870D7" w:rsidP="003561C4">
            <w:pPr>
              <w:spacing w:after="0" w:line="240" w:lineRule="auto"/>
              <w:jc w:val="both"/>
              <w:rPr>
                <w:rFonts w:ascii="Book Antiqua" w:hAnsi="Book Antiqua" w:cs="Arial"/>
              </w:rPr>
            </w:pPr>
            <w:r>
              <w:rPr>
                <w:rFonts w:ascii="Book Antiqua" w:hAnsi="Book Antiqua" w:cs="Arial"/>
              </w:rPr>
              <w:t>Since auditing</w:t>
            </w:r>
            <w:r w:rsidRPr="007223AA">
              <w:rPr>
                <w:rFonts w:ascii="Book Antiqua" w:hAnsi="Book Antiqua" w:cs="Arial"/>
              </w:rPr>
              <w:t xml:space="preserve"> of financial transactions will be critical for credibility and is likely to be a pre-requisite for large scale investment</w:t>
            </w:r>
            <w:r>
              <w:rPr>
                <w:rFonts w:ascii="Book Antiqua" w:hAnsi="Book Antiqua" w:cs="Arial"/>
              </w:rPr>
              <w:t xml:space="preserve">, adopting any norms and standards other than those imposed or expected by international stakeholders, especially the UNFCCC and potential REDD+ investors or fund managers will endanger REDD+ revenue flows.  Consequently, GoV should confirm that REDD+ revenue disbursement will be subject to independent external auditing. </w:t>
            </w:r>
          </w:p>
        </w:tc>
      </w:tr>
      <w:tr w:rsidR="005870D7" w:rsidRPr="00445F77">
        <w:tc>
          <w:tcPr>
            <w:tcW w:w="1010" w:type="pct"/>
            <w:tcBorders>
              <w:top w:val="nil"/>
              <w:left w:val="nil"/>
              <w:bottom w:val="nil"/>
              <w:right w:val="single" w:sz="24" w:space="0" w:color="FFFFFF"/>
            </w:tcBorders>
            <w:shd w:val="clear" w:color="auto" w:fill="C2D69B"/>
            <w:tcMar>
              <w:top w:w="0" w:type="dxa"/>
              <w:left w:w="108" w:type="dxa"/>
              <w:bottom w:w="0" w:type="dxa"/>
              <w:right w:w="108" w:type="dxa"/>
            </w:tcMar>
            <w:vAlign w:val="center"/>
          </w:tcPr>
          <w:p w:rsidR="005870D7" w:rsidRPr="00EC1298" w:rsidRDefault="005870D7" w:rsidP="003561C4">
            <w:pPr>
              <w:spacing w:after="0" w:line="240" w:lineRule="auto"/>
              <w:rPr>
                <w:rFonts w:ascii="Book Antiqua" w:hAnsi="Book Antiqua" w:cs="Arial"/>
              </w:rPr>
            </w:pPr>
            <w:r>
              <w:rPr>
                <w:rFonts w:ascii="Book Antiqua" w:hAnsi="Book Antiqua" w:cs="Arial"/>
              </w:rPr>
              <w:t xml:space="preserve">Actions required to </w:t>
            </w:r>
            <w:r>
              <w:rPr>
                <w:rFonts w:ascii="Book Antiqua" w:hAnsi="Book Antiqua" w:cs="Arial"/>
              </w:rPr>
              <w:lastRenderedPageBreak/>
              <w:t>confirm policy option</w:t>
            </w:r>
          </w:p>
        </w:tc>
        <w:tc>
          <w:tcPr>
            <w:tcW w:w="3990" w:type="pct"/>
            <w:shd w:val="clear" w:color="auto" w:fill="D6E3BC"/>
            <w:tcMar>
              <w:top w:w="0" w:type="dxa"/>
              <w:left w:w="108" w:type="dxa"/>
              <w:bottom w:w="0" w:type="dxa"/>
              <w:right w:w="108" w:type="dxa"/>
            </w:tcMar>
            <w:vAlign w:val="center"/>
          </w:tcPr>
          <w:p w:rsidR="005870D7" w:rsidRDefault="005870D7" w:rsidP="003561C4">
            <w:pPr>
              <w:spacing w:after="0" w:line="240" w:lineRule="auto"/>
              <w:jc w:val="both"/>
              <w:rPr>
                <w:rFonts w:ascii="Book Antiqua" w:hAnsi="Book Antiqua" w:cs="Arial"/>
              </w:rPr>
            </w:pPr>
            <w:r>
              <w:rPr>
                <w:rFonts w:ascii="Book Antiqua" w:hAnsi="Book Antiqua" w:cs="Arial"/>
              </w:rPr>
              <w:lastRenderedPageBreak/>
              <w:t xml:space="preserve">Develop guidelines to be used to ensure the application of </w:t>
            </w:r>
            <w:r w:rsidRPr="007223AA">
              <w:rPr>
                <w:rFonts w:ascii="Book Antiqua" w:hAnsi="Book Antiqua" w:cs="Arial"/>
              </w:rPr>
              <w:t xml:space="preserve">relevant international standards, norms and procedures </w:t>
            </w:r>
            <w:r>
              <w:rPr>
                <w:rFonts w:ascii="Book Antiqua" w:hAnsi="Book Antiqua" w:cs="Arial"/>
              </w:rPr>
              <w:t>for auditing of REDD+</w:t>
            </w:r>
            <w:r w:rsidRPr="007223AA">
              <w:rPr>
                <w:rFonts w:ascii="Book Antiqua" w:hAnsi="Book Antiqua" w:cs="Arial"/>
              </w:rPr>
              <w:t xml:space="preserve"> </w:t>
            </w:r>
            <w:r w:rsidRPr="007223AA">
              <w:rPr>
                <w:rFonts w:ascii="Book Antiqua" w:hAnsi="Book Antiqua" w:cs="Arial"/>
              </w:rPr>
              <w:lastRenderedPageBreak/>
              <w:t>financial flows</w:t>
            </w:r>
            <w:r>
              <w:rPr>
                <w:rFonts w:ascii="Book Antiqua" w:hAnsi="Book Antiqua" w:cs="Arial"/>
              </w:rPr>
              <w:t>.</w:t>
            </w:r>
          </w:p>
          <w:p w:rsidR="005870D7" w:rsidRDefault="005870D7" w:rsidP="003561C4">
            <w:pPr>
              <w:spacing w:after="0" w:line="240" w:lineRule="auto"/>
              <w:ind w:left="-29"/>
              <w:jc w:val="both"/>
              <w:rPr>
                <w:rFonts w:ascii="Book Antiqua" w:hAnsi="Book Antiqua" w:cs="Arial"/>
              </w:rPr>
            </w:pPr>
          </w:p>
          <w:p w:rsidR="005870D7" w:rsidRPr="00D007B8" w:rsidRDefault="005870D7" w:rsidP="003561C4">
            <w:pPr>
              <w:spacing w:after="0" w:line="240" w:lineRule="auto"/>
              <w:ind w:left="-29"/>
              <w:jc w:val="both"/>
              <w:rPr>
                <w:rFonts w:ascii="Book Antiqua" w:hAnsi="Book Antiqua" w:cs="Arial"/>
              </w:rPr>
            </w:pPr>
            <w:r>
              <w:rPr>
                <w:rFonts w:ascii="Book Antiqua" w:hAnsi="Book Antiqua" w:cs="Arial"/>
              </w:rPr>
              <w:t>Undertake a comprehensive awareness raising and training programme to ensure that all officials potentially involved in disbursement of REDD+ revenues are aware of the policies and procedures for disbursement and the intent to apply international standards of auditing to financial management.</w:t>
            </w:r>
          </w:p>
        </w:tc>
      </w:tr>
    </w:tbl>
    <w:p w:rsidR="005870D7" w:rsidRPr="003C0FC0" w:rsidRDefault="005870D7" w:rsidP="005870D7">
      <w:pPr>
        <w:spacing w:after="0" w:line="240" w:lineRule="auto"/>
        <w:jc w:val="both"/>
        <w:rPr>
          <w:rFonts w:ascii="Book Antiqua" w:hAnsi="Book Antiqua" w:cs="Arial"/>
          <w:color w:val="000000"/>
        </w:rPr>
      </w:pPr>
    </w:p>
    <w:p w:rsidR="005870D7" w:rsidRPr="003C0FC0" w:rsidRDefault="005870D7" w:rsidP="005870D7">
      <w:pPr>
        <w:spacing w:after="0" w:line="240" w:lineRule="auto"/>
        <w:rPr>
          <w:rFonts w:ascii="Book Antiqua" w:hAnsi="Book Antiqua" w:cs="Arial"/>
          <w:sz w:val="24"/>
          <w:szCs w:val="24"/>
        </w:rPr>
      </w:pPr>
    </w:p>
    <w:tbl>
      <w:tblPr>
        <w:tblpPr w:leftFromText="180" w:rightFromText="180" w:vertAnchor="text"/>
        <w:tblW w:w="5000" w:type="pct"/>
        <w:tblCellMar>
          <w:left w:w="0" w:type="dxa"/>
          <w:right w:w="0" w:type="dxa"/>
        </w:tblCellMar>
        <w:tblLook w:val="04A0"/>
      </w:tblPr>
      <w:tblGrid>
        <w:gridCol w:w="1819"/>
        <w:gridCol w:w="7185"/>
      </w:tblGrid>
      <w:tr w:rsidR="005870D7" w:rsidRPr="003C0FC0">
        <w:trPr>
          <w:tblHeader/>
        </w:trPr>
        <w:tc>
          <w:tcPr>
            <w:tcW w:w="5000" w:type="pct"/>
            <w:gridSpan w:val="2"/>
            <w:tcBorders>
              <w:top w:val="single" w:sz="24" w:space="0" w:color="FFFFFF"/>
              <w:left w:val="nil"/>
              <w:bottom w:val="single" w:sz="24" w:space="0" w:color="FFFFFF"/>
              <w:right w:val="nil"/>
            </w:tcBorders>
            <w:shd w:val="clear" w:color="auto" w:fill="76923C"/>
            <w:tcMar>
              <w:top w:w="0" w:type="dxa"/>
              <w:left w:w="108" w:type="dxa"/>
              <w:bottom w:w="0" w:type="dxa"/>
              <w:right w:w="108" w:type="dxa"/>
            </w:tcMar>
            <w:vAlign w:val="center"/>
          </w:tcPr>
          <w:p w:rsidR="005870D7" w:rsidRPr="003C0FC0" w:rsidRDefault="005870D7" w:rsidP="003561C4">
            <w:pPr>
              <w:spacing w:after="0" w:line="240" w:lineRule="auto"/>
              <w:jc w:val="center"/>
              <w:rPr>
                <w:rFonts w:ascii="Book Antiqua" w:hAnsi="Book Antiqua" w:cs="Arial"/>
                <w:b/>
                <w:color w:val="FFFFFF"/>
                <w:sz w:val="24"/>
                <w:szCs w:val="24"/>
              </w:rPr>
            </w:pPr>
            <w:r w:rsidRPr="003C0FC0">
              <w:rPr>
                <w:rFonts w:ascii="Book Antiqua" w:hAnsi="Book Antiqua" w:cs="Arial"/>
                <w:b/>
                <w:color w:val="FFFFFF"/>
                <w:sz w:val="24"/>
                <w:szCs w:val="24"/>
              </w:rPr>
              <w:t>POLICY DECISION 7.</w:t>
            </w:r>
            <w:r>
              <w:rPr>
                <w:rFonts w:ascii="Book Antiqua" w:hAnsi="Book Antiqua" w:cs="Arial"/>
                <w:b/>
                <w:color w:val="FFFFFF"/>
                <w:sz w:val="24"/>
                <w:szCs w:val="24"/>
              </w:rPr>
              <w:t>4</w:t>
            </w:r>
          </w:p>
          <w:p w:rsidR="005870D7" w:rsidRPr="003C0FC0" w:rsidRDefault="005870D7" w:rsidP="003561C4">
            <w:pPr>
              <w:spacing w:after="0" w:line="240" w:lineRule="auto"/>
              <w:jc w:val="center"/>
              <w:rPr>
                <w:rFonts w:ascii="Book Antiqua" w:hAnsi="Book Antiqua" w:cs="Arial"/>
                <w:color w:val="FFFFFF"/>
                <w:sz w:val="24"/>
                <w:szCs w:val="24"/>
              </w:rPr>
            </w:pPr>
            <w:r w:rsidRPr="003C0FC0">
              <w:rPr>
                <w:rFonts w:ascii="Book Antiqua" w:hAnsi="Book Antiqua" w:cs="Arial"/>
                <w:b/>
                <w:color w:val="FFFFFF"/>
                <w:sz w:val="24"/>
                <w:szCs w:val="24"/>
              </w:rPr>
              <w:t>Design of a socially acceptable recourse mechanism</w:t>
            </w:r>
          </w:p>
        </w:tc>
      </w:tr>
      <w:tr w:rsidR="005870D7" w:rsidRPr="003C0FC0">
        <w:tc>
          <w:tcPr>
            <w:tcW w:w="101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Issue to be addressed</w:t>
            </w:r>
          </w:p>
        </w:tc>
        <w:tc>
          <w:tcPr>
            <w:tcW w:w="399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5870D7" w:rsidRPr="003C0FC0" w:rsidRDefault="005870D7" w:rsidP="003561C4">
            <w:pPr>
              <w:spacing w:after="0" w:line="240" w:lineRule="auto"/>
              <w:jc w:val="both"/>
              <w:rPr>
                <w:rFonts w:ascii="Book Antiqua" w:hAnsi="Book Antiqua" w:cs="Arial"/>
              </w:rPr>
            </w:pPr>
            <w:r w:rsidRPr="003C0FC0">
              <w:rPr>
                <w:rFonts w:ascii="Book Antiqua" w:hAnsi="Book Antiqua" w:cs="Arial"/>
              </w:rPr>
              <w:t>Any BDS, however well designed, will inevitably give rise to complaints by those who think that they have not been rewarded appropriately and/or are losing out to free-riders who receive benefits but have made no contribution to forest protection and reduced carbon emissions</w:t>
            </w:r>
          </w:p>
        </w:tc>
      </w:tr>
      <w:tr w:rsidR="005870D7" w:rsidRPr="003C0FC0">
        <w:tc>
          <w:tcPr>
            <w:tcW w:w="101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5870D7" w:rsidRPr="003C0FC0" w:rsidRDefault="005870D7" w:rsidP="003561C4">
            <w:pPr>
              <w:spacing w:after="0" w:line="240" w:lineRule="auto"/>
              <w:rPr>
                <w:rFonts w:ascii="Book Antiqua" w:hAnsi="Book Antiqua" w:cs="Arial"/>
              </w:rPr>
            </w:pPr>
            <w:r w:rsidRPr="003C0FC0">
              <w:rPr>
                <w:rFonts w:ascii="Book Antiqua" w:hAnsi="Book Antiqua" w:cs="Arial"/>
              </w:rPr>
              <w:t>Options</w:t>
            </w:r>
          </w:p>
        </w:tc>
        <w:tc>
          <w:tcPr>
            <w:tcW w:w="399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5870D7" w:rsidRPr="008E7F87" w:rsidRDefault="005870D7" w:rsidP="008227FD">
            <w:pPr>
              <w:pStyle w:val="ListParagraph"/>
              <w:numPr>
                <w:ilvl w:val="0"/>
                <w:numId w:val="151"/>
              </w:numPr>
              <w:spacing w:after="0" w:line="240" w:lineRule="auto"/>
              <w:ind w:left="251" w:hanging="270"/>
              <w:jc w:val="both"/>
              <w:rPr>
                <w:rFonts w:ascii="Book Antiqua" w:hAnsi="Book Antiqua" w:cs="Arial"/>
              </w:rPr>
            </w:pPr>
            <w:r w:rsidRPr="008E7F87">
              <w:rPr>
                <w:rFonts w:ascii="Book Antiqua" w:hAnsi="Book Antiqua" w:cs="Arial"/>
              </w:rPr>
              <w:t>Recourse mechanism that is entirely managed by government.</w:t>
            </w:r>
          </w:p>
          <w:p w:rsidR="005870D7" w:rsidRPr="008E7F87" w:rsidRDefault="005870D7" w:rsidP="008227FD">
            <w:pPr>
              <w:pStyle w:val="ListParagraph"/>
              <w:numPr>
                <w:ilvl w:val="0"/>
                <w:numId w:val="151"/>
              </w:numPr>
              <w:spacing w:after="0" w:line="240" w:lineRule="auto"/>
              <w:ind w:left="251" w:hanging="270"/>
              <w:jc w:val="both"/>
              <w:rPr>
                <w:rFonts w:ascii="Book Antiqua" w:hAnsi="Book Antiqua" w:cs="Arial"/>
              </w:rPr>
            </w:pPr>
            <w:r w:rsidRPr="008E7F87">
              <w:rPr>
                <w:rFonts w:ascii="Book Antiqua" w:hAnsi="Book Antiqua" w:cs="Arial"/>
              </w:rPr>
              <w:t>Recourse mechanism that includes civil society participation.</w:t>
            </w:r>
          </w:p>
        </w:tc>
      </w:tr>
      <w:tr w:rsidR="00103E2D" w:rsidRPr="003C0FC0">
        <w:tc>
          <w:tcPr>
            <w:tcW w:w="1010" w:type="pct"/>
            <w:tcBorders>
              <w:top w:val="nil"/>
              <w:left w:val="nil"/>
              <w:bottom w:val="single" w:sz="8" w:space="0" w:color="FFFFFF"/>
              <w:right w:val="single" w:sz="24" w:space="0" w:color="FFFFFF"/>
            </w:tcBorders>
            <w:shd w:val="clear" w:color="auto" w:fill="C2D69B"/>
            <w:tcMar>
              <w:top w:w="0" w:type="dxa"/>
              <w:left w:w="108" w:type="dxa"/>
              <w:bottom w:w="0" w:type="dxa"/>
              <w:right w:w="108" w:type="dxa"/>
            </w:tcMar>
            <w:vAlign w:val="center"/>
          </w:tcPr>
          <w:p w:rsidR="00103E2D" w:rsidRPr="003C0FC0" w:rsidRDefault="00103E2D" w:rsidP="00103E2D">
            <w:pPr>
              <w:spacing w:after="0" w:line="240" w:lineRule="auto"/>
              <w:rPr>
                <w:rFonts w:ascii="Book Antiqua" w:hAnsi="Book Antiqua" w:cs="Arial"/>
              </w:rPr>
            </w:pPr>
            <w:r w:rsidRPr="003C0FC0">
              <w:rPr>
                <w:rFonts w:ascii="Book Antiqua" w:hAnsi="Book Antiqua" w:cs="Arial"/>
              </w:rPr>
              <w:t>Recommended principle or policy to be adopted</w:t>
            </w:r>
          </w:p>
        </w:tc>
        <w:tc>
          <w:tcPr>
            <w:tcW w:w="3990" w:type="pct"/>
            <w:tcBorders>
              <w:top w:val="nil"/>
              <w:left w:val="nil"/>
              <w:bottom w:val="single" w:sz="8" w:space="0" w:color="FFFFFF"/>
              <w:right w:val="nil"/>
            </w:tcBorders>
            <w:shd w:val="clear" w:color="auto" w:fill="D6E3BC"/>
            <w:tcMar>
              <w:top w:w="0" w:type="dxa"/>
              <w:left w:w="108" w:type="dxa"/>
              <w:bottom w:w="0" w:type="dxa"/>
              <w:right w:w="108" w:type="dxa"/>
            </w:tcMar>
            <w:vAlign w:val="center"/>
          </w:tcPr>
          <w:p w:rsidR="00103E2D" w:rsidRPr="003C0FC0" w:rsidRDefault="00103E2D" w:rsidP="008E7F87">
            <w:pPr>
              <w:spacing w:after="0" w:line="240" w:lineRule="auto"/>
              <w:jc w:val="both"/>
              <w:rPr>
                <w:rFonts w:ascii="Book Antiqua" w:hAnsi="Book Antiqua" w:cs="Arial"/>
              </w:rPr>
            </w:pPr>
            <w:r>
              <w:rPr>
                <w:rFonts w:ascii="Book Antiqua" w:hAnsi="Book Antiqua" w:cs="Arial"/>
              </w:rPr>
              <w:t xml:space="preserve">Option </w:t>
            </w:r>
            <w:r w:rsidR="008E7F87">
              <w:rPr>
                <w:rFonts w:ascii="Book Antiqua" w:hAnsi="Book Antiqua" w:cs="Arial"/>
              </w:rPr>
              <w:t>B</w:t>
            </w:r>
            <w:r w:rsidRPr="005B3882">
              <w:rPr>
                <w:rFonts w:ascii="Book Antiqua" w:hAnsi="Book Antiqua" w:cs="Arial"/>
              </w:rPr>
              <w:t xml:space="preserve"> is recommended.  Given the importance of managing complaints to ensure that the BDS rewards those who deserve to be rewarded on the basis of emissions reductions and to generate information that can be used to improve the BDS, a credible recourse mechanism is required.  GoV should consider establishing a recourse mechanism that allows complaints to be managed transparently and efficiently and how </w:t>
            </w:r>
            <w:r>
              <w:rPr>
                <w:rFonts w:ascii="Book Antiqua" w:hAnsi="Book Antiqua" w:cs="Arial"/>
              </w:rPr>
              <w:t>Vietnamese</w:t>
            </w:r>
            <w:r w:rsidRPr="005B3882">
              <w:rPr>
                <w:rFonts w:ascii="Book Antiqua" w:hAnsi="Book Antiqua" w:cs="Arial"/>
              </w:rPr>
              <w:t xml:space="preserve"> civil society organizations can be most appropriately integrated into such a mechanism.  </w:t>
            </w:r>
            <w:r w:rsidRPr="003C0FC0">
              <w:rPr>
                <w:rFonts w:ascii="Book Antiqua" w:hAnsi="Book Antiqua" w:cs="Arial"/>
              </w:rPr>
              <w:t xml:space="preserve">.  </w:t>
            </w:r>
          </w:p>
        </w:tc>
      </w:tr>
      <w:tr w:rsidR="00103E2D" w:rsidRPr="003C0FC0">
        <w:tc>
          <w:tcPr>
            <w:tcW w:w="1010" w:type="pct"/>
            <w:tcBorders>
              <w:top w:val="nil"/>
              <w:left w:val="nil"/>
              <w:bottom w:val="nil"/>
              <w:right w:val="single" w:sz="24" w:space="0" w:color="FFFFFF"/>
            </w:tcBorders>
            <w:shd w:val="clear" w:color="auto" w:fill="C2D69B"/>
            <w:tcMar>
              <w:top w:w="0" w:type="dxa"/>
              <w:left w:w="108" w:type="dxa"/>
              <w:bottom w:w="0" w:type="dxa"/>
              <w:right w:w="108" w:type="dxa"/>
            </w:tcMar>
            <w:vAlign w:val="center"/>
          </w:tcPr>
          <w:p w:rsidR="00103E2D" w:rsidRPr="003C0FC0" w:rsidRDefault="00103E2D" w:rsidP="00103E2D">
            <w:pPr>
              <w:spacing w:after="0" w:line="240" w:lineRule="auto"/>
              <w:rPr>
                <w:rFonts w:ascii="Book Antiqua" w:hAnsi="Book Antiqua" w:cs="Arial"/>
              </w:rPr>
            </w:pPr>
            <w:r w:rsidRPr="003C0FC0">
              <w:rPr>
                <w:rFonts w:ascii="Book Antiqua" w:hAnsi="Book Antiqua" w:cs="Arial"/>
              </w:rPr>
              <w:t>Actions required to confirm policy option</w:t>
            </w:r>
          </w:p>
        </w:tc>
        <w:tc>
          <w:tcPr>
            <w:tcW w:w="3990" w:type="pct"/>
            <w:shd w:val="clear" w:color="auto" w:fill="D6E3BC"/>
            <w:tcMar>
              <w:top w:w="0" w:type="dxa"/>
              <w:left w:w="108" w:type="dxa"/>
              <w:bottom w:w="0" w:type="dxa"/>
              <w:right w:w="108" w:type="dxa"/>
            </w:tcMar>
            <w:vAlign w:val="center"/>
          </w:tcPr>
          <w:p w:rsidR="00103E2D" w:rsidRPr="003C0FC0" w:rsidRDefault="00103E2D" w:rsidP="00103E2D">
            <w:pPr>
              <w:spacing w:after="0" w:line="240" w:lineRule="auto"/>
              <w:jc w:val="both"/>
              <w:rPr>
                <w:rFonts w:ascii="Book Antiqua" w:hAnsi="Book Antiqua" w:cs="Arial"/>
              </w:rPr>
            </w:pPr>
            <w:r>
              <w:rPr>
                <w:rFonts w:ascii="Book Antiqua" w:hAnsi="Book Antiqua" w:cs="Arial"/>
              </w:rPr>
              <w:t xml:space="preserve">The </w:t>
            </w:r>
            <w:r w:rsidRPr="005B3882">
              <w:rPr>
                <w:rFonts w:ascii="Book Antiqua" w:hAnsi="Book Antiqua" w:cs="Arial"/>
              </w:rPr>
              <w:t>GoV should undertake a more detailed analysis of the appropriate institutional structure of a participatory recourse mechanism.  This should lead to a communications strategy through which information on the proposed recourse mechanism is widely disseminated to all</w:t>
            </w:r>
            <w:r>
              <w:rPr>
                <w:rFonts w:ascii="Book Antiqua" w:hAnsi="Book Antiqua" w:cs="Arial"/>
              </w:rPr>
              <w:t xml:space="preserve"> stakeholders.</w:t>
            </w:r>
          </w:p>
        </w:tc>
      </w:tr>
    </w:tbl>
    <w:p w:rsidR="005870D7" w:rsidRPr="009B54BA" w:rsidRDefault="005870D7" w:rsidP="005870D7">
      <w:pPr>
        <w:autoSpaceDE w:val="0"/>
        <w:autoSpaceDN w:val="0"/>
        <w:adjustRightInd w:val="0"/>
        <w:spacing w:after="0" w:line="240" w:lineRule="auto"/>
        <w:ind w:left="-142"/>
        <w:rPr>
          <w:rFonts w:ascii="Book Antiqua" w:hAnsi="Book Antiqua" w:cs="Arial"/>
          <w:color w:val="C00000"/>
          <w:sz w:val="24"/>
          <w:szCs w:val="24"/>
          <w:lang w:val="en-US" w:eastAsia="en-GB"/>
        </w:rPr>
      </w:pPr>
    </w:p>
    <w:p w:rsidR="005870D7" w:rsidRPr="003C0FC0" w:rsidRDefault="005870D7" w:rsidP="005870D7">
      <w:pPr>
        <w:spacing w:after="0" w:line="240" w:lineRule="auto"/>
        <w:rPr>
          <w:rFonts w:ascii="Book Antiqua" w:hAnsi="Book Antiqua" w:cs="Arial"/>
        </w:rPr>
      </w:pPr>
    </w:p>
    <w:p w:rsidR="007223AA" w:rsidRPr="00445F77" w:rsidRDefault="007223AA" w:rsidP="007223AA">
      <w:pPr>
        <w:spacing w:after="0" w:line="240" w:lineRule="auto"/>
        <w:contextualSpacing/>
        <w:rPr>
          <w:rFonts w:ascii="Arial" w:hAnsi="Arial" w:cs="Arial"/>
          <w:color w:val="1F497D"/>
          <w:sz w:val="24"/>
          <w:szCs w:val="24"/>
        </w:rPr>
      </w:pPr>
      <w:r w:rsidRPr="00445F77">
        <w:rPr>
          <w:rFonts w:ascii="Arial" w:hAnsi="Arial" w:cs="Arial"/>
          <w:color w:val="1F497D"/>
          <w:sz w:val="24"/>
          <w:szCs w:val="24"/>
        </w:rPr>
        <w:br w:type="page"/>
      </w:r>
    </w:p>
    <w:p w:rsidR="007223AA" w:rsidRPr="00445F77" w:rsidRDefault="007223AA" w:rsidP="008F6D17">
      <w:pPr>
        <w:pStyle w:val="Heading1"/>
        <w:spacing w:after="0"/>
      </w:pPr>
      <w:bookmarkStart w:id="530" w:name="_Toc244586252"/>
      <w:bookmarkStart w:id="531" w:name="_Toc252354760"/>
      <w:r w:rsidRPr="00445F77">
        <w:lastRenderedPageBreak/>
        <w:t xml:space="preserve">Chapter </w:t>
      </w:r>
      <w:r w:rsidR="00603A24">
        <w:t>9</w:t>
      </w:r>
      <w:r w:rsidRPr="00445F77">
        <w:t xml:space="preserve">: </w:t>
      </w:r>
      <w:r w:rsidRPr="00445F77">
        <w:rPr>
          <w:rStyle w:val="Heading2Char"/>
          <w:rFonts w:ascii="Arial" w:hAnsi="Arial" w:cs="Arial"/>
          <w:sz w:val="24"/>
          <w:szCs w:val="24"/>
        </w:rPr>
        <w:t>Summary and Future Work</w:t>
      </w:r>
      <w:bookmarkEnd w:id="530"/>
      <w:bookmarkEnd w:id="531"/>
      <w:r w:rsidRPr="00445F77">
        <w:t xml:space="preserve"> </w:t>
      </w:r>
    </w:p>
    <w:p w:rsidR="007223AA" w:rsidRPr="00445F77" w:rsidRDefault="007223AA" w:rsidP="008F6D17">
      <w:pPr>
        <w:pStyle w:val="Heading1"/>
        <w:spacing w:after="0"/>
      </w:pPr>
    </w:p>
    <w:p w:rsidR="007223AA" w:rsidRPr="00F94F09" w:rsidRDefault="007223AA" w:rsidP="008F6D17">
      <w:pPr>
        <w:spacing w:after="0" w:line="300" w:lineRule="exact"/>
        <w:contextualSpacing/>
        <w:jc w:val="both"/>
        <w:rPr>
          <w:rFonts w:ascii="Book Antiqua" w:hAnsi="Book Antiqua" w:cs="Arial"/>
          <w:lang w:val="en-US"/>
        </w:rPr>
      </w:pPr>
      <w:r w:rsidRPr="00F94F09">
        <w:rPr>
          <w:rFonts w:ascii="Book Antiqua" w:hAnsi="Book Antiqua" w:cs="Arial"/>
          <w:lang w:val="en-US"/>
        </w:rPr>
        <w:t>The current study has reviewed elements of a REDD-compliant BDS for Viet Nam, identified the potential barriers to and constraints on such a system, identified options to overcome these barriers and constraints, and in some cases made specific recommendations.  Further work by GoV and others is needed to futher define specific options; identifying the optimal course of action requires further analysis, discussion, and testing.</w:t>
      </w:r>
    </w:p>
    <w:p w:rsidR="007223AA" w:rsidRPr="00F94F09" w:rsidRDefault="007223AA" w:rsidP="008F6D17">
      <w:pPr>
        <w:spacing w:after="0" w:line="300" w:lineRule="exact"/>
        <w:contextualSpacing/>
        <w:jc w:val="both"/>
        <w:rPr>
          <w:rFonts w:ascii="Book Antiqua" w:hAnsi="Book Antiqua" w:cs="Arial"/>
          <w:lang w:val="en-US"/>
        </w:rPr>
      </w:pPr>
    </w:p>
    <w:p w:rsidR="007223AA" w:rsidRPr="00F94F09" w:rsidRDefault="007223AA" w:rsidP="008F6D17">
      <w:pPr>
        <w:spacing w:after="0" w:line="300" w:lineRule="exact"/>
        <w:contextualSpacing/>
        <w:jc w:val="both"/>
        <w:rPr>
          <w:rFonts w:ascii="Book Antiqua" w:hAnsi="Book Antiqua" w:cs="Arial"/>
          <w:lang w:val="en-US"/>
        </w:rPr>
      </w:pPr>
      <w:r w:rsidRPr="00F94F09">
        <w:rPr>
          <w:rFonts w:ascii="Book Antiqua" w:hAnsi="Book Antiqua" w:cs="Arial"/>
          <w:lang w:val="en-US"/>
        </w:rPr>
        <w:t>The establishment of a REDD-compliant BDS for Viet Nam will continue to be a GoV priority and will be supported by the UN-REDD Programme.  On-going studies are needed to:</w:t>
      </w:r>
    </w:p>
    <w:p w:rsidR="007223AA" w:rsidRPr="00F94F09" w:rsidRDefault="007223AA" w:rsidP="008F6D17">
      <w:pPr>
        <w:spacing w:after="0" w:line="300" w:lineRule="exact"/>
        <w:contextualSpacing/>
        <w:jc w:val="both"/>
        <w:rPr>
          <w:rFonts w:ascii="Book Antiqua" w:hAnsi="Book Antiqua" w:cs="Arial"/>
          <w:lang w:val="en-US"/>
        </w:rPr>
      </w:pPr>
    </w:p>
    <w:p w:rsidR="007223AA" w:rsidRPr="00F94F09" w:rsidRDefault="007223AA" w:rsidP="008F6D17">
      <w:pPr>
        <w:pStyle w:val="ListParagraph"/>
        <w:numPr>
          <w:ilvl w:val="0"/>
          <w:numId w:val="71"/>
        </w:numPr>
        <w:spacing w:after="0" w:line="300" w:lineRule="exact"/>
        <w:ind w:left="360"/>
        <w:jc w:val="both"/>
        <w:rPr>
          <w:rFonts w:ascii="Book Antiqua" w:hAnsi="Book Antiqua" w:cs="Arial"/>
        </w:rPr>
      </w:pPr>
      <w:r w:rsidRPr="00F94F09">
        <w:rPr>
          <w:rFonts w:ascii="Book Antiqua" w:hAnsi="Book Antiqua" w:cs="Arial"/>
        </w:rPr>
        <w:t>Examine concepts contained in this report, and identify improvements.</w:t>
      </w:r>
    </w:p>
    <w:p w:rsidR="007223AA" w:rsidRPr="00F94F09" w:rsidRDefault="007223AA" w:rsidP="008F6D17">
      <w:pPr>
        <w:pStyle w:val="ListParagraph"/>
        <w:numPr>
          <w:ilvl w:val="0"/>
          <w:numId w:val="71"/>
        </w:numPr>
        <w:spacing w:after="0" w:line="300" w:lineRule="exact"/>
        <w:ind w:left="360"/>
        <w:jc w:val="both"/>
        <w:rPr>
          <w:rFonts w:ascii="Book Antiqua" w:hAnsi="Book Antiqua" w:cs="Arial"/>
        </w:rPr>
      </w:pPr>
      <w:r w:rsidRPr="00F94F09">
        <w:rPr>
          <w:rFonts w:ascii="Book Antiqua" w:hAnsi="Book Antiqua" w:cs="Arial"/>
        </w:rPr>
        <w:t>Investigate those issues requiring a more intensive analysis.</w:t>
      </w:r>
    </w:p>
    <w:p w:rsidR="007223AA" w:rsidRPr="00F94F09" w:rsidRDefault="007223AA" w:rsidP="008F6D17">
      <w:pPr>
        <w:pStyle w:val="ListParagraph"/>
        <w:numPr>
          <w:ilvl w:val="0"/>
          <w:numId w:val="71"/>
        </w:numPr>
        <w:spacing w:after="0" w:line="300" w:lineRule="exact"/>
        <w:ind w:left="360"/>
        <w:jc w:val="both"/>
        <w:rPr>
          <w:rFonts w:ascii="Book Antiqua" w:hAnsi="Book Antiqua" w:cs="Arial"/>
        </w:rPr>
      </w:pPr>
      <w:r w:rsidRPr="00F94F09">
        <w:rPr>
          <w:rFonts w:ascii="Book Antiqua" w:hAnsi="Book Antiqua" w:cs="Arial"/>
        </w:rPr>
        <w:t xml:space="preserve">Establish a roadmap to create a REDD-compliant BDS (which needs to be tied to the initiation of </w:t>
      </w:r>
      <w:r w:rsidR="00480D3D">
        <w:rPr>
          <w:rFonts w:ascii="Book Antiqua" w:hAnsi="Book Antiqua" w:cs="Arial"/>
        </w:rPr>
        <w:t>REDD+</w:t>
      </w:r>
      <w:r w:rsidRPr="00F94F09">
        <w:rPr>
          <w:rFonts w:ascii="Book Antiqua" w:hAnsi="Book Antiqua" w:cs="Arial"/>
        </w:rPr>
        <w:t xml:space="preserve"> revenues).</w:t>
      </w:r>
    </w:p>
    <w:p w:rsidR="007223AA" w:rsidRPr="00F94F09" w:rsidRDefault="007223AA" w:rsidP="008F6D17">
      <w:pPr>
        <w:spacing w:after="0" w:line="300" w:lineRule="exact"/>
        <w:contextualSpacing/>
        <w:jc w:val="both"/>
        <w:rPr>
          <w:rFonts w:ascii="Book Antiqua" w:hAnsi="Book Antiqua" w:cs="Arial"/>
          <w:lang w:val="en-US"/>
        </w:rPr>
      </w:pPr>
    </w:p>
    <w:p w:rsidR="007223AA" w:rsidRPr="00F94F09" w:rsidRDefault="007223AA" w:rsidP="007223AA">
      <w:pPr>
        <w:spacing w:after="0" w:line="300" w:lineRule="exact"/>
        <w:contextualSpacing/>
        <w:jc w:val="both"/>
        <w:rPr>
          <w:rFonts w:ascii="Book Antiqua" w:hAnsi="Book Antiqua" w:cs="Arial"/>
          <w:lang w:val="en-US"/>
        </w:rPr>
      </w:pPr>
      <w:r w:rsidRPr="00F94F09">
        <w:rPr>
          <w:rFonts w:ascii="Book Antiqua" w:hAnsi="Book Antiqua" w:cs="Arial"/>
          <w:lang w:val="en-US"/>
        </w:rPr>
        <w:t xml:space="preserve">The types of activities that need to be included in </w:t>
      </w:r>
      <w:r w:rsidR="00B54274">
        <w:rPr>
          <w:rFonts w:ascii="Book Antiqua" w:hAnsi="Book Antiqua" w:cs="Arial"/>
          <w:lang w:val="en-US"/>
        </w:rPr>
        <w:t>further analyses</w:t>
      </w:r>
      <w:r w:rsidRPr="00F94F09">
        <w:rPr>
          <w:rFonts w:ascii="Book Antiqua" w:hAnsi="Book Antiqua" w:cs="Arial"/>
          <w:lang w:val="en-US"/>
        </w:rPr>
        <w:t xml:space="preserve"> are the identification and drafting of legal instruments, review and evaluation of current initiatives and programmes, further analyses of policy options, research on specific issues, piloting, and design of monitoring and recourse mechanisms.</w:t>
      </w:r>
    </w:p>
    <w:p w:rsidR="007223AA" w:rsidRPr="00F94F09" w:rsidRDefault="007223AA" w:rsidP="007223AA">
      <w:pPr>
        <w:spacing w:after="0"/>
        <w:contextualSpacing/>
        <w:jc w:val="both"/>
        <w:rPr>
          <w:rFonts w:ascii="Book Antiqua" w:hAnsi="Book Antiqua" w:cs="Arial"/>
          <w:lang w:val="en-US"/>
        </w:rPr>
      </w:pPr>
    </w:p>
    <w:p w:rsidR="007223AA" w:rsidRPr="00445F77" w:rsidRDefault="003F6D88" w:rsidP="007223AA">
      <w:pPr>
        <w:pStyle w:val="Heading2"/>
        <w:spacing w:before="0" w:after="0"/>
        <w:contextualSpacing/>
        <w:rPr>
          <w:rFonts w:ascii="Arial" w:hAnsi="Arial" w:cs="Arial"/>
          <w:sz w:val="24"/>
          <w:szCs w:val="24"/>
          <w:lang w:val="en-US"/>
        </w:rPr>
      </w:pPr>
      <w:bookmarkStart w:id="532" w:name="_Toc244586253"/>
      <w:bookmarkStart w:id="533" w:name="_Toc252354761"/>
      <w:r>
        <w:rPr>
          <w:rFonts w:ascii="Arial" w:hAnsi="Arial" w:cs="Arial"/>
          <w:sz w:val="24"/>
          <w:szCs w:val="24"/>
          <w:lang w:val="en-US"/>
        </w:rPr>
        <w:t>9</w:t>
      </w:r>
      <w:r w:rsidR="007223AA" w:rsidRPr="00445F77">
        <w:rPr>
          <w:rFonts w:ascii="Arial" w:hAnsi="Arial" w:cs="Arial"/>
          <w:sz w:val="24"/>
          <w:szCs w:val="24"/>
          <w:lang w:val="en-US"/>
        </w:rPr>
        <w:t>.1 Identification and drafting of legal instruments</w:t>
      </w:r>
      <w:bookmarkEnd w:id="532"/>
      <w:bookmarkEnd w:id="533"/>
    </w:p>
    <w:p w:rsidR="007223AA" w:rsidRPr="00F94F09" w:rsidRDefault="007223AA" w:rsidP="007223AA">
      <w:pPr>
        <w:spacing w:after="0" w:line="300" w:lineRule="exact"/>
        <w:contextualSpacing/>
        <w:jc w:val="both"/>
        <w:rPr>
          <w:rFonts w:ascii="Book Antiqua" w:hAnsi="Book Antiqua" w:cs="Arial"/>
        </w:rPr>
      </w:pPr>
      <w:r w:rsidRPr="00F94F09">
        <w:rPr>
          <w:rFonts w:ascii="Book Antiqua" w:hAnsi="Book Antiqua" w:cs="Arial"/>
        </w:rPr>
        <w:t xml:space="preserve">A performance-related, transparent, and equitable REDD-compliant BDS that meets the expectations of international investors must be founded on a clear and comprehensive legal framework governing rights and governance.  Such a framework does not currently exist in </w:t>
      </w:r>
      <w:r w:rsidR="00480D3D">
        <w:rPr>
          <w:rFonts w:ascii="Book Antiqua" w:hAnsi="Book Antiqua" w:cs="Arial"/>
        </w:rPr>
        <w:t>Viet Nam</w:t>
      </w:r>
      <w:r w:rsidRPr="00F94F09">
        <w:rPr>
          <w:rFonts w:ascii="Book Antiqua" w:hAnsi="Book Antiqua" w:cs="Arial"/>
        </w:rPr>
        <w:t xml:space="preserve">.  Existing legal instruments, developed for other purposes, may provide the basis for such a framework depending on how they are interpreted.  Given the time needed to develop and enact legal instruments, efforts should begin as soon as possible to analyze the legal instruments required to support </w:t>
      </w:r>
      <w:r w:rsidR="00480D3D">
        <w:rPr>
          <w:rFonts w:ascii="Book Antiqua" w:hAnsi="Book Antiqua" w:cs="Arial"/>
        </w:rPr>
        <w:t>REDD+</w:t>
      </w:r>
      <w:r w:rsidRPr="00F94F09">
        <w:rPr>
          <w:rFonts w:ascii="Book Antiqua" w:hAnsi="Book Antiqua" w:cs="Arial"/>
        </w:rPr>
        <w:t xml:space="preserve"> in Viet Nam and to start formulating those instruments.  </w:t>
      </w:r>
    </w:p>
    <w:p w:rsidR="007223AA" w:rsidRPr="00F94F09" w:rsidRDefault="007223AA" w:rsidP="007223AA">
      <w:pPr>
        <w:spacing w:after="0" w:line="300" w:lineRule="exact"/>
        <w:contextualSpacing/>
        <w:jc w:val="both"/>
        <w:rPr>
          <w:rFonts w:ascii="Book Antiqua" w:hAnsi="Book Antiqua" w:cs="Arial"/>
        </w:rPr>
      </w:pPr>
    </w:p>
    <w:p w:rsidR="007223AA" w:rsidRPr="00F94F09" w:rsidRDefault="007223AA" w:rsidP="007223AA">
      <w:pPr>
        <w:spacing w:after="0" w:line="300" w:lineRule="exact"/>
        <w:contextualSpacing/>
        <w:jc w:val="both"/>
        <w:rPr>
          <w:rFonts w:ascii="Book Antiqua" w:hAnsi="Book Antiqua" w:cs="Arial"/>
        </w:rPr>
      </w:pPr>
      <w:r w:rsidRPr="00F94F09">
        <w:rPr>
          <w:rFonts w:ascii="Book Antiqua" w:hAnsi="Book Antiqua" w:cs="Arial"/>
        </w:rPr>
        <w:t xml:space="preserve">Given the nature of </w:t>
      </w:r>
      <w:r w:rsidR="00480D3D">
        <w:rPr>
          <w:rFonts w:ascii="Book Antiqua" w:hAnsi="Book Antiqua" w:cs="Arial"/>
        </w:rPr>
        <w:t>REDD+</w:t>
      </w:r>
      <w:r w:rsidRPr="00F94F09">
        <w:rPr>
          <w:rFonts w:ascii="Book Antiqua" w:hAnsi="Book Antiqua" w:cs="Arial"/>
        </w:rPr>
        <w:t xml:space="preserve">, it appears reasonable to classify them as FDI, meaning that they are not part of the State Budget.  There are also international expectations regarding the need for </w:t>
      </w:r>
      <w:r w:rsidR="00480D3D">
        <w:rPr>
          <w:rFonts w:ascii="Book Antiqua" w:hAnsi="Book Antiqua" w:cs="Arial"/>
        </w:rPr>
        <w:t>REDD+</w:t>
      </w:r>
      <w:r w:rsidRPr="00F94F09">
        <w:rPr>
          <w:rFonts w:ascii="Book Antiqua" w:hAnsi="Book Antiqua" w:cs="Arial"/>
        </w:rPr>
        <w:t xml:space="preserve"> revenues to be “fire-walled” to prevent co-mingling with other revenues, and for transparency and broad participation in revenue governance, which may be difficult to meet under current arrangements.  The governance structure of the </w:t>
      </w:r>
      <w:r w:rsidR="00480D3D">
        <w:rPr>
          <w:rFonts w:ascii="Book Antiqua" w:hAnsi="Book Antiqua" w:cs="Arial"/>
        </w:rPr>
        <w:t>REDD+</w:t>
      </w:r>
      <w:r w:rsidRPr="00F94F09">
        <w:rPr>
          <w:rFonts w:ascii="Book Antiqua" w:hAnsi="Book Antiqua" w:cs="Arial"/>
        </w:rPr>
        <w:t xml:space="preserve"> sub-fund of the FPDF should be determined through a broad-based participatory process to ensure that it meets international standards regarding participation and transparency.</w:t>
      </w:r>
    </w:p>
    <w:p w:rsidR="007223AA" w:rsidRPr="00F94F09" w:rsidRDefault="007223AA" w:rsidP="007223AA">
      <w:pPr>
        <w:spacing w:after="0" w:line="300" w:lineRule="exact"/>
        <w:contextualSpacing/>
        <w:jc w:val="both"/>
        <w:rPr>
          <w:rFonts w:ascii="Book Antiqua" w:hAnsi="Book Antiqua" w:cs="Arial"/>
        </w:rPr>
      </w:pPr>
    </w:p>
    <w:p w:rsidR="007223AA" w:rsidRPr="00F94F09" w:rsidRDefault="007223AA" w:rsidP="007223AA">
      <w:pPr>
        <w:spacing w:after="0" w:line="300" w:lineRule="exact"/>
        <w:contextualSpacing/>
        <w:jc w:val="both"/>
        <w:rPr>
          <w:rFonts w:ascii="Book Antiqua" w:hAnsi="Book Antiqua" w:cs="Arial"/>
        </w:rPr>
      </w:pPr>
      <w:r w:rsidRPr="00F94F09">
        <w:rPr>
          <w:rFonts w:ascii="Book Antiqua" w:hAnsi="Book Antiqua" w:cs="Arial"/>
        </w:rPr>
        <w:t xml:space="preserve">There are several impediments to clear and consistent rights to benefits from </w:t>
      </w:r>
      <w:r w:rsidR="00480D3D">
        <w:rPr>
          <w:rFonts w:ascii="Book Antiqua" w:hAnsi="Book Antiqua" w:cs="Arial"/>
        </w:rPr>
        <w:t>REDD+</w:t>
      </w:r>
      <w:r w:rsidRPr="00F94F09">
        <w:rPr>
          <w:rFonts w:ascii="Book Antiqua" w:hAnsi="Book Antiqua" w:cs="Arial"/>
        </w:rPr>
        <w:t xml:space="preserve">.  These include incomplete land allocation, and the absence of legal recognition for some types of forest owners.  Under such circumstances an equitable </w:t>
      </w:r>
      <w:r w:rsidR="00480D3D">
        <w:rPr>
          <w:rFonts w:ascii="Book Antiqua" w:hAnsi="Book Antiqua" w:cs="Arial"/>
        </w:rPr>
        <w:t>REDD+</w:t>
      </w:r>
      <w:r w:rsidRPr="00F94F09">
        <w:rPr>
          <w:rFonts w:ascii="Book Antiqua" w:hAnsi="Book Antiqua" w:cs="Arial"/>
        </w:rPr>
        <w:t xml:space="preserve"> BDS cannot be </w:t>
      </w:r>
      <w:r w:rsidRPr="00F94F09">
        <w:rPr>
          <w:rFonts w:ascii="Book Antiqua" w:hAnsi="Book Antiqua" w:cs="Arial"/>
        </w:rPr>
        <w:lastRenderedPageBreak/>
        <w:t xml:space="preserve">established.  As soon as possible, a programme of legal reform should be implemented to establish the legal basis for rights to </w:t>
      </w:r>
      <w:r w:rsidR="00480D3D">
        <w:rPr>
          <w:rFonts w:ascii="Book Antiqua" w:hAnsi="Book Antiqua" w:cs="Arial"/>
        </w:rPr>
        <w:t>REDD+</w:t>
      </w:r>
      <w:r w:rsidRPr="00F94F09">
        <w:rPr>
          <w:rFonts w:ascii="Book Antiqua" w:hAnsi="Book Antiqua" w:cs="Arial"/>
        </w:rPr>
        <w:t xml:space="preserve"> revenues.</w:t>
      </w:r>
    </w:p>
    <w:p w:rsidR="007223AA" w:rsidRPr="00F94F09" w:rsidRDefault="007223AA" w:rsidP="007223AA">
      <w:pPr>
        <w:spacing w:after="0" w:line="300" w:lineRule="exact"/>
        <w:contextualSpacing/>
        <w:jc w:val="both"/>
        <w:rPr>
          <w:rFonts w:ascii="Book Antiqua" w:hAnsi="Book Antiqua" w:cs="Arial"/>
        </w:rPr>
      </w:pPr>
    </w:p>
    <w:p w:rsidR="007223AA" w:rsidRPr="00F94F09" w:rsidRDefault="007223AA" w:rsidP="007223AA">
      <w:pPr>
        <w:spacing w:after="0" w:line="300" w:lineRule="exact"/>
        <w:contextualSpacing/>
        <w:jc w:val="both"/>
        <w:rPr>
          <w:rFonts w:ascii="Book Antiqua" w:hAnsi="Book Antiqua" w:cs="Arial"/>
          <w:color w:val="1F497D"/>
          <w:lang w:val="en-US"/>
        </w:rPr>
      </w:pPr>
      <w:r w:rsidRPr="00F94F09">
        <w:rPr>
          <w:rFonts w:ascii="Book Antiqua" w:hAnsi="Book Antiqua" w:cs="Arial"/>
        </w:rPr>
        <w:t xml:space="preserve">Forest law enforcement continues to be weak in Viet Nam.  In particular, households and communities responsible for protecting forests often do not get the required law enforcement support to effectively exclude illegal forest use and users.  As long as these problems exist, it will be difficult to guarantee performance and hence </w:t>
      </w:r>
      <w:r w:rsidR="00480D3D">
        <w:rPr>
          <w:rFonts w:ascii="Book Antiqua" w:hAnsi="Book Antiqua" w:cs="Arial"/>
        </w:rPr>
        <w:t>REDD+</w:t>
      </w:r>
      <w:r w:rsidRPr="00F94F09">
        <w:rPr>
          <w:rFonts w:ascii="Book Antiqua" w:hAnsi="Book Antiqua" w:cs="Arial"/>
        </w:rPr>
        <w:t xml:space="preserve"> payments based on performance.  Recent experience with community-based law enforcement require assessment and possible translation into national forestry regulations.  The new GDF and FPUs at the district and provincial levels will need technical assistance to improve their law enforcement capacities.  </w:t>
      </w:r>
      <w:r w:rsidR="00480D3D">
        <w:rPr>
          <w:rFonts w:ascii="Book Antiqua" w:hAnsi="Book Antiqua" w:cs="Arial"/>
        </w:rPr>
        <w:t>REDD+</w:t>
      </w:r>
      <w:r w:rsidRPr="00F94F09">
        <w:rPr>
          <w:rFonts w:ascii="Book Antiqua" w:hAnsi="Book Antiqua" w:cs="Arial"/>
        </w:rPr>
        <w:t xml:space="preserve"> pilots should make appropriate law enforcement a central component of project design.</w:t>
      </w:r>
    </w:p>
    <w:p w:rsidR="007223AA" w:rsidRPr="00F94F09" w:rsidRDefault="007223AA" w:rsidP="007223AA">
      <w:pPr>
        <w:spacing w:after="0"/>
        <w:contextualSpacing/>
        <w:rPr>
          <w:rFonts w:ascii="Book Antiqua" w:hAnsi="Book Antiqua" w:cs="Arial"/>
          <w:lang w:val="en-US"/>
        </w:rPr>
      </w:pPr>
    </w:p>
    <w:p w:rsidR="007223AA" w:rsidRPr="00445F77" w:rsidRDefault="003F6D88" w:rsidP="007223AA">
      <w:pPr>
        <w:pStyle w:val="Heading2"/>
        <w:spacing w:before="0" w:after="0"/>
        <w:contextualSpacing/>
        <w:rPr>
          <w:rFonts w:ascii="Arial" w:hAnsi="Arial" w:cs="Arial"/>
          <w:sz w:val="24"/>
          <w:szCs w:val="24"/>
          <w:lang w:val="en-US"/>
        </w:rPr>
      </w:pPr>
      <w:bookmarkStart w:id="534" w:name="_Toc244586254"/>
      <w:bookmarkStart w:id="535" w:name="_Toc252354762"/>
      <w:r>
        <w:rPr>
          <w:rFonts w:ascii="Arial" w:hAnsi="Arial" w:cs="Arial"/>
          <w:sz w:val="24"/>
          <w:szCs w:val="24"/>
          <w:lang w:val="en-US"/>
        </w:rPr>
        <w:t>9</w:t>
      </w:r>
      <w:r w:rsidR="007223AA" w:rsidRPr="00445F77">
        <w:rPr>
          <w:rFonts w:ascii="Arial" w:hAnsi="Arial" w:cs="Arial"/>
          <w:sz w:val="24"/>
          <w:szCs w:val="24"/>
          <w:lang w:val="en-US"/>
        </w:rPr>
        <w:t>.2 Reviews and Evaluations of Current Initiatives and Programmes</w:t>
      </w:r>
      <w:bookmarkEnd w:id="534"/>
      <w:bookmarkEnd w:id="535"/>
    </w:p>
    <w:p w:rsidR="007223AA" w:rsidRPr="00F94F09" w:rsidRDefault="007223AA" w:rsidP="007223AA">
      <w:pPr>
        <w:spacing w:after="0" w:line="300" w:lineRule="exact"/>
        <w:contextualSpacing/>
        <w:jc w:val="both"/>
        <w:rPr>
          <w:rFonts w:ascii="Book Antiqua" w:hAnsi="Book Antiqua" w:cs="Arial"/>
          <w:color w:val="000000"/>
          <w:lang w:val="en-US"/>
        </w:rPr>
      </w:pPr>
      <w:r w:rsidRPr="00F94F09">
        <w:rPr>
          <w:rFonts w:ascii="Book Antiqua" w:hAnsi="Book Antiqua" w:cs="Arial"/>
          <w:color w:val="000000"/>
          <w:lang w:val="en-US"/>
        </w:rPr>
        <w:t>In order to cast additional light on institutions, policies and processes required for a REDD-compliant BDS, several reviews and analyses need to be conducted.  These include:</w:t>
      </w:r>
    </w:p>
    <w:p w:rsidR="007223AA" w:rsidRPr="00F94F09" w:rsidRDefault="007223AA" w:rsidP="007223AA">
      <w:pPr>
        <w:spacing w:after="0" w:line="300" w:lineRule="exact"/>
        <w:contextualSpacing/>
        <w:jc w:val="both"/>
        <w:rPr>
          <w:rFonts w:ascii="Book Antiqua" w:hAnsi="Book Antiqua" w:cs="Arial"/>
          <w:color w:val="000000"/>
          <w:lang w:val="en-US"/>
        </w:rPr>
      </w:pPr>
    </w:p>
    <w:p w:rsidR="007223AA" w:rsidRPr="00F94F09" w:rsidRDefault="007223AA" w:rsidP="008227FD">
      <w:pPr>
        <w:pStyle w:val="ListParagraph"/>
        <w:numPr>
          <w:ilvl w:val="0"/>
          <w:numId w:val="72"/>
        </w:numPr>
        <w:spacing w:after="0" w:line="300" w:lineRule="exact"/>
        <w:ind w:left="360"/>
        <w:jc w:val="both"/>
        <w:rPr>
          <w:rFonts w:ascii="Book Antiqua" w:hAnsi="Book Antiqua" w:cs="Arial"/>
        </w:rPr>
      </w:pPr>
      <w:r w:rsidRPr="00F94F09">
        <w:rPr>
          <w:rFonts w:ascii="Book Antiqua" w:hAnsi="Book Antiqua" w:cs="Arial"/>
        </w:rPr>
        <w:t xml:space="preserve">An evaluation of PFES pilot projects in Lam Dong and Son La Provinces to inform the formulation of governance structures for the proposed FPDF sub-fund.  GoV should hold consultations with different stakeholders (particularly civil society organizations) concerning their potential role with regard to </w:t>
      </w:r>
      <w:r w:rsidR="00480D3D">
        <w:rPr>
          <w:rFonts w:ascii="Book Antiqua" w:hAnsi="Book Antiqua" w:cs="Arial"/>
        </w:rPr>
        <w:t>REDD+</w:t>
      </w:r>
      <w:r w:rsidRPr="00F94F09">
        <w:rPr>
          <w:rFonts w:ascii="Book Antiqua" w:hAnsi="Book Antiqua" w:cs="Arial"/>
        </w:rPr>
        <w:t xml:space="preserve"> funding.  In addition, GoV should consult with international organizations on the requirements for </w:t>
      </w:r>
      <w:r w:rsidR="001B6D90">
        <w:rPr>
          <w:rFonts w:ascii="Book Antiqua" w:hAnsi="Book Antiqua" w:cs="Arial"/>
        </w:rPr>
        <w:t>REDD+</w:t>
      </w:r>
      <w:r w:rsidRPr="00F94F09">
        <w:rPr>
          <w:rFonts w:ascii="Book Antiqua" w:hAnsi="Book Antiqua" w:cs="Arial"/>
        </w:rPr>
        <w:t xml:space="preserve"> revenue management in </w:t>
      </w:r>
      <w:r w:rsidR="00480D3D">
        <w:rPr>
          <w:rFonts w:ascii="Book Antiqua" w:hAnsi="Book Antiqua" w:cs="Arial"/>
        </w:rPr>
        <w:t>Viet Nam</w:t>
      </w:r>
      <w:r w:rsidRPr="00F94F09">
        <w:rPr>
          <w:rFonts w:ascii="Book Antiqua" w:hAnsi="Book Antiqua" w:cs="Arial"/>
        </w:rPr>
        <w:t>.</w:t>
      </w:r>
    </w:p>
    <w:p w:rsidR="007223AA" w:rsidRPr="00F94F09" w:rsidRDefault="007223AA" w:rsidP="008227FD">
      <w:pPr>
        <w:pStyle w:val="ListParagraph"/>
        <w:numPr>
          <w:ilvl w:val="0"/>
          <w:numId w:val="72"/>
        </w:numPr>
        <w:spacing w:after="0" w:line="300" w:lineRule="exact"/>
        <w:ind w:left="360"/>
        <w:jc w:val="both"/>
        <w:rPr>
          <w:rFonts w:ascii="Book Antiqua" w:hAnsi="Book Antiqua" w:cs="Arial"/>
        </w:rPr>
      </w:pPr>
      <w:r w:rsidRPr="00F94F09">
        <w:rPr>
          <w:rFonts w:ascii="Book Antiqua" w:hAnsi="Book Antiqua" w:cs="Arial"/>
        </w:rPr>
        <w:t xml:space="preserve">Viet Nam disburses most payments for the protection of natural forests and establishment of tree plantations to SOCs, MBs, and households.  Yet village communities may possess advantages over these recipients in terms of producing rapid gains in carbon stocks because of the peer pressure they exert on members to comply with community-wide agreements.  To test this assumption, evaluations of community forestry projects, including the community funds established under the KfW-6 project and the Community Forestry Pilot </w:t>
      </w:r>
      <w:r w:rsidR="00480D3D">
        <w:rPr>
          <w:rFonts w:ascii="Book Antiqua" w:hAnsi="Book Antiqua" w:cs="Arial"/>
        </w:rPr>
        <w:t>Programme</w:t>
      </w:r>
      <w:r w:rsidRPr="00F94F09">
        <w:rPr>
          <w:rFonts w:ascii="Book Antiqua" w:hAnsi="Book Antiqua" w:cs="Arial"/>
        </w:rPr>
        <w:t xml:space="preserve">, should be undertaken. The evaluations should inform the formulation of enabling legislation on community forestry and corresponding measures to strengthen the capacity of MARD to support community forestry.  </w:t>
      </w:r>
    </w:p>
    <w:p w:rsidR="007223AA" w:rsidRPr="00F94F09" w:rsidRDefault="007223AA" w:rsidP="008227FD">
      <w:pPr>
        <w:pStyle w:val="ListParagraph"/>
        <w:numPr>
          <w:ilvl w:val="0"/>
          <w:numId w:val="72"/>
        </w:numPr>
        <w:spacing w:after="0" w:line="300" w:lineRule="exact"/>
        <w:ind w:left="360"/>
        <w:jc w:val="both"/>
        <w:rPr>
          <w:rFonts w:ascii="Book Antiqua" w:hAnsi="Book Antiqua" w:cs="Arial"/>
        </w:rPr>
      </w:pPr>
      <w:r w:rsidRPr="00F94F09">
        <w:rPr>
          <w:rFonts w:ascii="Book Antiqua" w:hAnsi="Book Antiqua" w:cs="Arial"/>
        </w:rPr>
        <w:t xml:space="preserve">Viet Nam disburses most payments through centralized administrative procedures, such as in the 661 </w:t>
      </w:r>
      <w:r w:rsidR="00480D3D">
        <w:rPr>
          <w:rFonts w:ascii="Book Antiqua" w:hAnsi="Book Antiqua" w:cs="Arial"/>
        </w:rPr>
        <w:t>Programme</w:t>
      </w:r>
      <w:r w:rsidRPr="00F94F09">
        <w:rPr>
          <w:rFonts w:ascii="Book Antiqua" w:hAnsi="Book Antiqua" w:cs="Arial"/>
        </w:rPr>
        <w:t xml:space="preserve">.  These have led to inefficiencies in the allocation of finance under variable local conditions.  The PFES projects in Son La and Lam Dong demonstrate the potential of decentralized decision-making that takes into account  how different forest types absorb and store carbon.  External evaluations are required of these experiences with decentralized governance.  Building on these evaluations, GoV should develop a regulatory framework that facilitates decentralized decision-making.  It will need to consider the potential use of coefficients (similar to K-factor in PFES) in the distribution of </w:t>
      </w:r>
      <w:r w:rsidR="001B6D90">
        <w:rPr>
          <w:rFonts w:ascii="Book Antiqua" w:hAnsi="Book Antiqua" w:cs="Arial"/>
        </w:rPr>
        <w:t>REDD+</w:t>
      </w:r>
      <w:r w:rsidRPr="00F94F09">
        <w:rPr>
          <w:rFonts w:ascii="Book Antiqua" w:hAnsi="Book Antiqua" w:cs="Arial"/>
        </w:rPr>
        <w:t xml:space="preserve"> benefits to achieve a balance between national standards and local decision-making.  </w:t>
      </w:r>
    </w:p>
    <w:p w:rsidR="007223AA" w:rsidRPr="00F94F09" w:rsidRDefault="007223AA" w:rsidP="008227FD">
      <w:pPr>
        <w:pStyle w:val="ListParagraph"/>
        <w:numPr>
          <w:ilvl w:val="0"/>
          <w:numId w:val="72"/>
        </w:numPr>
        <w:spacing w:after="0" w:line="300" w:lineRule="exact"/>
        <w:ind w:left="360"/>
        <w:jc w:val="both"/>
        <w:rPr>
          <w:rFonts w:ascii="Book Antiqua" w:hAnsi="Book Antiqua" w:cs="Arial"/>
        </w:rPr>
      </w:pPr>
      <w:r w:rsidRPr="00F94F09">
        <w:rPr>
          <w:rFonts w:ascii="Book Antiqua" w:hAnsi="Book Antiqua" w:cs="Arial"/>
        </w:rPr>
        <w:t xml:space="preserve">Viet Nam will receive international carbon finance on the basis of actual performance, that is, after performance has been measured and verified.  Performance measurement and verification are unlikely to take place on an annual basis and perhaps only every </w:t>
      </w:r>
      <w:r w:rsidRPr="00F94F09">
        <w:rPr>
          <w:rFonts w:ascii="Book Antiqua" w:hAnsi="Book Antiqua" w:cs="Arial"/>
        </w:rPr>
        <w:lastRenderedPageBreak/>
        <w:t xml:space="preserve">five years.  Yet forest managers require upfront incentives and resources to engage in carbon-enhancing forest management.  There is a need to review existing experiences with the use of micro-finance approaches in the forestry sector.  The review would inform the design of a suitable micro-finance approach to provide up-front resources and incentives under </w:t>
      </w:r>
      <w:r w:rsidR="001B6D90">
        <w:rPr>
          <w:rFonts w:ascii="Book Antiqua" w:hAnsi="Book Antiqua" w:cs="Arial"/>
        </w:rPr>
        <w:t>REDD+</w:t>
      </w:r>
      <w:r w:rsidRPr="00F94F09">
        <w:rPr>
          <w:rFonts w:ascii="Book Antiqua" w:hAnsi="Book Antiqua" w:cs="Arial"/>
        </w:rPr>
        <w:t>.  In addition, work is needed on potential sources of bridge funding, including the government budget and ODA.</w:t>
      </w:r>
    </w:p>
    <w:p w:rsidR="007223AA" w:rsidRPr="00F94F09" w:rsidRDefault="007223AA" w:rsidP="007223AA">
      <w:pPr>
        <w:spacing w:after="0"/>
        <w:contextualSpacing/>
        <w:jc w:val="both"/>
        <w:rPr>
          <w:rFonts w:ascii="Book Antiqua" w:hAnsi="Book Antiqua" w:cs="Arial"/>
          <w:color w:val="000000"/>
          <w:lang w:val="en-US"/>
        </w:rPr>
      </w:pPr>
    </w:p>
    <w:p w:rsidR="007223AA" w:rsidRPr="00445F77" w:rsidRDefault="003F6D88" w:rsidP="007223AA">
      <w:pPr>
        <w:pStyle w:val="Heading2"/>
        <w:spacing w:before="0" w:after="0"/>
        <w:contextualSpacing/>
        <w:rPr>
          <w:rFonts w:ascii="Arial" w:hAnsi="Arial" w:cs="Arial"/>
          <w:sz w:val="24"/>
          <w:szCs w:val="24"/>
        </w:rPr>
      </w:pPr>
      <w:bookmarkStart w:id="536" w:name="_Toc252354763"/>
      <w:r>
        <w:rPr>
          <w:rFonts w:ascii="Arial" w:hAnsi="Arial" w:cs="Arial"/>
          <w:sz w:val="24"/>
          <w:szCs w:val="24"/>
        </w:rPr>
        <w:t>9</w:t>
      </w:r>
      <w:r w:rsidR="007223AA" w:rsidRPr="00445F77">
        <w:rPr>
          <w:rFonts w:ascii="Arial" w:hAnsi="Arial" w:cs="Arial"/>
          <w:sz w:val="24"/>
          <w:szCs w:val="24"/>
        </w:rPr>
        <w:t>.3 Piloting</w:t>
      </w:r>
      <w:bookmarkEnd w:id="536"/>
    </w:p>
    <w:p w:rsidR="007223AA" w:rsidRPr="00F94F09" w:rsidRDefault="007223AA" w:rsidP="007223AA">
      <w:pPr>
        <w:spacing w:after="0" w:line="300" w:lineRule="exact"/>
        <w:contextualSpacing/>
        <w:jc w:val="both"/>
        <w:rPr>
          <w:rFonts w:ascii="Book Antiqua" w:hAnsi="Book Antiqua" w:cs="Arial"/>
        </w:rPr>
      </w:pPr>
      <w:r w:rsidRPr="00F94F09">
        <w:rPr>
          <w:rFonts w:ascii="Book Antiqua" w:hAnsi="Book Antiqua" w:cs="Arial"/>
        </w:rPr>
        <w:t xml:space="preserve">While it is relatively clear how </w:t>
      </w:r>
      <w:r w:rsidR="001B6D90">
        <w:rPr>
          <w:rFonts w:ascii="Book Antiqua" w:hAnsi="Book Antiqua" w:cs="Arial"/>
        </w:rPr>
        <w:t>REDD+</w:t>
      </w:r>
      <w:r w:rsidRPr="00F94F09">
        <w:rPr>
          <w:rFonts w:ascii="Book Antiqua" w:hAnsi="Book Antiqua" w:cs="Arial"/>
        </w:rPr>
        <w:t xml:space="preserve"> revenue management at the national level should be structured, it remains unclear which sub-national level(s) are most appropriate for </w:t>
      </w:r>
      <w:r w:rsidR="001B6D90">
        <w:rPr>
          <w:rFonts w:ascii="Book Antiqua" w:hAnsi="Book Antiqua" w:cs="Arial"/>
        </w:rPr>
        <w:t>REDD+</w:t>
      </w:r>
      <w:r w:rsidRPr="00F94F09">
        <w:rPr>
          <w:rFonts w:ascii="Book Antiqua" w:hAnsi="Book Antiqua" w:cs="Arial"/>
        </w:rPr>
        <w:t xml:space="preserve"> revenue management.  </w:t>
      </w:r>
      <w:r w:rsidR="001B6D90">
        <w:rPr>
          <w:rFonts w:ascii="Book Antiqua" w:hAnsi="Book Antiqua" w:cs="Arial"/>
        </w:rPr>
        <w:t>REDD+</w:t>
      </w:r>
      <w:r w:rsidRPr="00F94F09">
        <w:rPr>
          <w:rFonts w:ascii="Book Antiqua" w:hAnsi="Book Antiqua" w:cs="Arial"/>
        </w:rPr>
        <w:t xml:space="preserve"> revenue management structures should be piloted in a small number of districts and provinces and capacity building at district level should be supported.  The most logical location for such pilots is the UN-REDD pilot province of Lam Dong, and the pilot districts of Lam Ha and D</w:t>
      </w:r>
      <w:r w:rsidR="006730F6">
        <w:rPr>
          <w:rFonts w:ascii="Book Antiqua" w:hAnsi="Book Antiqua" w:cs="Arial"/>
        </w:rPr>
        <w:t>i Linh</w:t>
      </w:r>
      <w:r w:rsidRPr="00F94F09">
        <w:rPr>
          <w:rFonts w:ascii="Book Antiqua" w:hAnsi="Book Antiqua" w:cs="Arial"/>
        </w:rPr>
        <w:t xml:space="preserve">, but other sites should be considered. </w:t>
      </w:r>
    </w:p>
    <w:p w:rsidR="007223AA" w:rsidRPr="00F94F09" w:rsidRDefault="007223AA" w:rsidP="007223AA">
      <w:pPr>
        <w:spacing w:after="0" w:line="300" w:lineRule="exact"/>
        <w:contextualSpacing/>
        <w:jc w:val="both"/>
        <w:rPr>
          <w:rFonts w:ascii="Book Antiqua" w:hAnsi="Book Antiqua" w:cs="Arial"/>
        </w:rPr>
      </w:pPr>
    </w:p>
    <w:p w:rsidR="007223AA" w:rsidRPr="00F94F09" w:rsidRDefault="007223AA" w:rsidP="007223AA">
      <w:pPr>
        <w:spacing w:after="0" w:line="300" w:lineRule="exact"/>
        <w:contextualSpacing/>
        <w:jc w:val="both"/>
        <w:rPr>
          <w:rFonts w:ascii="Book Antiqua" w:hAnsi="Book Antiqua" w:cs="Arial"/>
        </w:rPr>
      </w:pPr>
      <w:r w:rsidRPr="00F94F09">
        <w:rPr>
          <w:rFonts w:ascii="Book Antiqua" w:hAnsi="Book Antiqua" w:cs="Arial"/>
        </w:rPr>
        <w:t>Testing</w:t>
      </w:r>
      <w:r w:rsidRPr="00F94F09">
        <w:rPr>
          <w:rFonts w:ascii="Book Antiqua" w:hAnsi="Book Antiqua" w:cs="Arial"/>
          <w:i/>
        </w:rPr>
        <w:t xml:space="preserve"> </w:t>
      </w:r>
      <w:r w:rsidRPr="00F94F09">
        <w:rPr>
          <w:rFonts w:ascii="Book Antiqua" w:hAnsi="Book Antiqua" w:cs="Arial"/>
        </w:rPr>
        <w:t xml:space="preserve">the distribution of </w:t>
      </w:r>
      <w:r w:rsidR="001B6D90">
        <w:rPr>
          <w:rFonts w:ascii="Book Antiqua" w:hAnsi="Book Antiqua" w:cs="Arial"/>
        </w:rPr>
        <w:t>REDD+</w:t>
      </w:r>
      <w:r w:rsidRPr="00F94F09">
        <w:rPr>
          <w:rFonts w:ascii="Book Antiqua" w:hAnsi="Book Antiqua" w:cs="Arial"/>
        </w:rPr>
        <w:t xml:space="preserve"> payments to participants could begin after indicative projections of required </w:t>
      </w:r>
      <w:r w:rsidR="001B6D90">
        <w:rPr>
          <w:rFonts w:ascii="Book Antiqua" w:hAnsi="Book Antiqua" w:cs="Arial"/>
        </w:rPr>
        <w:t>REDD+</w:t>
      </w:r>
      <w:r w:rsidRPr="00F94F09">
        <w:rPr>
          <w:rFonts w:ascii="Book Antiqua" w:hAnsi="Book Antiqua" w:cs="Arial"/>
        </w:rPr>
        <w:t xml:space="preserve"> cash flows over time have been prepared and local strategies developed.  Initial discussions need to be held between GoV and international donors about possible sources of funds to pre-finance payment distribution.</w:t>
      </w:r>
    </w:p>
    <w:p w:rsidR="007223AA" w:rsidRPr="00F94F09" w:rsidRDefault="007223AA" w:rsidP="007223AA">
      <w:pPr>
        <w:spacing w:after="0" w:line="240" w:lineRule="auto"/>
        <w:contextualSpacing/>
        <w:rPr>
          <w:rFonts w:ascii="Book Antiqua" w:hAnsi="Book Antiqua" w:cs="Arial"/>
        </w:rPr>
      </w:pPr>
    </w:p>
    <w:p w:rsidR="007223AA" w:rsidRPr="00445F77" w:rsidRDefault="003F6D88" w:rsidP="007223AA">
      <w:pPr>
        <w:pStyle w:val="Heading2"/>
        <w:spacing w:before="0" w:after="0"/>
        <w:contextualSpacing/>
        <w:rPr>
          <w:rFonts w:ascii="Arial" w:hAnsi="Arial" w:cs="Arial"/>
          <w:sz w:val="24"/>
          <w:szCs w:val="24"/>
        </w:rPr>
      </w:pPr>
      <w:bookmarkStart w:id="537" w:name="_Toc244586255"/>
      <w:bookmarkStart w:id="538" w:name="_Toc252354764"/>
      <w:r>
        <w:rPr>
          <w:rFonts w:ascii="Arial" w:hAnsi="Arial" w:cs="Arial"/>
          <w:sz w:val="24"/>
          <w:szCs w:val="24"/>
        </w:rPr>
        <w:t>9</w:t>
      </w:r>
      <w:r w:rsidR="007223AA" w:rsidRPr="00445F77">
        <w:rPr>
          <w:rFonts w:ascii="Arial" w:hAnsi="Arial" w:cs="Arial"/>
          <w:sz w:val="24"/>
          <w:szCs w:val="24"/>
        </w:rPr>
        <w:t>.4 Research</w:t>
      </w:r>
      <w:bookmarkEnd w:id="537"/>
      <w:bookmarkEnd w:id="538"/>
    </w:p>
    <w:p w:rsidR="007223AA" w:rsidRPr="00F94F09" w:rsidRDefault="007223AA" w:rsidP="007223AA">
      <w:pPr>
        <w:spacing w:after="0" w:line="300" w:lineRule="exact"/>
        <w:contextualSpacing/>
        <w:jc w:val="both"/>
        <w:rPr>
          <w:rFonts w:ascii="Book Antiqua" w:eastAsia="Times New Roman" w:hAnsi="Book Antiqua" w:cs="Arial"/>
        </w:rPr>
      </w:pPr>
      <w:r w:rsidRPr="00F94F09">
        <w:rPr>
          <w:rFonts w:ascii="Book Antiqua" w:hAnsi="Book Antiqua" w:cs="Arial"/>
          <w:lang w:val="en-US"/>
        </w:rPr>
        <w:t xml:space="preserve">Administration of a BDS incurs administration and management costs.  This needs to be balanced with the requirement of ensuring that the </w:t>
      </w:r>
      <w:r w:rsidR="001B6D90">
        <w:rPr>
          <w:rFonts w:ascii="Book Antiqua" w:hAnsi="Book Antiqua" w:cs="Arial"/>
          <w:lang w:val="en-US"/>
        </w:rPr>
        <w:t>REDD+</w:t>
      </w:r>
      <w:r w:rsidRPr="00F94F09">
        <w:rPr>
          <w:rFonts w:ascii="Book Antiqua" w:hAnsi="Book Antiqua" w:cs="Arial"/>
          <w:lang w:val="en-US"/>
        </w:rPr>
        <w:t xml:space="preserve"> funds reach the actual forest managers and are used as efficiently and effectively as possible to change their behaviour in ways that reduce deforestation.  In relation to national-level government-administered funds in Viet Nam, there are currently no standard procedures for determining permissible management fees.  Studies are therefore needed to </w:t>
      </w:r>
      <w:r w:rsidRPr="00F94F09">
        <w:rPr>
          <w:rFonts w:ascii="Book Antiqua" w:eastAsia="Times New Roman" w:hAnsi="Book Antiqua" w:cs="Arial"/>
        </w:rPr>
        <w:t>estimate the magnitude of these costs, and indicative retention levels.</w:t>
      </w:r>
    </w:p>
    <w:p w:rsidR="007223AA" w:rsidRPr="00F94F09" w:rsidRDefault="007223AA" w:rsidP="007223AA">
      <w:pPr>
        <w:spacing w:after="0" w:line="300" w:lineRule="exact"/>
        <w:contextualSpacing/>
        <w:jc w:val="both"/>
        <w:rPr>
          <w:rFonts w:ascii="Book Antiqua" w:hAnsi="Book Antiqua" w:cs="Arial"/>
          <w:color w:val="1F497D"/>
        </w:rPr>
      </w:pPr>
    </w:p>
    <w:p w:rsidR="007223AA" w:rsidRPr="00F94F09" w:rsidRDefault="007223AA" w:rsidP="007223AA">
      <w:pPr>
        <w:spacing w:after="0" w:line="300" w:lineRule="exact"/>
        <w:contextualSpacing/>
        <w:jc w:val="both"/>
        <w:rPr>
          <w:rFonts w:ascii="Book Antiqua" w:hAnsi="Book Antiqua" w:cs="Arial"/>
        </w:rPr>
      </w:pPr>
      <w:r w:rsidRPr="00F94F09">
        <w:rPr>
          <w:rFonts w:ascii="Book Antiqua" w:hAnsi="Book Antiqua" w:cs="Arial"/>
        </w:rPr>
        <w:t>Research will also be needed to estimate broad opportunity cost norms for different areas, groups, production systems and ecological conditions, and to design checks and balances and</w:t>
      </w:r>
      <w:r w:rsidRPr="00F94F09">
        <w:rPr>
          <w:rFonts w:ascii="Book Antiqua" w:hAnsi="Book Antiqua" w:cs="Arial"/>
          <w:i/>
        </w:rPr>
        <w:t xml:space="preserve"> </w:t>
      </w:r>
      <w:r w:rsidRPr="00F94F09">
        <w:rPr>
          <w:rFonts w:ascii="Book Antiqua" w:hAnsi="Book Antiqua" w:cs="Arial"/>
        </w:rPr>
        <w:t xml:space="preserve">guidance on calculation of payment weights, or “R-coefficients” </w:t>
      </w:r>
    </w:p>
    <w:p w:rsidR="007223AA" w:rsidRPr="00445F77" w:rsidRDefault="007223AA" w:rsidP="007223AA">
      <w:pPr>
        <w:spacing w:after="0"/>
        <w:contextualSpacing/>
        <w:rPr>
          <w:rFonts w:ascii="Arial" w:hAnsi="Arial" w:cs="Arial"/>
          <w:sz w:val="24"/>
          <w:szCs w:val="24"/>
        </w:rPr>
      </w:pPr>
    </w:p>
    <w:p w:rsidR="007223AA" w:rsidRPr="00445F77" w:rsidRDefault="003F6D88" w:rsidP="007223AA">
      <w:pPr>
        <w:pStyle w:val="Heading2"/>
        <w:spacing w:before="0" w:after="0"/>
        <w:contextualSpacing/>
        <w:rPr>
          <w:rFonts w:ascii="Arial" w:hAnsi="Arial" w:cs="Arial"/>
          <w:sz w:val="24"/>
          <w:szCs w:val="24"/>
        </w:rPr>
      </w:pPr>
      <w:bookmarkStart w:id="539" w:name="_Toc244586256"/>
      <w:bookmarkStart w:id="540" w:name="_Toc252354765"/>
      <w:r>
        <w:rPr>
          <w:rFonts w:ascii="Arial" w:hAnsi="Arial" w:cs="Arial"/>
          <w:sz w:val="24"/>
          <w:szCs w:val="24"/>
        </w:rPr>
        <w:t>9</w:t>
      </w:r>
      <w:r w:rsidR="007223AA" w:rsidRPr="00445F77">
        <w:rPr>
          <w:rFonts w:ascii="Arial" w:hAnsi="Arial" w:cs="Arial"/>
          <w:sz w:val="24"/>
          <w:szCs w:val="24"/>
        </w:rPr>
        <w:t>.5 Analysis and Consultation</w:t>
      </w:r>
      <w:bookmarkEnd w:id="539"/>
      <w:bookmarkEnd w:id="540"/>
    </w:p>
    <w:p w:rsidR="007223AA" w:rsidRPr="00F94F09" w:rsidRDefault="007223AA" w:rsidP="007223AA">
      <w:pPr>
        <w:spacing w:after="0" w:line="300" w:lineRule="exact"/>
        <w:contextualSpacing/>
        <w:jc w:val="both"/>
        <w:rPr>
          <w:rFonts w:ascii="Book Antiqua" w:hAnsi="Book Antiqua" w:cs="Arial"/>
          <w:color w:val="000000"/>
        </w:rPr>
      </w:pPr>
      <w:r w:rsidRPr="00F94F09">
        <w:rPr>
          <w:rFonts w:ascii="Book Antiqua" w:hAnsi="Book Antiqua" w:cs="Arial"/>
          <w:color w:val="000000"/>
        </w:rPr>
        <w:t>In addition to research, reviews and evaluation, some further analyses and consultations are required on some issues.  These include:</w:t>
      </w:r>
    </w:p>
    <w:p w:rsidR="007223AA" w:rsidRPr="00F94F09" w:rsidRDefault="007223AA" w:rsidP="007223AA">
      <w:pPr>
        <w:spacing w:after="0" w:line="300" w:lineRule="exact"/>
        <w:contextualSpacing/>
        <w:jc w:val="both"/>
        <w:rPr>
          <w:rFonts w:ascii="Book Antiqua" w:hAnsi="Book Antiqua" w:cs="Arial"/>
          <w:color w:val="000000"/>
        </w:rPr>
      </w:pPr>
    </w:p>
    <w:p w:rsidR="007223AA" w:rsidRPr="00F94F09" w:rsidRDefault="007223AA" w:rsidP="008227FD">
      <w:pPr>
        <w:pStyle w:val="ListParagraph"/>
        <w:numPr>
          <w:ilvl w:val="0"/>
          <w:numId w:val="72"/>
        </w:numPr>
        <w:spacing w:after="0" w:line="300" w:lineRule="exact"/>
        <w:ind w:left="360"/>
        <w:jc w:val="both"/>
        <w:rPr>
          <w:rFonts w:ascii="Book Antiqua" w:hAnsi="Book Antiqua" w:cs="Arial"/>
          <w:color w:val="000000"/>
        </w:rPr>
      </w:pPr>
      <w:r w:rsidRPr="00F94F09">
        <w:rPr>
          <w:rFonts w:ascii="Book Antiqua" w:hAnsi="Book Antiqua" w:cs="Arial"/>
          <w:color w:val="000000"/>
        </w:rPr>
        <w:t xml:space="preserve">There is a need to balance a practical approach to budgeting and financial monitoring with the necessity of ensuring that </w:t>
      </w:r>
      <w:r w:rsidR="001B6D90">
        <w:rPr>
          <w:rFonts w:ascii="Book Antiqua" w:hAnsi="Book Antiqua" w:cs="Arial"/>
          <w:color w:val="000000"/>
        </w:rPr>
        <w:t>REDD+</w:t>
      </w:r>
      <w:r w:rsidRPr="00F94F09">
        <w:rPr>
          <w:rFonts w:ascii="Book Antiqua" w:hAnsi="Book Antiqua" w:cs="Arial"/>
          <w:color w:val="000000"/>
        </w:rPr>
        <w:t xml:space="preserve"> funds are spent on their intended purpose.  A list of admissible </w:t>
      </w:r>
      <w:r w:rsidR="001B6D90">
        <w:rPr>
          <w:rFonts w:ascii="Book Antiqua" w:hAnsi="Book Antiqua" w:cs="Arial"/>
          <w:color w:val="000000"/>
        </w:rPr>
        <w:t>REDD+</w:t>
      </w:r>
      <w:r w:rsidRPr="00F94F09">
        <w:rPr>
          <w:rFonts w:ascii="Book Antiqua" w:hAnsi="Book Antiqua" w:cs="Arial"/>
          <w:color w:val="000000"/>
        </w:rPr>
        <w:t xml:space="preserve"> costs and activities should therefore be prepared, and agreed by stakeholders.</w:t>
      </w:r>
    </w:p>
    <w:p w:rsidR="007223AA" w:rsidRPr="00F94F09" w:rsidRDefault="007223AA" w:rsidP="008227FD">
      <w:pPr>
        <w:pStyle w:val="ListParagraph"/>
        <w:numPr>
          <w:ilvl w:val="0"/>
          <w:numId w:val="72"/>
        </w:numPr>
        <w:spacing w:after="0" w:line="300" w:lineRule="exact"/>
        <w:ind w:left="360"/>
        <w:jc w:val="both"/>
        <w:rPr>
          <w:rFonts w:ascii="Book Antiqua" w:hAnsi="Book Antiqua" w:cs="Arial"/>
          <w:color w:val="000000"/>
        </w:rPr>
      </w:pPr>
      <w:r w:rsidRPr="00F94F09">
        <w:rPr>
          <w:rFonts w:ascii="Book Antiqua" w:hAnsi="Book Antiqua" w:cs="Arial"/>
        </w:rPr>
        <w:t xml:space="preserve">Global experience shows that the right institutional design is a precondition for the success of performance-based payments.  Institutional structures only achieve the equitable and efficient allocation of payments if they include a system of checks and balances.  Entrusting all powers to a single institution may create a conflict of interest </w:t>
      </w:r>
      <w:r w:rsidRPr="00F94F09">
        <w:rPr>
          <w:rFonts w:ascii="Book Antiqua" w:hAnsi="Book Antiqua" w:cs="Arial"/>
        </w:rPr>
        <w:lastRenderedPageBreak/>
        <w:t xml:space="preserve">detrimental to the efficient allocation of funds and conditionality of payments.  This is a lesson from the weak performance of 661 projects where district-level FPUs and SOCs often combine the tasks of implementation and enforcement.  GoV should assess the institutional structures used for the implementation of the 661 </w:t>
      </w:r>
      <w:r w:rsidR="00480D3D">
        <w:rPr>
          <w:rFonts w:ascii="Book Antiqua" w:hAnsi="Book Antiqua" w:cs="Arial"/>
        </w:rPr>
        <w:t>Programme</w:t>
      </w:r>
      <w:r w:rsidRPr="00F94F09">
        <w:rPr>
          <w:rFonts w:ascii="Book Antiqua" w:hAnsi="Book Antiqua" w:cs="Arial"/>
        </w:rPr>
        <w:t xml:space="preserve"> and PFES schemes in Son La and Lam Dong.  The assessment should inform the institutional design of the sub-national component of Viet Nam’s future </w:t>
      </w:r>
      <w:r w:rsidR="001B6D90">
        <w:rPr>
          <w:rFonts w:ascii="Book Antiqua" w:hAnsi="Book Antiqua" w:cs="Arial"/>
        </w:rPr>
        <w:t>REDD+</w:t>
      </w:r>
      <w:r w:rsidRPr="00F94F09">
        <w:rPr>
          <w:rFonts w:ascii="Book Antiqua" w:hAnsi="Book Antiqua" w:cs="Arial"/>
        </w:rPr>
        <w:t xml:space="preserve"> </w:t>
      </w:r>
      <w:r w:rsidR="00480D3D">
        <w:rPr>
          <w:rFonts w:ascii="Book Antiqua" w:hAnsi="Book Antiqua" w:cs="Arial"/>
        </w:rPr>
        <w:t>Programme</w:t>
      </w:r>
      <w:r w:rsidRPr="00F94F09">
        <w:rPr>
          <w:rFonts w:ascii="Book Antiqua" w:hAnsi="Book Antiqua" w:cs="Arial"/>
        </w:rPr>
        <w:t>.</w:t>
      </w:r>
    </w:p>
    <w:p w:rsidR="007223AA" w:rsidRPr="00F94F09" w:rsidRDefault="001B6D90" w:rsidP="008227FD">
      <w:pPr>
        <w:pStyle w:val="ListParagraph"/>
        <w:numPr>
          <w:ilvl w:val="0"/>
          <w:numId w:val="72"/>
        </w:numPr>
        <w:spacing w:after="0" w:line="300" w:lineRule="exact"/>
        <w:ind w:left="360"/>
        <w:jc w:val="both"/>
        <w:rPr>
          <w:rFonts w:ascii="Book Antiqua" w:hAnsi="Book Antiqua" w:cs="Arial"/>
          <w:color w:val="000000"/>
        </w:rPr>
      </w:pPr>
      <w:r>
        <w:rPr>
          <w:rFonts w:ascii="Book Antiqua" w:hAnsi="Book Antiqua" w:cs="Arial"/>
          <w:color w:val="000000"/>
        </w:rPr>
        <w:t>REDD+</w:t>
      </w:r>
      <w:r w:rsidR="007223AA" w:rsidRPr="00F94F09">
        <w:rPr>
          <w:rFonts w:ascii="Book Antiqua" w:hAnsi="Book Antiqua" w:cs="Arial"/>
          <w:color w:val="000000"/>
        </w:rPr>
        <w:t xml:space="preserve"> payments need to be tied to </w:t>
      </w:r>
      <w:r>
        <w:rPr>
          <w:rFonts w:ascii="Book Antiqua" w:hAnsi="Book Antiqua" w:cs="Arial"/>
          <w:color w:val="000000"/>
        </w:rPr>
        <w:t>REDD+</w:t>
      </w:r>
      <w:r w:rsidR="007223AA" w:rsidRPr="00F94F09">
        <w:rPr>
          <w:rFonts w:ascii="Book Antiqua" w:hAnsi="Book Antiqua" w:cs="Arial"/>
          <w:color w:val="000000"/>
        </w:rPr>
        <w:t xml:space="preserve"> performance, but also take account of other social and economic goals, such as poverty alleviation (sometimes referred to as “co-benefits”).  Distribution from the national level to provinces, districts, and local beneficiaries should therefore be based on “R-coefficients”, which integrate these co-benefits.  Further analysis and consultation is required to identify R-coefficients that still ensure strong linkages to </w:t>
      </w:r>
      <w:r>
        <w:rPr>
          <w:rFonts w:ascii="Book Antiqua" w:hAnsi="Book Antiqua" w:cs="Arial"/>
          <w:color w:val="000000"/>
        </w:rPr>
        <w:t>REDD+</w:t>
      </w:r>
      <w:r w:rsidR="007223AA" w:rsidRPr="00F94F09">
        <w:rPr>
          <w:rFonts w:ascii="Book Antiqua" w:hAnsi="Book Antiqua" w:cs="Arial"/>
          <w:color w:val="000000"/>
        </w:rPr>
        <w:t xml:space="preserve"> performance.</w:t>
      </w:r>
    </w:p>
    <w:p w:rsidR="007223AA" w:rsidRPr="00F94F09" w:rsidRDefault="007223AA" w:rsidP="008227FD">
      <w:pPr>
        <w:pStyle w:val="ListParagraph"/>
        <w:numPr>
          <w:ilvl w:val="0"/>
          <w:numId w:val="72"/>
        </w:numPr>
        <w:spacing w:after="0" w:line="300" w:lineRule="exact"/>
        <w:ind w:left="360"/>
        <w:jc w:val="both"/>
        <w:rPr>
          <w:rFonts w:ascii="Book Antiqua" w:hAnsi="Book Antiqua" w:cs="Arial"/>
          <w:color w:val="000000"/>
        </w:rPr>
      </w:pPr>
      <w:r w:rsidRPr="00F94F09">
        <w:rPr>
          <w:rFonts w:ascii="Book Antiqua" w:hAnsi="Book Antiqua" w:cs="Arial"/>
        </w:rPr>
        <w:t xml:space="preserve">Experience in the area of local-level forest monitoring provides a strong basis for developing participatory </w:t>
      </w:r>
      <w:r w:rsidR="001B6D90">
        <w:rPr>
          <w:rFonts w:ascii="Book Antiqua" w:hAnsi="Book Antiqua" w:cs="Arial"/>
        </w:rPr>
        <w:t>REDD+</w:t>
      </w:r>
      <w:r w:rsidRPr="00F94F09">
        <w:rPr>
          <w:rFonts w:ascii="Book Antiqua" w:hAnsi="Book Antiqua" w:cs="Arial"/>
        </w:rPr>
        <w:t xml:space="preserve"> monitoring.  Monitoring should build on existing traditional institutions and other management structures as much as possible.  Further work is required to review and identify participatory monitoring methods that have a history of effectiveness, and identify the data to be collected and the metrics and methodology to be applied.</w:t>
      </w:r>
    </w:p>
    <w:p w:rsidR="007223AA" w:rsidRPr="00F94F09" w:rsidRDefault="007223AA" w:rsidP="008227FD">
      <w:pPr>
        <w:pStyle w:val="ListParagraph"/>
        <w:numPr>
          <w:ilvl w:val="0"/>
          <w:numId w:val="72"/>
        </w:numPr>
        <w:spacing w:after="0" w:line="300" w:lineRule="exact"/>
        <w:ind w:left="360"/>
        <w:jc w:val="both"/>
        <w:rPr>
          <w:rFonts w:ascii="Book Antiqua" w:hAnsi="Book Antiqua" w:cs="Arial"/>
          <w:color w:val="000000"/>
        </w:rPr>
      </w:pPr>
      <w:r w:rsidRPr="00F94F09">
        <w:rPr>
          <w:rFonts w:ascii="Book Antiqua" w:hAnsi="Book Antiqua" w:cs="Arial"/>
        </w:rPr>
        <w:t>Any BDS, however well designed, will inevitably give rise to complaints by those who think that they have not been rewarded appropriately and/or are losing out to free-riders who receive benefits but have made no contribution to forest protection and reduced carbon emissions.  A more detailed analysis of the possible institutional structure of a participatory recourse mechanism is need.  This should lead to a communication strategy through which information on the proposed recourse mechanism is widely disseminated to all stakeholders.</w:t>
      </w:r>
    </w:p>
    <w:p w:rsidR="007223AA" w:rsidRPr="00F94F09" w:rsidRDefault="007223AA" w:rsidP="008227FD">
      <w:pPr>
        <w:pStyle w:val="ListParagraph"/>
        <w:numPr>
          <w:ilvl w:val="0"/>
          <w:numId w:val="72"/>
        </w:numPr>
        <w:spacing w:after="0" w:line="300" w:lineRule="exact"/>
        <w:ind w:left="360"/>
        <w:jc w:val="both"/>
        <w:rPr>
          <w:rFonts w:ascii="Book Antiqua" w:hAnsi="Book Antiqua" w:cs="Arial"/>
          <w:color w:val="000000"/>
        </w:rPr>
      </w:pPr>
      <w:r w:rsidRPr="00F94F09">
        <w:rPr>
          <w:rFonts w:ascii="Book Antiqua" w:hAnsi="Book Antiqua" w:cs="Arial"/>
        </w:rPr>
        <w:t xml:space="preserve">Effective ways to measure </w:t>
      </w:r>
      <w:r w:rsidR="001B6D90">
        <w:rPr>
          <w:rFonts w:ascii="Book Antiqua" w:hAnsi="Book Antiqua" w:cs="Arial"/>
        </w:rPr>
        <w:t>REDD+</w:t>
      </w:r>
      <w:r w:rsidRPr="00F94F09">
        <w:rPr>
          <w:rFonts w:ascii="Book Antiqua" w:hAnsi="Book Antiqua" w:cs="Arial"/>
        </w:rPr>
        <w:t xml:space="preserve"> interventions and actions have to be developed.  Carbon offset purchasers will require independent (“third party”) confirmation that investments are applied properly.  In the absence of third party verification, access to </w:t>
      </w:r>
      <w:r w:rsidR="001B6D90">
        <w:rPr>
          <w:rFonts w:ascii="Book Antiqua" w:hAnsi="Book Antiqua" w:cs="Arial"/>
        </w:rPr>
        <w:t>REDD+</w:t>
      </w:r>
      <w:r w:rsidRPr="00F94F09">
        <w:rPr>
          <w:rFonts w:ascii="Book Antiqua" w:hAnsi="Book Antiqua" w:cs="Arial"/>
        </w:rPr>
        <w:t xml:space="preserve"> market mechanisms will not be possible.  A review of the performance metrics that relate to effective implementation of </w:t>
      </w:r>
      <w:r w:rsidR="001B6D90">
        <w:rPr>
          <w:rFonts w:ascii="Book Antiqua" w:hAnsi="Book Antiqua" w:cs="Arial"/>
        </w:rPr>
        <w:t>REDD+</w:t>
      </w:r>
      <w:r w:rsidRPr="00F94F09">
        <w:rPr>
          <w:rFonts w:ascii="Book Antiqua" w:hAnsi="Book Antiqua" w:cs="Arial"/>
        </w:rPr>
        <w:t xml:space="preserve"> activities should be undertaken, and the data to be collected and the metrics and methodology to be applied need to be identified.</w:t>
      </w:r>
    </w:p>
    <w:p w:rsidR="007223AA" w:rsidRPr="00F94F09" w:rsidRDefault="007223AA" w:rsidP="008227FD">
      <w:pPr>
        <w:pStyle w:val="ListParagraph"/>
        <w:numPr>
          <w:ilvl w:val="0"/>
          <w:numId w:val="72"/>
        </w:numPr>
        <w:spacing w:after="0" w:line="300" w:lineRule="exact"/>
        <w:ind w:left="360"/>
        <w:jc w:val="both"/>
        <w:rPr>
          <w:rFonts w:ascii="Book Antiqua" w:hAnsi="Book Antiqua" w:cs="Arial"/>
          <w:color w:val="000000"/>
        </w:rPr>
      </w:pPr>
      <w:r w:rsidRPr="00F94F09">
        <w:rPr>
          <w:rFonts w:ascii="Book Antiqua" w:hAnsi="Book Antiqua" w:cs="Arial"/>
        </w:rPr>
        <w:t xml:space="preserve">Similarly, carbon offset purchasers will require independent confirmation of revenue disbursement to ensure that the funds are delivered in ways that reward those who have delivered the emissions reduction service.  Without third party verification of the payments, access to </w:t>
      </w:r>
      <w:r w:rsidR="001B6D90">
        <w:rPr>
          <w:rFonts w:ascii="Book Antiqua" w:hAnsi="Book Antiqua" w:cs="Arial"/>
        </w:rPr>
        <w:t>REDD+</w:t>
      </w:r>
      <w:r w:rsidRPr="00F94F09">
        <w:rPr>
          <w:rFonts w:ascii="Book Antiqua" w:hAnsi="Book Antiqua" w:cs="Arial"/>
        </w:rPr>
        <w:t xml:space="preserve"> financing will not be possible.  </w:t>
      </w:r>
    </w:p>
    <w:p w:rsidR="007223AA" w:rsidRPr="00445F77" w:rsidRDefault="007223AA" w:rsidP="007223AA">
      <w:pPr>
        <w:spacing w:after="0" w:line="240" w:lineRule="auto"/>
        <w:contextualSpacing/>
        <w:rPr>
          <w:rFonts w:ascii="Arial" w:hAnsi="Arial" w:cs="Arial"/>
          <w:color w:val="000000"/>
          <w:sz w:val="24"/>
          <w:szCs w:val="24"/>
        </w:rPr>
      </w:pPr>
    </w:p>
    <w:p w:rsidR="007223AA" w:rsidRPr="00445F77" w:rsidRDefault="007223AA" w:rsidP="007223AA">
      <w:pPr>
        <w:spacing w:after="0"/>
        <w:contextualSpacing/>
        <w:rPr>
          <w:rFonts w:ascii="Arial" w:hAnsi="Arial" w:cs="Arial"/>
          <w:sz w:val="24"/>
          <w:szCs w:val="24"/>
        </w:rPr>
      </w:pPr>
    </w:p>
    <w:p w:rsidR="00F12DE0" w:rsidRPr="00445F77" w:rsidRDefault="00F12DE0">
      <w:pPr>
        <w:spacing w:after="0" w:line="240" w:lineRule="auto"/>
        <w:rPr>
          <w:rFonts w:ascii="Arial" w:hAnsi="Arial" w:cs="Arial"/>
          <w:color w:val="000000"/>
          <w:sz w:val="24"/>
          <w:szCs w:val="24"/>
        </w:rPr>
      </w:pPr>
      <w:r w:rsidRPr="00445F77">
        <w:rPr>
          <w:rFonts w:ascii="Arial" w:hAnsi="Arial" w:cs="Arial"/>
          <w:color w:val="000000"/>
          <w:sz w:val="24"/>
          <w:szCs w:val="24"/>
        </w:rPr>
        <w:br w:type="page"/>
      </w:r>
    </w:p>
    <w:p w:rsidR="00351F2C" w:rsidRPr="00445F77" w:rsidRDefault="00351F2C" w:rsidP="002D0F33">
      <w:pPr>
        <w:pStyle w:val="Heading1"/>
      </w:pPr>
      <w:bookmarkStart w:id="541" w:name="_Toc244586257"/>
      <w:bookmarkStart w:id="542" w:name="_Toc252354766"/>
      <w:r w:rsidRPr="00445F77">
        <w:lastRenderedPageBreak/>
        <w:t>References</w:t>
      </w:r>
      <w:bookmarkEnd w:id="541"/>
      <w:bookmarkEnd w:id="542"/>
    </w:p>
    <w:p w:rsidR="00351F2C" w:rsidRPr="00445F77" w:rsidRDefault="00351F2C" w:rsidP="007D7495">
      <w:pPr>
        <w:tabs>
          <w:tab w:val="left" w:pos="4962"/>
        </w:tabs>
        <w:spacing w:after="0" w:line="300" w:lineRule="exact"/>
        <w:ind w:left="270" w:hanging="270"/>
        <w:contextualSpacing/>
        <w:jc w:val="both"/>
        <w:rPr>
          <w:rFonts w:ascii="Arial" w:hAnsi="Arial" w:cs="Arial"/>
          <w:sz w:val="24"/>
          <w:szCs w:val="24"/>
        </w:rPr>
      </w:pP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bookmarkStart w:id="543" w:name="RMRefList_Chapter_3___draft_2"/>
      <w:smartTag w:uri="urn:schemas-microsoft-com:office:smarttags" w:element="place">
        <w:smartTag w:uri="urn:schemas-microsoft-com:office:smarttags" w:element="City">
          <w:r w:rsidRPr="007223AA">
            <w:rPr>
              <w:rFonts w:ascii="Book Antiqua" w:hAnsi="Book Antiqua" w:cs="Arial"/>
              <w:sz w:val="20"/>
              <w:szCs w:val="20"/>
              <w:lang w:val="en-US"/>
            </w:rPr>
            <w:t>Alliance</w:t>
          </w:r>
        </w:smartTag>
      </w:smartTag>
      <w:r w:rsidRPr="007223AA">
        <w:rPr>
          <w:rFonts w:ascii="Book Antiqua" w:hAnsi="Book Antiqua" w:cs="Arial"/>
          <w:sz w:val="20"/>
          <w:szCs w:val="20"/>
          <w:lang w:val="en-US"/>
        </w:rPr>
        <w:t xml:space="preserve"> Environnement. 2007. Evaluation of the Application of Cross Compliance as Foreseen under Regulation 1782/2003. Report prepared for DG Agriculture.</w:t>
      </w: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p>
    <w:p w:rsidR="00351F2C" w:rsidRPr="007223AA" w:rsidRDefault="00351F2C" w:rsidP="007D7495">
      <w:pPr>
        <w:autoSpaceDE w:val="0"/>
        <w:autoSpaceDN w:val="0"/>
        <w:adjustRightInd w:val="0"/>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Anonymous </w:t>
      </w:r>
      <w:r w:rsidRPr="007223AA">
        <w:rPr>
          <w:rFonts w:ascii="Book Antiqua" w:hAnsi="Book Antiqua" w:cs="Arial"/>
          <w:i/>
          <w:iCs/>
          <w:sz w:val="20"/>
          <w:szCs w:val="20"/>
        </w:rPr>
        <w:t>Bao cao thuc hien chuong trinh 135 giai doan 1999-2004 (Report on implementation of Program 135 for the period of 1999-2004).</w:t>
      </w:r>
      <w:r w:rsidRPr="007223AA">
        <w:rPr>
          <w:rFonts w:ascii="Book Antiqua" w:hAnsi="Book Antiqua" w:cs="Arial"/>
          <w:sz w:val="20"/>
          <w:szCs w:val="20"/>
        </w:rPr>
        <w:t xml:space="preserve"> 2005.</w:t>
      </w:r>
    </w:p>
    <w:bookmarkEnd w:id="543"/>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r w:rsidRPr="007223AA">
        <w:rPr>
          <w:rFonts w:ascii="Book Antiqua" w:hAnsi="Book Antiqua" w:cs="Arial"/>
          <w:sz w:val="20"/>
          <w:szCs w:val="20"/>
          <w:lang w:val="en-US"/>
        </w:rPr>
        <w:t>Asquith, Nigel M., M. T. Vargas and S. Wunder. 3008. Selling two environmental services: In-kind payments for bird habitat and watershed protection in Los Negros, Bolivia. Ecological Economics 65: 675-684.</w:t>
      </w: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 xml:space="preserve">Bond, </w:t>
      </w:r>
      <w:smartTag w:uri="urn:schemas-microsoft-com:office:smarttags" w:element="place">
        <w:r w:rsidRPr="007223AA">
          <w:rPr>
            <w:rFonts w:ascii="Book Antiqua" w:eastAsia="Times New Roman" w:hAnsi="Book Antiqua" w:cs="Arial"/>
            <w:bCs/>
            <w:sz w:val="20"/>
            <w:szCs w:val="20"/>
          </w:rPr>
          <w:t>I.</w:t>
        </w:r>
      </w:smartTag>
      <w:r w:rsidRPr="007223AA">
        <w:rPr>
          <w:rFonts w:ascii="Book Antiqua" w:eastAsia="Times New Roman" w:hAnsi="Book Antiqua" w:cs="Arial"/>
          <w:bCs/>
          <w:sz w:val="20"/>
          <w:szCs w:val="20"/>
        </w:rPr>
        <w:t xml:space="preserve">, Grieg-Gran, M., Wertz-Kanounnikoff, S., Hazlewood, P., Wunder S. and A. Angelsen. 2009. Incentives to sustain forest ecosystem services: A review and lessons for REDD. Natural Resouce Issues No. 16. International Institute for Environment and Development, </w:t>
      </w:r>
      <w:smartTag w:uri="urn:schemas-microsoft-com:office:smarttags" w:element="City">
        <w:r w:rsidRPr="007223AA">
          <w:rPr>
            <w:rFonts w:ascii="Book Antiqua" w:eastAsia="Times New Roman" w:hAnsi="Book Antiqua" w:cs="Arial"/>
            <w:bCs/>
            <w:sz w:val="20"/>
            <w:szCs w:val="20"/>
          </w:rPr>
          <w:t>London</w:t>
        </w:r>
      </w:smartTag>
      <w:r w:rsidRPr="007223AA">
        <w:rPr>
          <w:rFonts w:ascii="Book Antiqua" w:eastAsia="Times New Roman" w:hAnsi="Book Antiqua" w:cs="Arial"/>
          <w:bCs/>
          <w:sz w:val="20"/>
          <w:szCs w:val="20"/>
        </w:rPr>
        <w:t xml:space="preserve"> with CIFOR, </w:t>
      </w:r>
      <w:smartTag w:uri="urn:schemas-microsoft-com:office:smarttags" w:element="City">
        <w:r w:rsidRPr="007223AA">
          <w:rPr>
            <w:rFonts w:ascii="Book Antiqua" w:eastAsia="Times New Roman" w:hAnsi="Book Antiqua" w:cs="Arial"/>
            <w:bCs/>
            <w:sz w:val="20"/>
            <w:szCs w:val="20"/>
          </w:rPr>
          <w:t>Bogor</w:t>
        </w:r>
      </w:smartTag>
      <w:r w:rsidRPr="007223AA">
        <w:rPr>
          <w:rFonts w:ascii="Book Antiqua" w:eastAsia="Times New Roman" w:hAnsi="Book Antiqua" w:cs="Arial"/>
          <w:bCs/>
          <w:sz w:val="20"/>
          <w:szCs w:val="20"/>
        </w:rPr>
        <w:t xml:space="preserve"> and World Resources Institute, </w:t>
      </w:r>
      <w:smartTag w:uri="urn:schemas-microsoft-com:office:smarttags" w:element="place">
        <w:smartTag w:uri="urn:schemas-microsoft-com:office:smarttags" w:element="City">
          <w:r w:rsidRPr="007223AA">
            <w:rPr>
              <w:rFonts w:ascii="Book Antiqua" w:eastAsia="Times New Roman" w:hAnsi="Book Antiqua" w:cs="Arial"/>
              <w:bCs/>
              <w:sz w:val="20"/>
              <w:szCs w:val="20"/>
            </w:rPr>
            <w:t>Washington</w:t>
          </w:r>
        </w:smartTag>
        <w:r w:rsidRPr="007223AA">
          <w:rPr>
            <w:rFonts w:ascii="Book Antiqua" w:eastAsia="Times New Roman" w:hAnsi="Book Antiqua" w:cs="Arial"/>
            <w:bCs/>
            <w:sz w:val="20"/>
            <w:szCs w:val="20"/>
          </w:rPr>
          <w:t xml:space="preserve"> </w:t>
        </w:r>
        <w:smartTag w:uri="urn:schemas-microsoft-com:office:smarttags" w:element="State">
          <w:r w:rsidRPr="007223AA">
            <w:rPr>
              <w:rFonts w:ascii="Book Antiqua" w:eastAsia="Times New Roman" w:hAnsi="Book Antiqua" w:cs="Arial"/>
              <w:bCs/>
              <w:sz w:val="20"/>
              <w:szCs w:val="20"/>
            </w:rPr>
            <w:t>DC</w:t>
          </w:r>
        </w:smartTag>
      </w:smartTag>
      <w:r w:rsidRPr="007223AA">
        <w:rPr>
          <w:rFonts w:ascii="Book Antiqua" w:eastAsia="Times New Roman" w:hAnsi="Book Antiqua" w:cs="Arial"/>
          <w:bCs/>
          <w:sz w:val="20"/>
          <w:szCs w:val="20"/>
        </w:rPr>
        <w:t>.</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222E4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Börner, J. and S. Wunder. 2008 Paying for avoided deforestation in the Brazilian Amazon: from cost assessment to scheme design. International Forestry Review International Forestry Review. 10 (3)496-511.</w:t>
      </w:r>
    </w:p>
    <w:p w:rsidR="00351F2C" w:rsidRPr="007223AA" w:rsidRDefault="00351F2C" w:rsidP="00222E4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222E45">
      <w:pPr>
        <w:spacing w:after="0"/>
        <w:ind w:left="270" w:hanging="270"/>
        <w:rPr>
          <w:rFonts w:ascii="Book Antiqua" w:hAnsi="Book Antiqua" w:cs="Arial"/>
          <w:sz w:val="20"/>
          <w:szCs w:val="20"/>
        </w:rPr>
      </w:pPr>
      <w:r w:rsidRPr="007223AA">
        <w:rPr>
          <w:rFonts w:ascii="Book Antiqua" w:hAnsi="Book Antiqua" w:cs="Arial"/>
          <w:sz w:val="20"/>
          <w:szCs w:val="20"/>
        </w:rPr>
        <w:t>Busch, J., B. Strassburg, A. Cattaneo, R. Lubowski, F. Boltz, R. Ashton, A. Bruner, R. Rice, A. Creed (2009).  Comparing climate and cost impacts of reference levels for reducing emissions from deforestation.  Environmental Research Letters.</w:t>
      </w:r>
    </w:p>
    <w:p w:rsidR="00351F2C" w:rsidRPr="007223AA" w:rsidRDefault="00351F2C" w:rsidP="00222E45">
      <w:pPr>
        <w:spacing w:after="0"/>
        <w:rPr>
          <w:rFonts w:ascii="Book Antiqua" w:hAnsi="Book Antiqua" w:cs="Arial"/>
          <w:sz w:val="20"/>
          <w:szCs w:val="20"/>
        </w:rPr>
      </w:pPr>
    </w:p>
    <w:p w:rsidR="00351F2C" w:rsidRPr="007223AA" w:rsidRDefault="00351F2C" w:rsidP="00222E45">
      <w:pPr>
        <w:spacing w:after="0" w:line="240" w:lineRule="atLeast"/>
        <w:ind w:left="270" w:hanging="270"/>
        <w:contextualSpacing/>
        <w:rPr>
          <w:rFonts w:ascii="Book Antiqua" w:eastAsia="Times New Roman" w:hAnsi="Book Antiqua" w:cs="Arial"/>
          <w:bCs/>
          <w:sz w:val="20"/>
          <w:szCs w:val="20"/>
        </w:rPr>
      </w:pPr>
      <w:smartTag w:uri="urn:schemas-microsoft-com:office:smarttags" w:element="place">
        <w:smartTag w:uri="urn:schemas-microsoft-com:office:smarttags" w:element="City">
          <w:r w:rsidRPr="007223AA">
            <w:rPr>
              <w:rFonts w:ascii="Book Antiqua" w:eastAsia="Times New Roman" w:hAnsi="Book Antiqua" w:cs="Arial"/>
              <w:bCs/>
              <w:sz w:val="20"/>
              <w:szCs w:val="20"/>
            </w:rPr>
            <w:t>Butler</w:t>
          </w:r>
        </w:smartTag>
      </w:smartTag>
      <w:r w:rsidRPr="007223AA">
        <w:rPr>
          <w:rFonts w:ascii="Book Antiqua" w:eastAsia="Times New Roman" w:hAnsi="Book Antiqua" w:cs="Arial"/>
          <w:bCs/>
          <w:sz w:val="20"/>
          <w:szCs w:val="20"/>
        </w:rPr>
        <w:t>, R.A., Koh, L.P. and J. Ghazoul. 2009. REDD in the red: palm oil could undermine carbon payment schemes. Conservation Letters 2: 67–73</w:t>
      </w:r>
    </w:p>
    <w:p w:rsidR="00351F2C" w:rsidRPr="007223AA" w:rsidRDefault="00351F2C" w:rsidP="00222E4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222E45">
      <w:pPr>
        <w:spacing w:after="0" w:line="240" w:lineRule="atLeast"/>
        <w:ind w:left="270" w:hanging="270"/>
        <w:contextualSpacing/>
        <w:rPr>
          <w:rFonts w:ascii="Book Antiqua" w:hAnsi="Book Antiqua" w:cs="Arial"/>
          <w:sz w:val="20"/>
          <w:szCs w:val="20"/>
          <w:lang w:val="en-US"/>
        </w:rPr>
      </w:pPr>
      <w:r w:rsidRPr="007223AA">
        <w:rPr>
          <w:rFonts w:ascii="Book Antiqua" w:hAnsi="Book Antiqua" w:cs="Arial"/>
          <w:sz w:val="20"/>
          <w:szCs w:val="20"/>
          <w:lang w:val="en-US"/>
        </w:rPr>
        <w:t xml:space="preserve">Climate Update. May 11, 2009.  </w:t>
      </w:r>
      <w:hyperlink r:id="rId34" w:history="1">
        <w:r w:rsidRPr="007223AA">
          <w:rPr>
            <w:rStyle w:val="Hyperlink"/>
            <w:rFonts w:ascii="Book Antiqua" w:hAnsi="Book Antiqua" w:cs="Arial"/>
            <w:sz w:val="20"/>
            <w:szCs w:val="20"/>
            <w:lang w:val="en-US"/>
          </w:rPr>
          <w:t>http://climateupdate.wordpress.com/2009/05/</w:t>
        </w:r>
      </w:hyperlink>
      <w:r w:rsidRPr="007223AA">
        <w:rPr>
          <w:rFonts w:ascii="Book Antiqua" w:hAnsi="Book Antiqua" w:cs="Arial"/>
          <w:sz w:val="20"/>
          <w:szCs w:val="20"/>
          <w:lang w:val="en-US"/>
        </w:rPr>
        <w:t xml:space="preserve"> (Accessed Oct. 25, 2009)</w:t>
      </w:r>
    </w:p>
    <w:p w:rsidR="00351F2C" w:rsidRPr="007223AA" w:rsidRDefault="00351F2C" w:rsidP="00222E45">
      <w:pPr>
        <w:spacing w:after="0" w:line="240" w:lineRule="atLeast"/>
        <w:ind w:left="270" w:hanging="270"/>
        <w:contextualSpacing/>
        <w:rPr>
          <w:rFonts w:ascii="Book Antiqua" w:hAnsi="Book Antiqua" w:cs="Arial"/>
          <w:sz w:val="20"/>
          <w:szCs w:val="20"/>
          <w:lang w:val="en-US"/>
        </w:rPr>
      </w:pPr>
    </w:p>
    <w:p w:rsidR="00351F2C" w:rsidRPr="007223AA" w:rsidRDefault="00351F2C" w:rsidP="00222E45">
      <w:pPr>
        <w:spacing w:after="0" w:line="240" w:lineRule="atLeast"/>
        <w:ind w:left="270" w:hanging="270"/>
        <w:contextualSpacing/>
        <w:rPr>
          <w:rFonts w:ascii="Book Antiqua" w:hAnsi="Book Antiqua" w:cs="Arial"/>
          <w:sz w:val="20"/>
          <w:szCs w:val="20"/>
          <w:lang w:val="en-US"/>
        </w:rPr>
      </w:pPr>
      <w:r w:rsidRPr="007223AA">
        <w:rPr>
          <w:rFonts w:ascii="Book Antiqua" w:hAnsi="Book Antiqua" w:cs="Arial"/>
          <w:sz w:val="20"/>
          <w:szCs w:val="20"/>
          <w:lang w:val="en-US"/>
        </w:rPr>
        <w:t>Corbera, E., C. G. Soberanis and K. Brown. 2009. Institutional dimensions of payments for ecosystem services: An analysis of Mexico’s carbon forestry program. Ecological Economics 68: 743-761.</w:t>
      </w: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Covington and Baker McKenzie. 2009. Background Analysis of REDD regulatory Frameworks, New York: UN-REDD.</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6730F6" w:rsidRPr="006730F6" w:rsidRDefault="006730F6" w:rsidP="006730F6">
      <w:pPr>
        <w:pStyle w:val="PlainText"/>
        <w:ind w:left="270" w:hanging="270"/>
        <w:jc w:val="both"/>
        <w:rPr>
          <w:rFonts w:ascii="Book Antiqua" w:hAnsi="Book Antiqua"/>
          <w:sz w:val="20"/>
          <w:szCs w:val="20"/>
        </w:rPr>
      </w:pPr>
      <w:r w:rsidRPr="006730F6">
        <w:rPr>
          <w:rFonts w:ascii="Book Antiqua" w:hAnsi="Book Antiqua"/>
          <w:sz w:val="20"/>
          <w:szCs w:val="20"/>
        </w:rPr>
        <w:t xml:space="preserve">Crittenden, J. and Wilder, M., </w:t>
      </w:r>
      <w:r>
        <w:rPr>
          <w:rFonts w:ascii="Book Antiqua" w:hAnsi="Book Antiqua"/>
          <w:sz w:val="20"/>
          <w:szCs w:val="20"/>
        </w:rPr>
        <w:t xml:space="preserve">2008.  </w:t>
      </w:r>
      <w:r w:rsidRPr="006730F6">
        <w:rPr>
          <w:rFonts w:ascii="Book Antiqua" w:hAnsi="Book Antiqua"/>
          <w:sz w:val="20"/>
          <w:szCs w:val="20"/>
        </w:rPr>
        <w:t>Bringing the  Forest to Market: Structuring Avoided Deforestation Projects, The Carbon &amp; Climate Law Review, Volume 2, Number 3, , pp. 273-280(8)</w:t>
      </w:r>
    </w:p>
    <w:p w:rsidR="006730F6" w:rsidRDefault="006730F6"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Dahal, N. and K. Banskota. 2009. Cultivating REDD in Nepal’s Community Forestry: Discourse for Capitalizing Potential? Journal of Forest and Livelihood 8(1): 41-50.</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E8255B" w:rsidRPr="00E8255B" w:rsidRDefault="00E8255B" w:rsidP="00E8255B">
      <w:pPr>
        <w:ind w:left="270" w:hanging="270"/>
        <w:rPr>
          <w:rFonts w:ascii="Book Antiqua" w:hAnsi="Book Antiqua"/>
          <w:color w:val="1F497D"/>
          <w:sz w:val="20"/>
          <w:szCs w:val="20"/>
        </w:rPr>
      </w:pPr>
      <w:r w:rsidRPr="00E8255B">
        <w:rPr>
          <w:rFonts w:ascii="Book Antiqua" w:hAnsi="Book Antiqua"/>
          <w:color w:val="1F497D"/>
          <w:sz w:val="20"/>
          <w:szCs w:val="20"/>
        </w:rPr>
        <w:t>Danielsen, F., Burgess, N.D., Balmford, D. 2005. Monitoring matters: Examining the potential of locally based approaches. Biodiversity and Conservation 14: 2507-2542.</w:t>
      </w:r>
    </w:p>
    <w:p w:rsidR="006730F6" w:rsidRPr="006730F6" w:rsidRDefault="006730F6" w:rsidP="006730F6">
      <w:pPr>
        <w:pStyle w:val="PlainText"/>
        <w:ind w:left="270" w:hanging="270"/>
        <w:rPr>
          <w:rFonts w:ascii="Book Antiqua" w:hAnsi="Book Antiqua"/>
          <w:sz w:val="20"/>
          <w:szCs w:val="20"/>
        </w:rPr>
      </w:pPr>
      <w:r w:rsidRPr="006730F6">
        <w:rPr>
          <w:rFonts w:ascii="Book Antiqua" w:hAnsi="Book Antiqua"/>
          <w:sz w:val="20"/>
          <w:szCs w:val="20"/>
        </w:rPr>
        <w:t>Dunlop, J. 2009, REDD, Tenure and Local Communities, A study from Aceh, Indonesia. International Development Law Organization.</w:t>
      </w:r>
    </w:p>
    <w:p w:rsidR="00351F2C" w:rsidRPr="007223AA" w:rsidRDefault="00351F2C" w:rsidP="00222E45">
      <w:pPr>
        <w:ind w:left="270" w:hanging="270"/>
        <w:rPr>
          <w:rFonts w:ascii="Book Antiqua" w:hAnsi="Book Antiqua" w:cs="Arial"/>
          <w:sz w:val="20"/>
          <w:szCs w:val="20"/>
        </w:rPr>
      </w:pPr>
      <w:r w:rsidRPr="007223AA">
        <w:rPr>
          <w:rFonts w:ascii="Book Antiqua" w:hAnsi="Book Antiqua" w:cs="Arial"/>
          <w:iCs/>
          <w:sz w:val="20"/>
          <w:szCs w:val="20"/>
        </w:rPr>
        <w:t>Ebeling, J. and M. Yasu</w:t>
      </w:r>
      <w:r w:rsidRPr="007223AA">
        <w:rPr>
          <w:rFonts w:ascii="Book Antiqua" w:hAnsi="Book Antiqua" w:cs="Arial"/>
          <w:sz w:val="20"/>
          <w:szCs w:val="20"/>
        </w:rPr>
        <w:t xml:space="preserve">é. 2008. Generating carbon finance through avoided deforestation and its potential to create climatic, conservation and human development benefits. </w:t>
      </w:r>
      <w:r w:rsidRPr="007223AA">
        <w:rPr>
          <w:rFonts w:ascii="Book Antiqua" w:hAnsi="Book Antiqua" w:cs="Arial"/>
          <w:i/>
          <w:iCs/>
          <w:sz w:val="20"/>
          <w:szCs w:val="20"/>
        </w:rPr>
        <w:t xml:space="preserve">Phil. Trans. R. Soc. </w:t>
      </w:r>
      <w:r w:rsidRPr="007223AA">
        <w:rPr>
          <w:rFonts w:ascii="Book Antiqua" w:hAnsi="Book Antiqua" w:cs="Arial"/>
          <w:sz w:val="20"/>
          <w:szCs w:val="20"/>
        </w:rPr>
        <w:t>363: 1917-1924</w:t>
      </w: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lastRenderedPageBreak/>
        <w:t>Ecosecurities. 2009. Policy Brief: REDD Policy Scenarios and Carbon Markets. Ecosecurities, Oxford.</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Eliasch, J. 2008. Climate Change: Financing Global Forests. The Eliasch Review. Office of Climate Change, </w:t>
      </w:r>
      <w:smartTag w:uri="urn:schemas-microsoft-com:office:smarttags" w:element="place">
        <w:smartTag w:uri="urn:schemas-microsoft-com:office:smarttags" w:element="City">
          <w:r w:rsidRPr="007223AA">
            <w:rPr>
              <w:rFonts w:ascii="Book Antiqua" w:hAnsi="Book Antiqua" w:cs="Arial"/>
              <w:sz w:val="20"/>
              <w:szCs w:val="20"/>
            </w:rPr>
            <w:t>London</w:t>
          </w:r>
        </w:smartTag>
      </w:smartTag>
      <w:r w:rsidRPr="007223AA">
        <w:rPr>
          <w:rFonts w:ascii="Book Antiqua" w:hAnsi="Book Antiqua" w:cs="Arial"/>
          <w:sz w:val="20"/>
          <w:szCs w:val="20"/>
        </w:rPr>
        <w:t>.</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spacing w:after="0" w:line="240" w:lineRule="atLeast"/>
        <w:ind w:left="270" w:hanging="270"/>
        <w:jc w:val="both"/>
        <w:rPr>
          <w:rFonts w:ascii="Book Antiqua" w:hAnsi="Book Antiqua" w:cs="Arial"/>
          <w:sz w:val="20"/>
          <w:szCs w:val="20"/>
          <w:lang w:val="en-CA"/>
        </w:rPr>
      </w:pPr>
      <w:r w:rsidRPr="00C93DB5">
        <w:rPr>
          <w:rFonts w:ascii="Book Antiqua" w:hAnsi="Book Antiqua" w:cs="Arial"/>
          <w:sz w:val="20"/>
          <w:szCs w:val="20"/>
          <w:lang w:val="en-US"/>
        </w:rPr>
        <w:t xml:space="preserve">Enters, T., Nguyen, Q.T. 2009. </w:t>
      </w:r>
      <w:r w:rsidRPr="007223AA">
        <w:rPr>
          <w:rFonts w:ascii="Book Antiqua" w:hAnsi="Book Antiqua" w:cs="Arial"/>
          <w:sz w:val="20"/>
          <w:szCs w:val="20"/>
          <w:lang w:val="en-CA"/>
        </w:rPr>
        <w:t xml:space="preserve">Community Forestry Management Pilot Program: Final evaluation report. Hanoi.   </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GEF. 2009. Payments for Environmental Services and the Global Environment Facility: A Scientific and Technical Advisory Panel (STAP) Guideline Document. GEF/C.35/ Inf.12, Global Environment Facility, New York.</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Gilmour, D. and D. Diem. 2008. Community Forest Management Pilot Program: Mid Term Review of project. Department of Forestry, </w:t>
      </w:r>
      <w:smartTag w:uri="urn:schemas-microsoft-com:office:smarttags" w:element="place">
        <w:smartTag w:uri="urn:schemas-microsoft-com:office:smarttags" w:element="City">
          <w:r w:rsidRPr="007223AA">
            <w:rPr>
              <w:rFonts w:ascii="Book Antiqua" w:hAnsi="Book Antiqua" w:cs="Arial"/>
              <w:sz w:val="20"/>
              <w:szCs w:val="20"/>
            </w:rPr>
            <w:t>Hanoi</w:t>
          </w:r>
        </w:smartTag>
      </w:smartTag>
      <w:r w:rsidRPr="007223AA">
        <w:rPr>
          <w:rFonts w:ascii="Book Antiqua" w:hAnsi="Book Antiqua" w:cs="Arial"/>
          <w:sz w:val="20"/>
          <w:szCs w:val="20"/>
        </w:rPr>
        <w:t>.</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autoSpaceDE w:val="0"/>
        <w:autoSpaceDN w:val="0"/>
        <w:adjustRightInd w:val="0"/>
        <w:spacing w:after="0" w:line="240" w:lineRule="atLeast"/>
        <w:ind w:left="270" w:hanging="270"/>
        <w:contextualSpacing/>
        <w:jc w:val="both"/>
        <w:rPr>
          <w:rFonts w:ascii="Book Antiqua" w:hAnsi="Book Antiqua" w:cs="Arial"/>
          <w:color w:val="000000"/>
          <w:sz w:val="20"/>
          <w:szCs w:val="20"/>
        </w:rPr>
      </w:pPr>
      <w:r w:rsidRPr="007223AA">
        <w:rPr>
          <w:rFonts w:ascii="Book Antiqua" w:hAnsi="Book Antiqua" w:cs="Arial"/>
          <w:sz w:val="20"/>
          <w:szCs w:val="20"/>
          <w:lang w:val="en-US"/>
        </w:rPr>
        <w:t xml:space="preserve">Government of </w:t>
      </w:r>
      <w:smartTag w:uri="urn:schemas-microsoft-com:office:smarttags" w:element="place">
        <w:smartTag w:uri="urn:schemas-microsoft-com:office:smarttags" w:element="country-region">
          <w:r w:rsidRPr="007223AA">
            <w:rPr>
              <w:rFonts w:ascii="Book Antiqua" w:hAnsi="Book Antiqua" w:cs="Arial"/>
              <w:sz w:val="20"/>
              <w:szCs w:val="20"/>
              <w:lang w:val="en-US"/>
            </w:rPr>
            <w:t>Indonesia</w:t>
          </w:r>
        </w:smartTag>
      </w:smartTag>
      <w:r w:rsidRPr="007223AA">
        <w:rPr>
          <w:rFonts w:ascii="Book Antiqua" w:hAnsi="Book Antiqua" w:cs="Arial"/>
          <w:sz w:val="20"/>
          <w:szCs w:val="20"/>
          <w:lang w:val="en-US"/>
        </w:rPr>
        <w:t xml:space="preserve">, 2009.  </w:t>
      </w:r>
      <w:r w:rsidRPr="007223AA">
        <w:rPr>
          <w:rFonts w:ascii="Book Antiqua" w:hAnsi="Book Antiqua" w:cs="Arial"/>
          <w:bCs/>
          <w:color w:val="000000"/>
          <w:sz w:val="20"/>
          <w:szCs w:val="20"/>
        </w:rPr>
        <w:t>Ministry of Forestry Republic of Indonesia Decree Number: P. 36/Menhut-II/2009 Regarding Procedures for Licensing of Commercial Utilisation of Carbon Sequestration and/or Storage in Production and Protected Forests.</w:t>
      </w:r>
    </w:p>
    <w:p w:rsidR="00351F2C" w:rsidRPr="007223AA" w:rsidRDefault="00351F2C" w:rsidP="007D7495">
      <w:pPr>
        <w:autoSpaceDE w:val="0"/>
        <w:autoSpaceDN w:val="0"/>
        <w:adjustRightInd w:val="0"/>
        <w:spacing w:after="0" w:line="240" w:lineRule="atLeast"/>
        <w:ind w:left="270" w:hanging="270"/>
        <w:contextualSpacing/>
        <w:jc w:val="both"/>
        <w:rPr>
          <w:rFonts w:ascii="Book Antiqua" w:hAnsi="Book Antiqua" w:cs="Arial"/>
          <w:sz w:val="20"/>
          <w:szCs w:val="20"/>
          <w:lang w:val="en-US"/>
        </w:rPr>
      </w:pPr>
    </w:p>
    <w:p w:rsidR="00351F2C" w:rsidRPr="007223AA" w:rsidRDefault="00351F2C" w:rsidP="007D7495">
      <w:pPr>
        <w:autoSpaceDE w:val="0"/>
        <w:autoSpaceDN w:val="0"/>
        <w:adjustRightInd w:val="0"/>
        <w:spacing w:after="0" w:line="240" w:lineRule="atLeast"/>
        <w:ind w:left="270" w:hanging="270"/>
        <w:rPr>
          <w:rFonts w:ascii="Book Antiqua" w:hAnsi="Book Antiqua" w:cs="Arial"/>
          <w:color w:val="000000"/>
          <w:sz w:val="20"/>
          <w:szCs w:val="20"/>
          <w:lang w:val="en-US"/>
        </w:rPr>
      </w:pPr>
      <w:r w:rsidRPr="007223AA">
        <w:rPr>
          <w:rFonts w:ascii="Book Antiqua" w:hAnsi="Book Antiqua" w:cs="Arial"/>
          <w:color w:val="000000"/>
          <w:sz w:val="20"/>
          <w:szCs w:val="20"/>
        </w:rPr>
        <w:t xml:space="preserve">Government of </w:t>
      </w:r>
      <w:smartTag w:uri="urn:schemas-microsoft-com:office:smarttags" w:element="place">
        <w:smartTag w:uri="urn:schemas-microsoft-com:office:smarttags" w:element="country-region">
          <w:r w:rsidR="00480D3D">
            <w:rPr>
              <w:rFonts w:ascii="Book Antiqua" w:hAnsi="Book Antiqua" w:cs="Arial"/>
              <w:color w:val="000000"/>
              <w:sz w:val="20"/>
              <w:szCs w:val="20"/>
            </w:rPr>
            <w:t>Viet Nam</w:t>
          </w:r>
        </w:smartTag>
      </w:smartTag>
      <w:r w:rsidRPr="007223AA">
        <w:rPr>
          <w:rFonts w:ascii="Book Antiqua" w:hAnsi="Book Antiqua" w:cs="Arial"/>
          <w:color w:val="000000"/>
          <w:sz w:val="20"/>
          <w:szCs w:val="20"/>
        </w:rPr>
        <w:t>.  1998.</w:t>
      </w:r>
      <w:r w:rsidRPr="007223AA">
        <w:rPr>
          <w:rFonts w:ascii="Book Antiqua" w:hAnsi="Book Antiqua" w:cs="Arial"/>
          <w:bCs/>
          <w:color w:val="000000"/>
          <w:sz w:val="20"/>
          <w:szCs w:val="20"/>
          <w:lang w:val="en-US"/>
        </w:rPr>
        <w:t xml:space="preserve"> Decision by the Prime Minister On Objectives, Tasks, Policies and Organization for the Establishment of Five Million Hectares of </w:t>
      </w:r>
      <w:smartTag w:uri="urn:schemas-microsoft-com:office:smarttags" w:element="place">
        <w:r w:rsidRPr="007223AA">
          <w:rPr>
            <w:rFonts w:ascii="Book Antiqua" w:hAnsi="Book Antiqua" w:cs="Arial"/>
            <w:bCs/>
            <w:color w:val="000000"/>
            <w:sz w:val="20"/>
            <w:szCs w:val="20"/>
            <w:lang w:val="en-US"/>
          </w:rPr>
          <w:t>New Forest</w:t>
        </w:r>
      </w:smartTag>
      <w:r w:rsidRPr="007223AA">
        <w:rPr>
          <w:rFonts w:ascii="Book Antiqua" w:hAnsi="Book Antiqua" w:cs="Arial"/>
          <w:bCs/>
          <w:color w:val="000000"/>
          <w:sz w:val="20"/>
          <w:szCs w:val="20"/>
          <w:lang w:val="en-US"/>
        </w:rPr>
        <w:t xml:space="preserve">.  Decision </w:t>
      </w:r>
      <w:r w:rsidRPr="007223AA">
        <w:rPr>
          <w:rFonts w:ascii="Book Antiqua" w:hAnsi="Book Antiqua" w:cs="Arial"/>
          <w:color w:val="000000"/>
          <w:sz w:val="20"/>
          <w:szCs w:val="20"/>
          <w:lang w:val="en-US"/>
        </w:rPr>
        <w:t>661/QD_TTg</w:t>
      </w:r>
    </w:p>
    <w:p w:rsidR="00351F2C" w:rsidRPr="007223AA" w:rsidRDefault="00351F2C" w:rsidP="007D7495">
      <w:pPr>
        <w:autoSpaceDE w:val="0"/>
        <w:autoSpaceDN w:val="0"/>
        <w:adjustRightInd w:val="0"/>
        <w:spacing w:after="0" w:line="240" w:lineRule="atLeast"/>
        <w:ind w:left="270" w:hanging="270"/>
        <w:rPr>
          <w:rFonts w:ascii="Book Antiqua" w:hAnsi="Book Antiqua" w:cs="Arial"/>
          <w:color w:val="000000"/>
          <w:sz w:val="20"/>
          <w:szCs w:val="20"/>
        </w:rPr>
      </w:pPr>
    </w:p>
    <w:p w:rsidR="00351F2C" w:rsidRPr="007223AA" w:rsidRDefault="00351F2C" w:rsidP="007D7495">
      <w:pPr>
        <w:autoSpaceDE w:val="0"/>
        <w:autoSpaceDN w:val="0"/>
        <w:adjustRightInd w:val="0"/>
        <w:spacing w:after="0" w:line="240" w:lineRule="atLeast"/>
        <w:ind w:left="270" w:hanging="270"/>
        <w:contextualSpacing/>
        <w:rPr>
          <w:rFonts w:ascii="Book Antiqua" w:hAnsi="Book Antiqua" w:cs="Arial"/>
          <w:color w:val="000000"/>
          <w:sz w:val="20"/>
          <w:szCs w:val="20"/>
        </w:rPr>
      </w:pPr>
      <w:r w:rsidRPr="007223AA">
        <w:rPr>
          <w:rFonts w:ascii="Book Antiqua" w:hAnsi="Book Antiqua" w:cs="Arial"/>
          <w:color w:val="000000"/>
          <w:sz w:val="20"/>
          <w:szCs w:val="20"/>
        </w:rPr>
        <w:t xml:space="preserve">Government of </w:t>
      </w:r>
      <w:smartTag w:uri="urn:schemas-microsoft-com:office:smarttags" w:element="place">
        <w:smartTag w:uri="urn:schemas-microsoft-com:office:smarttags" w:element="country-region">
          <w:r w:rsidR="00480D3D">
            <w:rPr>
              <w:rFonts w:ascii="Book Antiqua" w:hAnsi="Book Antiqua" w:cs="Arial"/>
              <w:color w:val="000000"/>
              <w:sz w:val="20"/>
              <w:szCs w:val="20"/>
            </w:rPr>
            <w:t>Viet Nam</w:t>
          </w:r>
        </w:smartTag>
      </w:smartTag>
      <w:r w:rsidRPr="007223AA">
        <w:rPr>
          <w:rFonts w:ascii="Book Antiqua" w:hAnsi="Book Antiqua" w:cs="Arial"/>
          <w:color w:val="000000"/>
          <w:sz w:val="20"/>
          <w:szCs w:val="20"/>
        </w:rPr>
        <w:t xml:space="preserve">.  2006.  Bao cao ket qua thuc hien du an trong moi 5 trieu ha rung giai doan 1998 - 2005 va nhiem vu, giai phap thuc hien giai doan 2006 - 2010 (Report on results of implementation of 5MHRP between 1998-2005 and tasks and implementation solutions for 2006-2010). No 145/BC-CP. Hanoi, </w:t>
      </w:r>
      <w:r w:rsidR="00480D3D">
        <w:rPr>
          <w:rFonts w:ascii="Book Antiqua" w:hAnsi="Book Antiqua" w:cs="Arial"/>
          <w:color w:val="000000"/>
          <w:sz w:val="20"/>
          <w:szCs w:val="20"/>
        </w:rPr>
        <w:t>Viet Nam</w:t>
      </w:r>
      <w:r w:rsidRPr="007223AA">
        <w:rPr>
          <w:rFonts w:ascii="Book Antiqua" w:hAnsi="Book Antiqua" w:cs="Arial"/>
          <w:color w:val="000000"/>
          <w:sz w:val="20"/>
          <w:szCs w:val="20"/>
        </w:rPr>
        <w:t xml:space="preserve">. </w:t>
      </w:r>
    </w:p>
    <w:p w:rsidR="00351F2C" w:rsidRPr="007223AA" w:rsidRDefault="00351F2C" w:rsidP="007D7495">
      <w:pPr>
        <w:spacing w:after="0" w:line="240" w:lineRule="atLeast"/>
        <w:ind w:left="270" w:hanging="270"/>
        <w:contextualSpacing/>
        <w:rPr>
          <w:rFonts w:ascii="Book Antiqua" w:hAnsi="Book Antiqua" w:cs="Arial"/>
          <w:color w:val="000000"/>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Government of </w:t>
      </w:r>
      <w:smartTag w:uri="urn:schemas-microsoft-com:office:smarttags" w:element="place">
        <w:smartTag w:uri="urn:schemas-microsoft-com:office:smarttags" w:element="country-region">
          <w:r w:rsidRPr="007223AA">
            <w:rPr>
              <w:rFonts w:ascii="Book Antiqua" w:hAnsi="Book Antiqua" w:cs="Arial"/>
              <w:sz w:val="20"/>
              <w:szCs w:val="20"/>
            </w:rPr>
            <w:t>Viet Nam</w:t>
          </w:r>
        </w:smartTag>
      </w:smartTag>
      <w:r w:rsidRPr="007223AA">
        <w:rPr>
          <w:rFonts w:ascii="Book Antiqua" w:hAnsi="Book Antiqua" w:cs="Arial"/>
          <w:sz w:val="20"/>
          <w:szCs w:val="20"/>
        </w:rPr>
        <w:t xml:space="preserve">. </w:t>
      </w:r>
      <w:smartTag w:uri="urn:schemas-microsoft-com:office:smarttags" w:element="place">
        <w:smartTag w:uri="urn:schemas-microsoft-com:office:smarttags" w:element="PlaceName">
          <w:r w:rsidRPr="007223AA">
            <w:rPr>
              <w:rFonts w:ascii="Book Antiqua" w:hAnsi="Book Antiqua" w:cs="Arial"/>
              <w:sz w:val="20"/>
              <w:szCs w:val="20"/>
            </w:rPr>
            <w:t>2008a.</w:t>
          </w:r>
        </w:smartTag>
        <w:r w:rsidRPr="007223AA">
          <w:rPr>
            <w:rFonts w:ascii="Book Antiqua" w:hAnsi="Book Antiqua" w:cs="Arial"/>
            <w:sz w:val="20"/>
            <w:szCs w:val="20"/>
          </w:rPr>
          <w:t xml:space="preserve"> </w:t>
        </w:r>
        <w:smartTag w:uri="urn:schemas-microsoft-com:office:smarttags" w:element="PlaceType">
          <w:r w:rsidRPr="007223AA">
            <w:rPr>
              <w:rFonts w:ascii="Book Antiqua" w:hAnsi="Book Antiqua" w:cs="Arial"/>
              <w:sz w:val="20"/>
              <w:szCs w:val="20"/>
            </w:rPr>
            <w:t>Forest</w:t>
          </w:r>
        </w:smartTag>
      </w:smartTag>
      <w:r w:rsidRPr="007223AA">
        <w:rPr>
          <w:rFonts w:ascii="Book Antiqua" w:hAnsi="Book Antiqua" w:cs="Arial"/>
          <w:sz w:val="20"/>
          <w:szCs w:val="20"/>
        </w:rPr>
        <w:t xml:space="preserve"> Carbon Partnership Facility (FCPF) Readiness Plan Idea Note (R-PIN) Template. Ministry of Agriculture and Rural Development, </w:t>
      </w:r>
      <w:smartTag w:uri="urn:schemas-microsoft-com:office:smarttags" w:element="place">
        <w:smartTag w:uri="urn:schemas-microsoft-com:office:smarttags" w:element="City">
          <w:r w:rsidRPr="007223AA">
            <w:rPr>
              <w:rFonts w:ascii="Book Antiqua" w:hAnsi="Book Antiqua" w:cs="Arial"/>
              <w:sz w:val="20"/>
              <w:szCs w:val="20"/>
            </w:rPr>
            <w:t>Hanoi</w:t>
          </w:r>
        </w:smartTag>
      </w:smartTag>
      <w:r w:rsidRPr="007223AA">
        <w:rPr>
          <w:rFonts w:ascii="Book Antiqua" w:hAnsi="Book Antiqua" w:cs="Arial"/>
          <w:sz w:val="20"/>
          <w:szCs w:val="20"/>
        </w:rPr>
        <w:t>.</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80E3E">
      <w:pPr>
        <w:spacing w:after="0" w:line="240" w:lineRule="auto"/>
        <w:ind w:left="270" w:hanging="270"/>
        <w:rPr>
          <w:rFonts w:ascii="Book Antiqua" w:hAnsi="Book Antiqua" w:cs="Arial"/>
          <w:bCs/>
          <w:sz w:val="20"/>
          <w:szCs w:val="20"/>
        </w:rPr>
      </w:pPr>
      <w:r w:rsidRPr="007223AA">
        <w:rPr>
          <w:rFonts w:ascii="Book Antiqua" w:hAnsi="Book Antiqua" w:cs="Arial"/>
          <w:sz w:val="20"/>
          <w:szCs w:val="20"/>
        </w:rPr>
        <w:t xml:space="preserve">Government of </w:t>
      </w:r>
      <w:smartTag w:uri="urn:schemas-microsoft-com:office:smarttags" w:element="place">
        <w:smartTag w:uri="urn:schemas-microsoft-com:office:smarttags" w:element="country-region">
          <w:r w:rsidRPr="007223AA">
            <w:rPr>
              <w:rFonts w:ascii="Book Antiqua" w:hAnsi="Book Antiqua" w:cs="Arial"/>
              <w:sz w:val="20"/>
              <w:szCs w:val="20"/>
            </w:rPr>
            <w:t>Viet Nam</w:t>
          </w:r>
        </w:smartTag>
      </w:smartTag>
      <w:r w:rsidRPr="007223AA">
        <w:rPr>
          <w:rFonts w:ascii="Book Antiqua" w:hAnsi="Book Antiqua" w:cs="Arial"/>
          <w:sz w:val="20"/>
          <w:szCs w:val="20"/>
        </w:rPr>
        <w:t xml:space="preserve">. 2008b. </w:t>
      </w:r>
      <w:r w:rsidRPr="007223AA">
        <w:rPr>
          <w:rFonts w:ascii="Book Antiqua" w:hAnsi="Book Antiqua" w:cs="Arial"/>
          <w:bCs/>
          <w:sz w:val="20"/>
          <w:szCs w:val="20"/>
        </w:rPr>
        <w:t xml:space="preserve">Decision of the Prime Minister On The Pilot Policy for Payment for </w:t>
      </w:r>
      <w:smartTag w:uri="urn:schemas-microsoft-com:office:smarttags" w:element="place">
        <w:r w:rsidRPr="007223AA">
          <w:rPr>
            <w:rFonts w:ascii="Book Antiqua" w:hAnsi="Book Antiqua" w:cs="Arial"/>
            <w:bCs/>
            <w:sz w:val="20"/>
            <w:szCs w:val="20"/>
          </w:rPr>
          <w:t>Forest</w:t>
        </w:r>
      </w:smartTag>
      <w:r w:rsidRPr="007223AA">
        <w:rPr>
          <w:rFonts w:ascii="Book Antiqua" w:hAnsi="Book Antiqua" w:cs="Arial"/>
          <w:bCs/>
          <w:sz w:val="20"/>
          <w:szCs w:val="20"/>
        </w:rPr>
        <w:t xml:space="preserve"> Environmental Services.  Decision </w:t>
      </w:r>
      <w:r w:rsidRPr="007223AA">
        <w:rPr>
          <w:rFonts w:ascii="Book Antiqua" w:hAnsi="Book Antiqua" w:cs="Arial"/>
          <w:sz w:val="20"/>
          <w:szCs w:val="20"/>
        </w:rPr>
        <w:t>380 /QĐ-TTg</w:t>
      </w:r>
    </w:p>
    <w:p w:rsidR="00351F2C" w:rsidRPr="007223AA" w:rsidRDefault="00351F2C" w:rsidP="00780E3E">
      <w:pPr>
        <w:autoSpaceDE w:val="0"/>
        <w:autoSpaceDN w:val="0"/>
        <w:adjustRightInd w:val="0"/>
        <w:spacing w:after="0" w:line="240" w:lineRule="auto"/>
        <w:ind w:left="270" w:hanging="270"/>
        <w:contextualSpacing/>
        <w:rPr>
          <w:rFonts w:ascii="Book Antiqua" w:hAnsi="Book Antiqua" w:cs="Arial"/>
          <w:sz w:val="20"/>
          <w:szCs w:val="20"/>
          <w:lang w:val="en-US"/>
        </w:rPr>
      </w:pP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r w:rsidRPr="007223AA">
        <w:rPr>
          <w:rFonts w:ascii="Book Antiqua" w:hAnsi="Book Antiqua" w:cs="Arial"/>
          <w:sz w:val="20"/>
          <w:szCs w:val="20"/>
          <w:lang w:val="de-DE"/>
        </w:rPr>
        <w:t xml:space="preserve">Grieg-Gran, M., I. Porras and S. Wunder. </w:t>
      </w:r>
      <w:r w:rsidRPr="007223AA">
        <w:rPr>
          <w:rFonts w:ascii="Book Antiqua" w:hAnsi="Book Antiqua" w:cs="Arial"/>
          <w:sz w:val="20"/>
          <w:szCs w:val="20"/>
          <w:lang w:val="en-US"/>
        </w:rPr>
        <w:t xml:space="preserve">2005. How can market mechanisms for forest environmental services help the poor? Preliminary lessons from </w:t>
      </w:r>
      <w:smartTag w:uri="urn:schemas-microsoft-com:office:smarttags" w:element="place">
        <w:r w:rsidRPr="007223AA">
          <w:rPr>
            <w:rFonts w:ascii="Book Antiqua" w:hAnsi="Book Antiqua" w:cs="Arial"/>
            <w:sz w:val="20"/>
            <w:szCs w:val="20"/>
            <w:lang w:val="en-US"/>
          </w:rPr>
          <w:t>Latin America</w:t>
        </w:r>
      </w:smartTag>
      <w:r w:rsidRPr="007223AA">
        <w:rPr>
          <w:rFonts w:ascii="Book Antiqua" w:hAnsi="Book Antiqua" w:cs="Arial"/>
          <w:sz w:val="20"/>
          <w:szCs w:val="20"/>
          <w:lang w:val="en-US"/>
        </w:rPr>
        <w:t>. World Development 33(9): 1511-1527.</w:t>
      </w: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Grieg-Gran, M. 2006. The Cost of Avoiding Deforestation: Report prepared for the Stern Review of the Economics of Climate Change. International Institute for Environment and Development (IIED), London.</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jc w:val="both"/>
        <w:rPr>
          <w:rFonts w:ascii="Book Antiqua" w:hAnsi="Book Antiqua" w:cs="Arial"/>
          <w:sz w:val="20"/>
          <w:szCs w:val="20"/>
        </w:rPr>
      </w:pPr>
      <w:r w:rsidRPr="007223AA">
        <w:rPr>
          <w:rFonts w:ascii="Book Antiqua" w:hAnsi="Book Antiqua" w:cs="Arial"/>
          <w:sz w:val="20"/>
          <w:szCs w:val="20"/>
        </w:rPr>
        <w:t xml:space="preserve">Hoang, C. 2007. On being “forest thieves”: State resource policies, market forces and struggles over livelihood and meaning of nature in a northwestern valley of </w:t>
      </w:r>
      <w:r w:rsidR="00480D3D">
        <w:rPr>
          <w:rFonts w:ascii="Book Antiqua" w:hAnsi="Book Antiqua" w:cs="Arial"/>
          <w:sz w:val="20"/>
          <w:szCs w:val="20"/>
        </w:rPr>
        <w:t>Viet Nam</w:t>
      </w:r>
      <w:r w:rsidRPr="007223AA">
        <w:rPr>
          <w:rFonts w:ascii="Book Antiqua" w:hAnsi="Book Antiqua" w:cs="Arial"/>
          <w:sz w:val="20"/>
          <w:szCs w:val="20"/>
        </w:rPr>
        <w:t>. Working Paper. Chiang Mai: Regional Center for Social Sciences and Sustainable Development.</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Hoare, A., Legge. T., Nussbaum, R. and J. Saunders. 2008. Estimating the cost of building capacity in rainforest nations to allow them to participate in a global REDD mechanism. Report produced for the Eliasch Review by Chatham House and ProForest with input from the Overseas Development Institute and EcoSecurities, Office of Climate Change, London.</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 xml:space="preserve">ICF International. 2009. Fostering Carbon Markets Investment in REDD. Meridian Institute, </w:t>
      </w:r>
      <w:smartTag w:uri="urn:schemas-microsoft-com:office:smarttags" w:element="place">
        <w:smartTag w:uri="urn:schemas-microsoft-com:office:smarttags" w:element="City">
          <w:r w:rsidRPr="007223AA">
            <w:rPr>
              <w:rFonts w:ascii="Book Antiqua" w:eastAsia="Times New Roman" w:hAnsi="Book Antiqua" w:cs="Arial"/>
              <w:bCs/>
              <w:sz w:val="20"/>
              <w:szCs w:val="20"/>
            </w:rPr>
            <w:t>Washington</w:t>
          </w:r>
        </w:smartTag>
        <w:r w:rsidRPr="007223AA">
          <w:rPr>
            <w:rFonts w:ascii="Book Antiqua" w:eastAsia="Times New Roman" w:hAnsi="Book Antiqua" w:cs="Arial"/>
            <w:bCs/>
            <w:sz w:val="20"/>
            <w:szCs w:val="20"/>
          </w:rPr>
          <w:t xml:space="preserve"> </w:t>
        </w:r>
        <w:smartTag w:uri="urn:schemas-microsoft-com:office:smarttags" w:element="State">
          <w:r w:rsidRPr="007223AA">
            <w:rPr>
              <w:rFonts w:ascii="Book Antiqua" w:eastAsia="Times New Roman" w:hAnsi="Book Antiqua" w:cs="Arial"/>
              <w:bCs/>
              <w:sz w:val="20"/>
              <w:szCs w:val="20"/>
            </w:rPr>
            <w:t>DC</w:t>
          </w:r>
        </w:smartTag>
      </w:smartTag>
      <w:r w:rsidRPr="007223AA">
        <w:rPr>
          <w:rFonts w:ascii="Book Antiqua" w:eastAsia="Times New Roman" w:hAnsi="Book Antiqua" w:cs="Arial"/>
          <w:bCs/>
          <w:sz w:val="20"/>
          <w:szCs w:val="20"/>
        </w:rPr>
        <w:t>.</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jc w:val="both"/>
        <w:rPr>
          <w:rFonts w:ascii="Book Antiqua" w:hAnsi="Book Antiqua" w:cs="Arial"/>
          <w:sz w:val="20"/>
          <w:szCs w:val="20"/>
        </w:rPr>
      </w:pPr>
      <w:r w:rsidRPr="007223AA">
        <w:rPr>
          <w:rFonts w:ascii="Book Antiqua" w:hAnsi="Book Antiqua" w:cs="Arial"/>
          <w:sz w:val="20"/>
          <w:szCs w:val="20"/>
        </w:rPr>
        <w:lastRenderedPageBreak/>
        <w:t>IUCN. 2002. Sustainable Financing Mechanisms for Yok Don National Park, PARC Project VIE/95/G31&amp;031, Government of Viet Nam (FPD)/UNOPS/UNDP/IUCN, Ha Noi.</w:t>
      </w:r>
    </w:p>
    <w:p w:rsidR="00351F2C" w:rsidRPr="007223AA" w:rsidRDefault="00351F2C" w:rsidP="007D7495">
      <w:pPr>
        <w:autoSpaceDE w:val="0"/>
        <w:autoSpaceDN w:val="0"/>
        <w:adjustRightInd w:val="0"/>
        <w:spacing w:after="0" w:line="240" w:lineRule="atLeast"/>
        <w:ind w:left="270" w:hanging="270"/>
        <w:contextualSpacing/>
        <w:rPr>
          <w:rFonts w:ascii="Book Antiqua" w:hAnsi="Book Antiqua" w:cs="Arial"/>
          <w:sz w:val="20"/>
          <w:szCs w:val="20"/>
        </w:rPr>
      </w:pPr>
    </w:p>
    <w:p w:rsidR="00351F2C" w:rsidRPr="007223AA" w:rsidRDefault="00351F2C" w:rsidP="007D7495">
      <w:pPr>
        <w:autoSpaceDE w:val="0"/>
        <w:autoSpaceDN w:val="0"/>
        <w:adjustRightInd w:val="0"/>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Indufor and VICA. Trust Fund for Forests: Second Major Evaluation.  2009. Hanoi (</w:t>
      </w:r>
      <w:r w:rsidR="00480D3D">
        <w:rPr>
          <w:rFonts w:ascii="Book Antiqua" w:hAnsi="Book Antiqua" w:cs="Arial"/>
          <w:sz w:val="20"/>
          <w:szCs w:val="20"/>
        </w:rPr>
        <w:t>Viet Nam</w:t>
      </w:r>
      <w:r w:rsidRPr="007223AA">
        <w:rPr>
          <w:rFonts w:ascii="Book Antiqua" w:hAnsi="Book Antiqua" w:cs="Arial"/>
          <w:sz w:val="20"/>
          <w:szCs w:val="20"/>
        </w:rPr>
        <w:t xml:space="preserve">) and Helsinki (Finland). </w:t>
      </w:r>
    </w:p>
    <w:p w:rsidR="00351F2C" w:rsidRPr="007223AA" w:rsidRDefault="00351F2C" w:rsidP="007D7495">
      <w:pPr>
        <w:autoSpaceDE w:val="0"/>
        <w:autoSpaceDN w:val="0"/>
        <w:adjustRightInd w:val="0"/>
        <w:spacing w:after="0" w:line="240" w:lineRule="atLeast"/>
        <w:ind w:left="270" w:hanging="270"/>
        <w:contextualSpacing/>
        <w:rPr>
          <w:rStyle w:val="Strong"/>
          <w:rFonts w:ascii="Book Antiqua" w:hAnsi="Book Antiqua" w:cs="Arial"/>
          <w:b w:val="0"/>
          <w:sz w:val="20"/>
          <w:szCs w:val="20"/>
        </w:rPr>
      </w:pPr>
    </w:p>
    <w:p w:rsidR="00351F2C" w:rsidRPr="007223AA" w:rsidRDefault="00351F2C" w:rsidP="007D7495">
      <w:pPr>
        <w:spacing w:after="0" w:line="240" w:lineRule="atLeast"/>
        <w:ind w:left="270" w:hanging="270"/>
        <w:jc w:val="both"/>
        <w:rPr>
          <w:rFonts w:ascii="Book Antiqua" w:hAnsi="Book Antiqua" w:cs="Arial"/>
          <w:sz w:val="20"/>
          <w:szCs w:val="20"/>
        </w:rPr>
      </w:pPr>
      <w:r w:rsidRPr="007223AA">
        <w:rPr>
          <w:rFonts w:ascii="Book Antiqua" w:hAnsi="Book Antiqua" w:cs="Arial"/>
          <w:sz w:val="20"/>
          <w:szCs w:val="20"/>
        </w:rPr>
        <w:t xml:space="preserve">Jin, L. 2009. World Bank Carbon Finance Operation in China: Guangxi Afforestation/Reforestation CDM Program. Presentation given at Regional Forum for People and Forest Hanoi, </w:t>
      </w:r>
      <w:r w:rsidR="00480D3D">
        <w:rPr>
          <w:rFonts w:ascii="Book Antiqua" w:hAnsi="Book Antiqua" w:cs="Arial"/>
          <w:sz w:val="20"/>
          <w:szCs w:val="20"/>
        </w:rPr>
        <w:t>Viet Nam</w:t>
      </w:r>
      <w:r w:rsidRPr="007223AA">
        <w:rPr>
          <w:rFonts w:ascii="Book Antiqua" w:hAnsi="Book Antiqua" w:cs="Arial"/>
          <w:sz w:val="20"/>
          <w:szCs w:val="20"/>
        </w:rPr>
        <w:t xml:space="preserve"> August 18-20. </w:t>
      </w:r>
    </w:p>
    <w:p w:rsidR="00351F2C" w:rsidRPr="007223AA" w:rsidRDefault="00351F2C" w:rsidP="007D7495">
      <w:pPr>
        <w:autoSpaceDE w:val="0"/>
        <w:autoSpaceDN w:val="0"/>
        <w:adjustRightInd w:val="0"/>
        <w:spacing w:after="0" w:line="240" w:lineRule="atLeast"/>
        <w:ind w:left="270" w:hanging="270"/>
        <w:contextualSpacing/>
        <w:rPr>
          <w:rStyle w:val="Strong"/>
          <w:rFonts w:ascii="Book Antiqua" w:hAnsi="Book Antiqua" w:cs="Arial"/>
          <w:b w:val="0"/>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Karousakis, K. 2007. Incentives to reduce GHG Emissions from Deforestation: Lessons Learned from Costa Rica and Mexico. Paris: OECD and International Energy Agency.</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 xml:space="preserve">Kosmus, M. and D. Cordero. 2009. Payments for Environmental Services – an instrument to maintain global ecosystems Rural 21 </w:t>
      </w:r>
      <w:r w:rsidRPr="007223AA">
        <w:rPr>
          <w:rStyle w:val="HTMLCite"/>
          <w:rFonts w:ascii="Book Antiqua" w:hAnsi="Book Antiqua" w:cs="Arial"/>
          <w:color w:val="000000"/>
          <w:sz w:val="20"/>
          <w:szCs w:val="20"/>
        </w:rPr>
        <w:t>1/2009</w:t>
      </w:r>
      <w:r w:rsidRPr="007223AA">
        <w:rPr>
          <w:rFonts w:ascii="Book Antiqua" w:eastAsia="Times New Roman" w:hAnsi="Book Antiqua" w:cs="Arial"/>
          <w:bCs/>
          <w:sz w:val="20"/>
          <w:szCs w:val="20"/>
        </w:rPr>
        <w:t>: 12-17.</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Kindermann, G., Oberstenier, M., Sohngen, B., Sathaye, J., Andrasko, K., Rametsteiner,E., Schlamadinger, B., Wunder, S. and R. Beach. 2008. Global cost estimates of reducing carbon emissions through avoided deforestation. Proceedings of the National Academy of Sciences of the United States of America 105(30): 10302-10307.</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Legge, T., Hoare, A. and J. Saunders. 2008. REDD and forest governance: A submission to the Environmental Audit Committee inquiry into Forests: the future role of carbon markets in their protection and the timber trade. Chatham House, London.</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autoSpaceDE w:val="0"/>
        <w:autoSpaceDN w:val="0"/>
        <w:adjustRightInd w:val="0"/>
        <w:spacing w:after="0" w:line="240" w:lineRule="atLeast"/>
        <w:ind w:left="270" w:hanging="270"/>
        <w:contextualSpacing/>
        <w:rPr>
          <w:rFonts w:ascii="Book Antiqua" w:hAnsi="Book Antiqua" w:cs="Arial"/>
          <w:color w:val="000000"/>
          <w:sz w:val="20"/>
          <w:szCs w:val="20"/>
          <w:lang w:val="en-US"/>
        </w:rPr>
      </w:pPr>
      <w:r w:rsidRPr="007223AA">
        <w:rPr>
          <w:rFonts w:ascii="Book Antiqua" w:hAnsi="Book Antiqua" w:cs="Arial"/>
          <w:sz w:val="20"/>
          <w:szCs w:val="20"/>
          <w:lang w:val="en-US"/>
        </w:rPr>
        <w:t>Luttrell, C, Peskett, L and Schreckenberg, K.  2007.  The potential of carbon finance for pro-poor community forestry. ODI Forestry Briefing 15.</w:t>
      </w:r>
    </w:p>
    <w:p w:rsidR="00351F2C" w:rsidRPr="007223AA" w:rsidRDefault="00351F2C" w:rsidP="007D7495">
      <w:pPr>
        <w:autoSpaceDE w:val="0"/>
        <w:autoSpaceDN w:val="0"/>
        <w:adjustRightInd w:val="0"/>
        <w:spacing w:after="0" w:line="240" w:lineRule="atLeast"/>
        <w:ind w:left="270" w:hanging="270"/>
        <w:contextualSpacing/>
        <w:jc w:val="both"/>
        <w:rPr>
          <w:rFonts w:ascii="Book Antiqua" w:hAnsi="Book Antiqua" w:cs="Arial"/>
          <w:color w:val="000000"/>
          <w:sz w:val="20"/>
          <w:szCs w:val="20"/>
          <w:lang w:val="en-US"/>
        </w:rPr>
      </w:pPr>
    </w:p>
    <w:p w:rsidR="00351F2C" w:rsidRPr="007223AA" w:rsidRDefault="00351F2C" w:rsidP="007D7495">
      <w:pPr>
        <w:spacing w:after="0" w:line="240" w:lineRule="atLeast"/>
        <w:ind w:left="270" w:hanging="270"/>
        <w:contextualSpacing/>
        <w:rPr>
          <w:rFonts w:ascii="Book Antiqua" w:hAnsi="Book Antiqua" w:cs="Arial"/>
          <w:color w:val="000000"/>
          <w:sz w:val="20"/>
          <w:szCs w:val="20"/>
        </w:rPr>
      </w:pPr>
      <w:r w:rsidRPr="007223AA">
        <w:rPr>
          <w:rFonts w:ascii="Book Antiqua" w:hAnsi="Book Antiqua" w:cs="Arial"/>
          <w:sz w:val="20"/>
          <w:szCs w:val="20"/>
        </w:rPr>
        <w:t>May. P.H., Veiga Neto, F., Denardin, V. and W. Loureiro. 2002. Using Fiscal Instruments to Encourage Conservation: Municipal Responses to the ‘Ecological’ Value-added Tax in Paran</w:t>
      </w:r>
      <w:r w:rsidRPr="007223AA">
        <w:rPr>
          <w:rFonts w:ascii="Book Antiqua" w:hAnsi="Book Antiqua" w:cs="Arial"/>
          <w:color w:val="000000"/>
          <w:sz w:val="20"/>
          <w:szCs w:val="20"/>
        </w:rPr>
        <w:t>á and Minais Gerais, Brazil. In Pagiola, S., Bishop, J. and N. Landell-Mills (eds) Selling Forest Environmental Services: Market-Based Mechanisms for Conservation and Development. Earthscan Press, London.</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jc w:val="both"/>
        <w:rPr>
          <w:rFonts w:ascii="Book Antiqua" w:hAnsi="Book Antiqua" w:cs="Arial"/>
          <w:sz w:val="20"/>
          <w:szCs w:val="20"/>
        </w:rPr>
      </w:pPr>
      <w:r w:rsidRPr="007223AA">
        <w:rPr>
          <w:rFonts w:ascii="Book Antiqua" w:hAnsi="Book Antiqua" w:cs="Arial"/>
          <w:sz w:val="20"/>
          <w:szCs w:val="20"/>
        </w:rPr>
        <w:t xml:space="preserve">McNalley, R., Sage, N. and T. Holland. 2009. Understanding REDD: Implications for Lao PDR, Nepal and </w:t>
      </w:r>
      <w:r w:rsidR="00480D3D">
        <w:rPr>
          <w:rFonts w:ascii="Book Antiqua" w:hAnsi="Book Antiqua" w:cs="Arial"/>
          <w:sz w:val="20"/>
          <w:szCs w:val="20"/>
        </w:rPr>
        <w:t>Viet Nam</w:t>
      </w:r>
      <w:r w:rsidRPr="007223AA">
        <w:rPr>
          <w:rFonts w:ascii="Book Antiqua" w:hAnsi="Book Antiqua" w:cs="Arial"/>
          <w:sz w:val="20"/>
          <w:szCs w:val="20"/>
        </w:rPr>
        <w:t>. Hanoi: Indochina Carbon and SNV.</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 xml:space="preserve">Minang, P.A., Meadu, V., Dewi, S., and B. Swallow. 2008. The Opportunity Costs of Avoiding Emissions from Deforestation. ASB PolicyBrief No. 10., ASB Partnership for the </w:t>
      </w:r>
      <w:smartTag w:uri="urn:schemas-microsoft-com:office:smarttags" w:element="PlaceName">
        <w:r w:rsidRPr="007223AA">
          <w:rPr>
            <w:rFonts w:ascii="Book Antiqua" w:eastAsia="Times New Roman" w:hAnsi="Book Antiqua" w:cs="Arial"/>
            <w:bCs/>
            <w:sz w:val="20"/>
            <w:szCs w:val="20"/>
          </w:rPr>
          <w:t>Tropical</w:t>
        </w:r>
      </w:smartTag>
      <w:r w:rsidRPr="007223AA">
        <w:rPr>
          <w:rFonts w:ascii="Book Antiqua" w:eastAsia="Times New Roman" w:hAnsi="Book Antiqua" w:cs="Arial"/>
          <w:bCs/>
          <w:sz w:val="20"/>
          <w:szCs w:val="20"/>
        </w:rPr>
        <w:t xml:space="preserve"> </w:t>
      </w:r>
      <w:smartTag w:uri="urn:schemas-microsoft-com:office:smarttags" w:element="PlaceType">
        <w:r w:rsidRPr="007223AA">
          <w:rPr>
            <w:rFonts w:ascii="Book Antiqua" w:eastAsia="Times New Roman" w:hAnsi="Book Antiqua" w:cs="Arial"/>
            <w:bCs/>
            <w:sz w:val="20"/>
            <w:szCs w:val="20"/>
          </w:rPr>
          <w:t>Forest</w:t>
        </w:r>
      </w:smartTag>
      <w:r w:rsidRPr="007223AA">
        <w:rPr>
          <w:rFonts w:ascii="Book Antiqua" w:eastAsia="Times New Roman" w:hAnsi="Book Antiqua" w:cs="Arial"/>
          <w:bCs/>
          <w:sz w:val="20"/>
          <w:szCs w:val="20"/>
        </w:rPr>
        <w:t xml:space="preserve"> Margins, </w:t>
      </w:r>
      <w:smartTag w:uri="urn:schemas-microsoft-com:office:smarttags" w:element="place">
        <w:smartTag w:uri="urn:schemas-microsoft-com:office:smarttags" w:element="City">
          <w:r w:rsidRPr="007223AA">
            <w:rPr>
              <w:rFonts w:ascii="Book Antiqua" w:eastAsia="Times New Roman" w:hAnsi="Book Antiqua" w:cs="Arial"/>
              <w:bCs/>
              <w:sz w:val="20"/>
              <w:szCs w:val="20"/>
            </w:rPr>
            <w:t>Nairobi</w:t>
          </w:r>
        </w:smartTag>
      </w:smartTag>
      <w:r w:rsidRPr="007223AA">
        <w:rPr>
          <w:rFonts w:ascii="Book Antiqua" w:eastAsia="Times New Roman" w:hAnsi="Book Antiqua" w:cs="Arial"/>
          <w:bCs/>
          <w:sz w:val="20"/>
          <w:szCs w:val="20"/>
        </w:rPr>
        <w:t>.</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autoSpaceDE w:val="0"/>
        <w:autoSpaceDN w:val="0"/>
        <w:adjustRightInd w:val="0"/>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Ministry of Agriculture and Rural Development (MARD). Five Million Hectare Reforestation Program Partnership: Synthesis Report.  2001. Hanoi, </w:t>
      </w:r>
      <w:r w:rsidR="00480D3D">
        <w:rPr>
          <w:rFonts w:ascii="Book Antiqua" w:hAnsi="Book Antiqua" w:cs="Arial"/>
          <w:sz w:val="20"/>
          <w:szCs w:val="20"/>
        </w:rPr>
        <w:t>Viet Nam</w:t>
      </w:r>
      <w:r w:rsidRPr="007223AA">
        <w:rPr>
          <w:rFonts w:ascii="Book Antiqua" w:hAnsi="Book Antiqua" w:cs="Arial"/>
          <w:sz w:val="20"/>
          <w:szCs w:val="20"/>
        </w:rPr>
        <w:t xml:space="preserve">. </w:t>
      </w:r>
    </w:p>
    <w:p w:rsidR="00351F2C" w:rsidRPr="007223AA" w:rsidRDefault="00351F2C" w:rsidP="007D7495">
      <w:pPr>
        <w:autoSpaceDE w:val="0"/>
        <w:autoSpaceDN w:val="0"/>
        <w:adjustRightInd w:val="0"/>
        <w:spacing w:after="0" w:line="240" w:lineRule="atLeast"/>
        <w:ind w:left="270" w:hanging="270"/>
        <w:contextualSpacing/>
        <w:rPr>
          <w:rFonts w:ascii="Book Antiqua" w:hAnsi="Book Antiqua" w:cs="Arial"/>
          <w:sz w:val="20"/>
          <w:szCs w:val="20"/>
        </w:rPr>
      </w:pPr>
    </w:p>
    <w:p w:rsidR="00351F2C" w:rsidRPr="007223AA" w:rsidRDefault="00351F2C" w:rsidP="007D7495">
      <w:pPr>
        <w:autoSpaceDE w:val="0"/>
        <w:autoSpaceDN w:val="0"/>
        <w:adjustRightInd w:val="0"/>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_____ </w:t>
      </w:r>
      <w:r w:rsidRPr="007223AA">
        <w:rPr>
          <w:rFonts w:ascii="Book Antiqua" w:hAnsi="Book Antiqua" w:cs="Arial"/>
          <w:i/>
          <w:iCs/>
          <w:sz w:val="20"/>
          <w:szCs w:val="20"/>
        </w:rPr>
        <w:t xml:space="preserve">So tay huong dan cac van de tai chinh du an trong moi 5 trieu ha rung (Handbook on financial issues in 5MHRP). </w:t>
      </w:r>
      <w:r w:rsidRPr="007223AA">
        <w:rPr>
          <w:rFonts w:ascii="Book Antiqua" w:hAnsi="Book Antiqua" w:cs="Arial"/>
          <w:sz w:val="20"/>
          <w:szCs w:val="20"/>
        </w:rPr>
        <w:t xml:space="preserve">Hanoi, </w:t>
      </w:r>
      <w:r w:rsidR="00480D3D">
        <w:rPr>
          <w:rFonts w:ascii="Book Antiqua" w:hAnsi="Book Antiqua" w:cs="Arial"/>
          <w:sz w:val="20"/>
          <w:szCs w:val="20"/>
        </w:rPr>
        <w:t>Viet Nam</w:t>
      </w:r>
      <w:r w:rsidRPr="007223AA">
        <w:rPr>
          <w:rFonts w:ascii="Book Antiqua" w:hAnsi="Book Antiqua" w:cs="Arial"/>
          <w:sz w:val="20"/>
          <w:szCs w:val="20"/>
        </w:rPr>
        <w:t>:  2008.</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_____.  2009.  Establishment of the National Network and Task Force for Reduction of Emissions from Deforestation and Degradation.  Decision of the Minister of MARD 2614/QD-BNN-LN.</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 xml:space="preserve">Morris, J., Le Thi Phi, Ingles, A., Raintree, A. and Nguyen Van Doung. 2004. Linking Poverty Reduction with Forest Conservation: Case studies from </w:t>
      </w:r>
      <w:r w:rsidR="00480D3D">
        <w:rPr>
          <w:rFonts w:ascii="Book Antiqua" w:eastAsia="Times New Roman" w:hAnsi="Book Antiqua" w:cs="Arial"/>
          <w:bCs/>
          <w:sz w:val="20"/>
          <w:szCs w:val="20"/>
        </w:rPr>
        <w:t>Viet Nam</w:t>
      </w:r>
      <w:r w:rsidRPr="007223AA">
        <w:rPr>
          <w:rFonts w:ascii="Book Antiqua" w:eastAsia="Times New Roman" w:hAnsi="Book Antiqua" w:cs="Arial"/>
          <w:bCs/>
          <w:sz w:val="20"/>
          <w:szCs w:val="20"/>
        </w:rPr>
        <w:t>. IUCN, Bangkok.</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E8255B" w:rsidRPr="00E8255B" w:rsidRDefault="00E8255B" w:rsidP="007D7495">
      <w:pPr>
        <w:spacing w:after="0" w:line="240" w:lineRule="atLeast"/>
        <w:ind w:left="270" w:hanging="270"/>
        <w:jc w:val="both"/>
        <w:rPr>
          <w:rFonts w:ascii="Book Antiqua" w:eastAsia="Times New Roman" w:hAnsi="Book Antiqua"/>
          <w:sz w:val="20"/>
          <w:szCs w:val="20"/>
        </w:rPr>
      </w:pPr>
      <w:r w:rsidRPr="00E8255B">
        <w:rPr>
          <w:rFonts w:ascii="Book Antiqua" w:eastAsia="Times New Roman" w:hAnsi="Book Antiqua"/>
          <w:sz w:val="20"/>
          <w:szCs w:val="20"/>
        </w:rPr>
        <w:t xml:space="preserve">Nguyen, T. Q. 2006.  Trends in Forest Ownership, Forest Resources Tenure and Institutional Arrangements: Are They Contributing to Better Forest Management and Poverty Reduction? The Case of Vietnam. </w:t>
      </w:r>
      <w:r w:rsidRPr="00E8255B">
        <w:rPr>
          <w:rFonts w:ascii="Book Antiqua" w:eastAsia="Times New Roman" w:hAnsi="Book Antiqua"/>
          <w:i/>
          <w:sz w:val="20"/>
          <w:szCs w:val="20"/>
        </w:rPr>
        <w:t>In</w:t>
      </w:r>
      <w:r w:rsidRPr="00E8255B">
        <w:rPr>
          <w:rFonts w:ascii="Book Antiqua" w:eastAsia="Times New Roman" w:hAnsi="Book Antiqua"/>
          <w:sz w:val="20"/>
          <w:szCs w:val="20"/>
        </w:rPr>
        <w:t xml:space="preserve">: </w:t>
      </w:r>
      <w:r w:rsidRPr="00E8255B">
        <w:rPr>
          <w:rFonts w:ascii="Book Antiqua" w:eastAsia="Times New Roman" w:hAnsi="Book Antiqua"/>
          <w:i/>
          <w:iCs/>
          <w:sz w:val="20"/>
          <w:szCs w:val="20"/>
        </w:rPr>
        <w:t>Understanding Forest Tenure in South and Southeast Asia</w:t>
      </w:r>
      <w:r w:rsidRPr="00E8255B">
        <w:rPr>
          <w:rFonts w:ascii="Book Antiqua" w:eastAsia="Times New Roman" w:hAnsi="Book Antiqua"/>
          <w:sz w:val="20"/>
          <w:szCs w:val="20"/>
        </w:rPr>
        <w:t xml:space="preserve"> - </w:t>
      </w:r>
      <w:r w:rsidRPr="00E8255B">
        <w:rPr>
          <w:rFonts w:ascii="Book Antiqua" w:eastAsia="Times New Roman" w:hAnsi="Book Antiqua"/>
          <w:i/>
          <w:iCs/>
          <w:sz w:val="20"/>
          <w:szCs w:val="20"/>
        </w:rPr>
        <w:t xml:space="preserve">Forestry Policy </w:t>
      </w:r>
      <w:r w:rsidRPr="00E8255B">
        <w:rPr>
          <w:rFonts w:ascii="Book Antiqua" w:eastAsia="Times New Roman" w:hAnsi="Book Antiqua"/>
          <w:i/>
          <w:iCs/>
          <w:sz w:val="20"/>
          <w:szCs w:val="20"/>
        </w:rPr>
        <w:lastRenderedPageBreak/>
        <w:t>and Institutions Working Paper No 14</w:t>
      </w:r>
      <w:r w:rsidRPr="00E8255B">
        <w:rPr>
          <w:rFonts w:ascii="Book Antiqua" w:eastAsia="Times New Roman" w:hAnsi="Book Antiqua"/>
          <w:sz w:val="20"/>
          <w:szCs w:val="20"/>
        </w:rPr>
        <w:t xml:space="preserve">, pp.355-407, Food and Agriculture Organization (FAO), Rome, </w:t>
      </w:r>
    </w:p>
    <w:p w:rsidR="00E8255B" w:rsidRDefault="00E8255B" w:rsidP="007D7495">
      <w:pPr>
        <w:spacing w:after="0" w:line="240" w:lineRule="atLeast"/>
        <w:ind w:left="270" w:hanging="270"/>
        <w:jc w:val="both"/>
        <w:rPr>
          <w:rFonts w:eastAsia="Times New Roman"/>
        </w:rPr>
      </w:pPr>
    </w:p>
    <w:p w:rsidR="00351F2C" w:rsidRPr="007223AA" w:rsidRDefault="00351F2C" w:rsidP="007D7495">
      <w:pPr>
        <w:spacing w:after="0" w:line="240" w:lineRule="atLeast"/>
        <w:ind w:left="270" w:hanging="270"/>
        <w:jc w:val="both"/>
        <w:rPr>
          <w:rFonts w:ascii="Book Antiqua" w:hAnsi="Book Antiqua" w:cs="Arial"/>
          <w:sz w:val="20"/>
          <w:szCs w:val="20"/>
        </w:rPr>
      </w:pPr>
      <w:r w:rsidRPr="007223AA">
        <w:rPr>
          <w:rFonts w:ascii="Book Antiqua" w:hAnsi="Book Antiqua" w:cs="Arial"/>
          <w:sz w:val="20"/>
          <w:szCs w:val="20"/>
        </w:rPr>
        <w:t xml:space="preserve">Ogle, A. and Nguyen N. L. 2005. State Forest Enterprise Reform in </w:t>
      </w:r>
      <w:r w:rsidR="00480D3D">
        <w:rPr>
          <w:rFonts w:ascii="Book Antiqua" w:hAnsi="Book Antiqua" w:cs="Arial"/>
          <w:sz w:val="20"/>
          <w:szCs w:val="20"/>
        </w:rPr>
        <w:t>Viet Nam</w:t>
      </w:r>
      <w:r w:rsidRPr="007223AA">
        <w:rPr>
          <w:rFonts w:ascii="Book Antiqua" w:hAnsi="Book Antiqua" w:cs="Arial"/>
          <w:sz w:val="20"/>
          <w:szCs w:val="20"/>
        </w:rPr>
        <w:t>: Review of Policy and Implementation Framework for Decree 200. Technical Note. Hanoi: World Bank.</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4D4055">
      <w:pPr>
        <w:autoSpaceDE w:val="0"/>
        <w:autoSpaceDN w:val="0"/>
        <w:adjustRightInd w:val="0"/>
        <w:spacing w:after="0" w:line="240" w:lineRule="auto"/>
        <w:ind w:left="270" w:hanging="270"/>
        <w:rPr>
          <w:rFonts w:ascii="Book Antiqua" w:hAnsi="Book Antiqua" w:cs="Arial"/>
          <w:bCs/>
          <w:color w:val="000000"/>
          <w:sz w:val="20"/>
          <w:szCs w:val="20"/>
          <w:lang w:val="en-US"/>
        </w:rPr>
      </w:pPr>
      <w:r w:rsidRPr="007223AA">
        <w:rPr>
          <w:rFonts w:ascii="Book Antiqua" w:hAnsi="Book Antiqua" w:cs="Arial"/>
          <w:sz w:val="20"/>
          <w:szCs w:val="20"/>
        </w:rPr>
        <w:t>O’Rourke</w:t>
      </w:r>
      <w:r w:rsidR="005870D7">
        <w:rPr>
          <w:rFonts w:ascii="Book Antiqua" w:hAnsi="Book Antiqua" w:cs="Arial"/>
          <w:sz w:val="20"/>
          <w:szCs w:val="20"/>
        </w:rPr>
        <w:t>,</w:t>
      </w:r>
      <w:r w:rsidRPr="007223AA">
        <w:rPr>
          <w:rFonts w:ascii="Book Antiqua" w:hAnsi="Book Antiqua" w:cs="Arial"/>
          <w:sz w:val="20"/>
          <w:szCs w:val="20"/>
        </w:rPr>
        <w:t xml:space="preserve"> D.  2002.  </w:t>
      </w:r>
      <w:r w:rsidRPr="007223AA">
        <w:rPr>
          <w:rFonts w:ascii="Book Antiqua" w:hAnsi="Book Antiqua" w:cs="Arial"/>
          <w:i/>
          <w:color w:val="000000"/>
          <w:sz w:val="20"/>
          <w:szCs w:val="20"/>
          <w:lang w:val="en-US"/>
        </w:rPr>
        <w:t xml:space="preserve">Motivating a Conflicted Environmental State: Community-Driven Regulation in </w:t>
      </w:r>
      <w:smartTag w:uri="urn:schemas-microsoft-com:office:smarttags" w:element="place">
        <w:smartTag w:uri="urn:schemas-microsoft-com:office:smarttags" w:element="country-region">
          <w:r w:rsidR="00480D3D">
            <w:rPr>
              <w:rFonts w:ascii="Book Antiqua" w:hAnsi="Book Antiqua" w:cs="Arial"/>
              <w:i/>
              <w:color w:val="000000"/>
              <w:sz w:val="20"/>
              <w:szCs w:val="20"/>
              <w:lang w:val="en-US"/>
            </w:rPr>
            <w:t>Viet Nam</w:t>
          </w:r>
        </w:smartTag>
      </w:smartTag>
      <w:r w:rsidRPr="007223AA">
        <w:rPr>
          <w:rFonts w:ascii="Book Antiqua" w:hAnsi="Book Antiqua" w:cs="Arial"/>
          <w:color w:val="000000"/>
          <w:sz w:val="20"/>
          <w:szCs w:val="20"/>
          <w:lang w:val="en-US"/>
        </w:rPr>
        <w:t xml:space="preserve">, </w:t>
      </w:r>
      <w:r w:rsidRPr="007223AA">
        <w:rPr>
          <w:rFonts w:ascii="Book Antiqua" w:hAnsi="Book Antiqua" w:cs="Arial"/>
          <w:bCs/>
          <w:color w:val="000000"/>
          <w:sz w:val="20"/>
          <w:szCs w:val="20"/>
          <w:lang w:val="en-US"/>
        </w:rPr>
        <w:t>The Environmental State Under Pressure, Vol. 10, pp. 221–244, Elsevier Science Ltd.</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Pagiola, S. and B. Bosquet. 2009. Estimating the Costs of REDD at the Country Level. Forest Carbon Partnership Facility, World Bank, </w:t>
      </w:r>
      <w:smartTag w:uri="urn:schemas-microsoft-com:office:smarttags" w:element="place">
        <w:smartTag w:uri="urn:schemas-microsoft-com:office:smarttags" w:element="City">
          <w:r w:rsidRPr="007223AA">
            <w:rPr>
              <w:rFonts w:ascii="Book Antiqua" w:hAnsi="Book Antiqua" w:cs="Arial"/>
              <w:sz w:val="20"/>
              <w:szCs w:val="20"/>
            </w:rPr>
            <w:t>Washington</w:t>
          </w:r>
        </w:smartTag>
        <w:r w:rsidRPr="007223AA">
          <w:rPr>
            <w:rFonts w:ascii="Book Antiqua" w:hAnsi="Book Antiqua" w:cs="Arial"/>
            <w:sz w:val="20"/>
            <w:szCs w:val="20"/>
          </w:rPr>
          <w:t xml:space="preserve"> </w:t>
        </w:r>
        <w:smartTag w:uri="urn:schemas-microsoft-com:office:smarttags" w:element="State">
          <w:r w:rsidRPr="007223AA">
            <w:rPr>
              <w:rFonts w:ascii="Book Antiqua" w:hAnsi="Book Antiqua" w:cs="Arial"/>
              <w:sz w:val="20"/>
              <w:szCs w:val="20"/>
            </w:rPr>
            <w:t>DC</w:t>
          </w:r>
        </w:smartTag>
      </w:smartTag>
      <w:r w:rsidRPr="007223AA">
        <w:rPr>
          <w:rFonts w:ascii="Book Antiqua" w:hAnsi="Book Antiqua" w:cs="Arial"/>
          <w:sz w:val="20"/>
          <w:szCs w:val="20"/>
        </w:rPr>
        <w:t>.</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r w:rsidRPr="007223AA">
        <w:rPr>
          <w:rFonts w:ascii="Book Antiqua" w:hAnsi="Book Antiqua" w:cs="Arial"/>
          <w:sz w:val="20"/>
          <w:szCs w:val="20"/>
          <w:lang w:val="en-US"/>
        </w:rPr>
        <w:t xml:space="preserve">Pancel, Laslo and To Thi Thu Huong. 2009. Payment for Forest Environmental Services in </w:t>
      </w:r>
      <w:r w:rsidR="00480D3D">
        <w:rPr>
          <w:rFonts w:ascii="Book Antiqua" w:hAnsi="Book Antiqua" w:cs="Arial"/>
          <w:sz w:val="20"/>
          <w:szCs w:val="20"/>
          <w:lang w:val="en-US"/>
        </w:rPr>
        <w:t>Viet Nam</w:t>
      </w:r>
      <w:r w:rsidRPr="007223AA">
        <w:rPr>
          <w:rFonts w:ascii="Book Antiqua" w:hAnsi="Book Antiqua" w:cs="Arial"/>
          <w:sz w:val="20"/>
          <w:szCs w:val="20"/>
          <w:lang w:val="en-US"/>
        </w:rPr>
        <w:t>. Paper prepared for presentation at World Forestry Congress. Buenos Aires.</w:t>
      </w: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p>
    <w:p w:rsidR="00351F2C" w:rsidRPr="007223AA" w:rsidRDefault="00351F2C" w:rsidP="007D7495">
      <w:pPr>
        <w:autoSpaceDE w:val="0"/>
        <w:autoSpaceDN w:val="0"/>
        <w:adjustRightInd w:val="0"/>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Pedroni, L., M. Dutschke, C. Streck, and M. E. Porrúa "Creating Incentives for Avoiding further Deforestation: the Nested Approach</w:t>
      </w:r>
      <w:r w:rsidRPr="007223AA">
        <w:rPr>
          <w:rFonts w:ascii="Book Antiqua" w:hAnsi="Book Antiqua" w:cs="Arial"/>
          <w:i/>
          <w:iCs/>
          <w:sz w:val="20"/>
          <w:szCs w:val="20"/>
        </w:rPr>
        <w:t>.</w:t>
      </w:r>
      <w:r w:rsidRPr="007223AA">
        <w:rPr>
          <w:rFonts w:ascii="Book Antiqua" w:hAnsi="Book Antiqua" w:cs="Arial"/>
          <w:sz w:val="20"/>
          <w:szCs w:val="20"/>
        </w:rPr>
        <w:t>"</w:t>
      </w:r>
      <w:r w:rsidRPr="007223AA">
        <w:rPr>
          <w:rFonts w:ascii="Book Antiqua" w:hAnsi="Book Antiqua" w:cs="Arial"/>
          <w:i/>
          <w:iCs/>
          <w:sz w:val="20"/>
          <w:szCs w:val="20"/>
        </w:rPr>
        <w:t xml:space="preserve"> Climate Policy </w:t>
      </w:r>
      <w:r w:rsidRPr="007223AA">
        <w:rPr>
          <w:rFonts w:ascii="Book Antiqua" w:hAnsi="Book Antiqua" w:cs="Arial"/>
          <w:sz w:val="20"/>
          <w:szCs w:val="20"/>
        </w:rPr>
        <w:t>9(2009): 207-20.</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 xml:space="preserve">Peskett, L. and Z. Harkin. 2007. Risk and responsibility in Reduced Emissions from Deforestation and Degradation. Forestry Briefing 15, Forest Policy and Environment Programme, Overseas Development Institute, </w:t>
      </w:r>
      <w:smartTag w:uri="urn:schemas-microsoft-com:office:smarttags" w:element="place">
        <w:smartTag w:uri="urn:schemas-microsoft-com:office:smarttags" w:element="City">
          <w:r w:rsidRPr="007223AA">
            <w:rPr>
              <w:rFonts w:ascii="Book Antiqua" w:eastAsia="Times New Roman" w:hAnsi="Book Antiqua" w:cs="Arial"/>
              <w:bCs/>
              <w:sz w:val="20"/>
              <w:szCs w:val="20"/>
            </w:rPr>
            <w:t>London</w:t>
          </w:r>
        </w:smartTag>
      </w:smartTag>
      <w:r w:rsidRPr="007223AA">
        <w:rPr>
          <w:rFonts w:ascii="Book Antiqua" w:eastAsia="Times New Roman" w:hAnsi="Book Antiqua" w:cs="Arial"/>
          <w:bCs/>
          <w:sz w:val="20"/>
          <w:szCs w:val="20"/>
        </w:rPr>
        <w:t>.</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 xml:space="preserve">Peters, J. 2009. Ecosystem Services in Lam Dong Province </w:t>
      </w:r>
      <w:r w:rsidR="00480D3D">
        <w:rPr>
          <w:rFonts w:ascii="Book Antiqua" w:eastAsia="Times New Roman" w:hAnsi="Book Antiqua" w:cs="Arial"/>
          <w:bCs/>
          <w:sz w:val="20"/>
          <w:szCs w:val="20"/>
        </w:rPr>
        <w:t>Viet Nam</w:t>
      </w:r>
      <w:r w:rsidRPr="007223AA">
        <w:rPr>
          <w:rFonts w:ascii="Book Antiqua" w:eastAsia="Times New Roman" w:hAnsi="Book Antiqua" w:cs="Arial"/>
          <w:bCs/>
          <w:sz w:val="20"/>
          <w:szCs w:val="20"/>
        </w:rPr>
        <w:t>: Challenges and responses in moving from theory to implementation. Presentation made at RECOFTC 1st Regional Meeting “Forum for People and Forests”, Hanoi.</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E8255B" w:rsidRDefault="00351F2C" w:rsidP="007D7495">
      <w:pPr>
        <w:spacing w:after="0" w:line="240" w:lineRule="atLeast"/>
        <w:ind w:left="270" w:hanging="270"/>
        <w:contextualSpacing/>
        <w:rPr>
          <w:rFonts w:ascii="Book Antiqua" w:hAnsi="Book Antiqua" w:cs="Arial"/>
          <w:sz w:val="20"/>
          <w:szCs w:val="20"/>
        </w:rPr>
      </w:pPr>
      <w:r w:rsidRPr="00E8255B">
        <w:rPr>
          <w:rFonts w:ascii="Book Antiqua" w:hAnsi="Book Antiqua" w:cs="Arial"/>
          <w:sz w:val="20"/>
          <w:szCs w:val="20"/>
        </w:rPr>
        <w:t xml:space="preserve">Ring, I. </w:t>
      </w:r>
      <w:r w:rsidR="00E8255B" w:rsidRPr="00E8255B">
        <w:rPr>
          <w:rFonts w:ascii="Book Antiqua" w:hAnsi="Book Antiqua" w:cs="Arial"/>
          <w:sz w:val="20"/>
          <w:szCs w:val="20"/>
        </w:rPr>
        <w:t>2008</w:t>
      </w:r>
      <w:r w:rsidRPr="00E8255B">
        <w:rPr>
          <w:rFonts w:ascii="Book Antiqua" w:hAnsi="Book Antiqua" w:cs="Arial"/>
          <w:sz w:val="20"/>
          <w:szCs w:val="20"/>
        </w:rPr>
        <w:t xml:space="preserve">. </w:t>
      </w:r>
      <w:r w:rsidR="00E8255B" w:rsidRPr="00E8255B">
        <w:rPr>
          <w:rFonts w:ascii="Book Antiqua" w:eastAsia="Times New Roman" w:hAnsi="Book Antiqua"/>
          <w:sz w:val="20"/>
          <w:szCs w:val="20"/>
        </w:rPr>
        <w:t>Biodiversity governance: Adjusting Local Costs and Global Benefits, pp. 107-128 in: T. Sikor (ed.), Public and Private in Natural Resource Governance: A False Dichotomy? Earthscan Publications, London. 2008</w:t>
      </w:r>
      <w:r w:rsidRPr="00E8255B">
        <w:rPr>
          <w:rFonts w:ascii="Book Antiqua" w:hAnsi="Book Antiqua" w:cs="Arial"/>
          <w:sz w:val="20"/>
          <w:szCs w:val="20"/>
        </w:rPr>
        <w:t>.</w:t>
      </w:r>
    </w:p>
    <w:p w:rsidR="00351F2C" w:rsidRPr="00E8255B"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 xml:space="preserve">Sage, N. and N. Cu. 2001.A Discussion Paper on Analysis of Constraints and Enabling Factors of ICDPs in </w:t>
      </w:r>
      <w:r w:rsidR="00480D3D">
        <w:rPr>
          <w:rFonts w:ascii="Book Antiqua" w:eastAsia="Times New Roman" w:hAnsi="Book Antiqua" w:cs="Arial"/>
          <w:bCs/>
          <w:sz w:val="20"/>
          <w:szCs w:val="20"/>
        </w:rPr>
        <w:t>Viet Nam</w:t>
      </w:r>
      <w:r w:rsidRPr="007223AA">
        <w:rPr>
          <w:rFonts w:ascii="Book Antiqua" w:eastAsia="Times New Roman" w:hAnsi="Book Antiqua" w:cs="Arial"/>
          <w:bCs/>
          <w:sz w:val="20"/>
          <w:szCs w:val="20"/>
        </w:rPr>
        <w:t>. ICDP Working Group, CARE, SNV and WWF, Hanoi.</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autoSpaceDE w:val="0"/>
        <w:autoSpaceDN w:val="0"/>
        <w:adjustRightInd w:val="0"/>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Salmi, J., N. X. Nguyen, and T. Q. Le. Study on Financing Strategy for Sustainable Forest Management in </w:t>
      </w:r>
      <w:r w:rsidR="00480D3D">
        <w:rPr>
          <w:rFonts w:ascii="Book Antiqua" w:hAnsi="Book Antiqua" w:cs="Arial"/>
          <w:sz w:val="20"/>
          <w:szCs w:val="20"/>
        </w:rPr>
        <w:t>Viet Nam</w:t>
      </w:r>
      <w:r w:rsidRPr="007223AA">
        <w:rPr>
          <w:rFonts w:ascii="Book Antiqua" w:hAnsi="Book Antiqua" w:cs="Arial"/>
          <w:sz w:val="20"/>
          <w:szCs w:val="20"/>
        </w:rPr>
        <w:t xml:space="preserve">.  1999. Hanoi, </w:t>
      </w:r>
      <w:r w:rsidR="00480D3D">
        <w:rPr>
          <w:rFonts w:ascii="Book Antiqua" w:hAnsi="Book Antiqua" w:cs="Arial"/>
          <w:sz w:val="20"/>
          <w:szCs w:val="20"/>
        </w:rPr>
        <w:t>Viet Nam</w:t>
      </w:r>
      <w:r w:rsidRPr="007223AA">
        <w:rPr>
          <w:rFonts w:ascii="Book Antiqua" w:hAnsi="Book Antiqua" w:cs="Arial"/>
          <w:sz w:val="20"/>
          <w:szCs w:val="20"/>
        </w:rPr>
        <w:t xml:space="preserve">, Ministry of Agriculture and Rural Development (MARD) and United Nations Development Program (UNDP). </w:t>
      </w:r>
    </w:p>
    <w:p w:rsidR="00351F2C" w:rsidRPr="007223AA" w:rsidRDefault="00351F2C" w:rsidP="007D7495">
      <w:pPr>
        <w:autoSpaceDE w:val="0"/>
        <w:autoSpaceDN w:val="0"/>
        <w:adjustRightInd w:val="0"/>
        <w:spacing w:after="0" w:line="240" w:lineRule="atLeast"/>
        <w:ind w:left="270" w:hanging="270"/>
        <w:contextualSpacing/>
        <w:rPr>
          <w:rFonts w:ascii="Book Antiqua" w:hAnsi="Book Antiqua" w:cs="Arial"/>
          <w:sz w:val="20"/>
          <w:szCs w:val="20"/>
          <w:lang w:val="en-US"/>
        </w:rPr>
      </w:pPr>
    </w:p>
    <w:p w:rsidR="00351F2C" w:rsidRPr="007223AA" w:rsidRDefault="00351F2C" w:rsidP="00BA0AFE">
      <w:pPr>
        <w:spacing w:after="0" w:line="240" w:lineRule="atLeast"/>
        <w:ind w:left="270" w:hanging="270"/>
        <w:contextualSpacing/>
        <w:jc w:val="both"/>
        <w:rPr>
          <w:rFonts w:ascii="Book Antiqua" w:hAnsi="Book Antiqua" w:cs="Arial"/>
          <w:sz w:val="20"/>
          <w:szCs w:val="20"/>
        </w:rPr>
      </w:pPr>
      <w:r w:rsidRPr="007223AA">
        <w:rPr>
          <w:rFonts w:ascii="Book Antiqua" w:hAnsi="Book Antiqua" w:cs="Arial"/>
          <w:sz w:val="20"/>
          <w:szCs w:val="20"/>
          <w:lang w:val="en-US"/>
        </w:rPr>
        <w:t xml:space="preserve">Secretariat for Environment and Sustainable Development, </w:t>
      </w:r>
      <w:r w:rsidRPr="007223AA">
        <w:rPr>
          <w:rFonts w:ascii="Book Antiqua" w:hAnsi="Book Antiqua" w:cs="Arial"/>
          <w:sz w:val="20"/>
          <w:szCs w:val="20"/>
        </w:rPr>
        <w:t xml:space="preserve">Government of the State of </w:t>
      </w:r>
      <w:smartTag w:uri="urn:schemas-microsoft-com:office:smarttags" w:element="place">
        <w:smartTag w:uri="urn:schemas-microsoft-com:office:smarttags" w:element="State">
          <w:r w:rsidRPr="007223AA">
            <w:rPr>
              <w:rFonts w:ascii="Book Antiqua" w:hAnsi="Book Antiqua" w:cs="Arial"/>
              <w:sz w:val="20"/>
              <w:szCs w:val="20"/>
            </w:rPr>
            <w:t>Amazonas</w:t>
          </w:r>
        </w:smartTag>
      </w:smartTag>
      <w:r w:rsidRPr="007223AA">
        <w:rPr>
          <w:rFonts w:ascii="Book Antiqua" w:hAnsi="Book Antiqua" w:cs="Arial"/>
          <w:sz w:val="20"/>
          <w:szCs w:val="20"/>
        </w:rPr>
        <w:t xml:space="preserve">. 2009. Amazonas Initiative on Climate Change, </w:t>
      </w:r>
      <w:smartTag w:uri="urn:schemas-microsoft-com:office:smarttags" w:element="place">
        <w:r w:rsidRPr="007223AA">
          <w:rPr>
            <w:rFonts w:ascii="Book Antiqua" w:hAnsi="Book Antiqua" w:cs="Arial"/>
            <w:sz w:val="20"/>
            <w:szCs w:val="20"/>
          </w:rPr>
          <w:t>Forest</w:t>
        </w:r>
      </w:smartTag>
      <w:r w:rsidRPr="007223AA">
        <w:rPr>
          <w:rFonts w:ascii="Book Antiqua" w:hAnsi="Book Antiqua" w:cs="Arial"/>
          <w:sz w:val="20"/>
          <w:szCs w:val="20"/>
        </w:rPr>
        <w:t xml:space="preserve"> Conservation and Sustainable Development.</w:t>
      </w:r>
    </w:p>
    <w:p w:rsidR="00351F2C" w:rsidRPr="007223AA" w:rsidRDefault="00351F2C" w:rsidP="00BA0AFE">
      <w:pPr>
        <w:autoSpaceDE w:val="0"/>
        <w:autoSpaceDN w:val="0"/>
        <w:adjustRightInd w:val="0"/>
        <w:spacing w:after="0" w:line="240" w:lineRule="atLeast"/>
        <w:ind w:left="270" w:hanging="270"/>
        <w:contextualSpacing/>
        <w:jc w:val="both"/>
        <w:rPr>
          <w:rFonts w:ascii="Book Antiqua" w:hAnsi="Book Antiqua" w:cs="Arial"/>
          <w:sz w:val="20"/>
          <w:szCs w:val="20"/>
        </w:rPr>
      </w:pPr>
    </w:p>
    <w:p w:rsidR="00351F2C" w:rsidRPr="007223AA" w:rsidRDefault="00351F2C" w:rsidP="00BA0AFE">
      <w:pPr>
        <w:spacing w:after="0" w:line="240" w:lineRule="atLeast"/>
        <w:ind w:left="270" w:hanging="270"/>
        <w:jc w:val="both"/>
        <w:rPr>
          <w:rFonts w:ascii="Book Antiqua" w:hAnsi="Book Antiqua" w:cs="Arial"/>
          <w:sz w:val="20"/>
          <w:szCs w:val="20"/>
        </w:rPr>
      </w:pPr>
      <w:r w:rsidRPr="007223AA">
        <w:rPr>
          <w:rFonts w:ascii="Book Antiqua" w:hAnsi="Book Antiqua" w:cs="Arial"/>
          <w:bCs/>
          <w:sz w:val="20"/>
          <w:szCs w:val="20"/>
        </w:rPr>
        <w:t xml:space="preserve">Sikor, T. 2004. Conflicting Concepts: Contested Land Relations in North-western </w:t>
      </w:r>
      <w:r w:rsidR="00480D3D">
        <w:rPr>
          <w:rFonts w:ascii="Book Antiqua" w:hAnsi="Book Antiqua" w:cs="Arial"/>
          <w:bCs/>
          <w:sz w:val="20"/>
          <w:szCs w:val="20"/>
        </w:rPr>
        <w:t>Viet Nam</w:t>
      </w:r>
      <w:r w:rsidRPr="007223AA">
        <w:rPr>
          <w:rFonts w:ascii="Book Antiqua" w:hAnsi="Book Antiqua" w:cs="Arial"/>
          <w:bCs/>
          <w:sz w:val="20"/>
          <w:szCs w:val="20"/>
        </w:rPr>
        <w:t xml:space="preserve">. </w:t>
      </w:r>
      <w:r w:rsidRPr="007223AA">
        <w:rPr>
          <w:rFonts w:ascii="Book Antiqua" w:hAnsi="Book Antiqua" w:cs="Arial"/>
          <w:bCs/>
          <w:i/>
          <w:iCs/>
          <w:sz w:val="20"/>
          <w:szCs w:val="20"/>
        </w:rPr>
        <w:t>Conservation and Society</w:t>
      </w:r>
      <w:r w:rsidRPr="007223AA">
        <w:rPr>
          <w:rFonts w:ascii="Book Antiqua" w:hAnsi="Book Antiqua" w:cs="Arial"/>
          <w:bCs/>
          <w:sz w:val="20"/>
          <w:szCs w:val="20"/>
        </w:rPr>
        <w:t>, 2(1): 59-79</w:t>
      </w:r>
    </w:p>
    <w:p w:rsidR="00351F2C" w:rsidRPr="007223AA" w:rsidRDefault="00351F2C" w:rsidP="00BA0AFE">
      <w:pPr>
        <w:tabs>
          <w:tab w:val="left" w:pos="-720"/>
        </w:tabs>
        <w:suppressAutoHyphens/>
        <w:spacing w:after="0" w:line="240" w:lineRule="atLeast"/>
        <w:ind w:left="270" w:hanging="270"/>
        <w:jc w:val="both"/>
        <w:rPr>
          <w:rFonts w:ascii="Book Antiqua" w:hAnsi="Book Antiqua" w:cs="Arial"/>
          <w:sz w:val="20"/>
          <w:szCs w:val="20"/>
        </w:rPr>
      </w:pPr>
    </w:p>
    <w:p w:rsidR="00351F2C" w:rsidRPr="007223AA" w:rsidRDefault="00351F2C" w:rsidP="00BA0AFE">
      <w:pPr>
        <w:tabs>
          <w:tab w:val="left" w:pos="-720"/>
        </w:tabs>
        <w:suppressAutoHyphens/>
        <w:spacing w:after="0" w:line="240" w:lineRule="auto"/>
        <w:ind w:left="270" w:hanging="270"/>
        <w:contextualSpacing/>
        <w:jc w:val="both"/>
        <w:rPr>
          <w:rFonts w:ascii="Book Antiqua" w:hAnsi="Book Antiqua" w:cs="Arial"/>
          <w:sz w:val="20"/>
          <w:szCs w:val="20"/>
        </w:rPr>
      </w:pPr>
      <w:r w:rsidRPr="007223AA">
        <w:rPr>
          <w:rFonts w:ascii="Book Antiqua" w:hAnsi="Book Antiqua" w:cs="Arial"/>
          <w:sz w:val="20"/>
          <w:szCs w:val="20"/>
        </w:rPr>
        <w:t xml:space="preserve">Sikor, T. 2009. Finance for household tree plantations in </w:t>
      </w:r>
      <w:r w:rsidR="00480D3D">
        <w:rPr>
          <w:rFonts w:ascii="Book Antiqua" w:hAnsi="Book Antiqua" w:cs="Arial"/>
          <w:sz w:val="20"/>
          <w:szCs w:val="20"/>
        </w:rPr>
        <w:t>Viet Nam</w:t>
      </w:r>
      <w:r w:rsidRPr="007223AA">
        <w:rPr>
          <w:rFonts w:ascii="Book Antiqua" w:hAnsi="Book Antiqua" w:cs="Arial"/>
          <w:sz w:val="20"/>
          <w:szCs w:val="20"/>
        </w:rPr>
        <w:t>: Current programs and options for the future. Unpublished project report.</w:t>
      </w:r>
    </w:p>
    <w:p w:rsidR="00351F2C" w:rsidRPr="007223AA" w:rsidRDefault="00351F2C" w:rsidP="00BA0AFE">
      <w:pPr>
        <w:tabs>
          <w:tab w:val="left" w:pos="-720"/>
        </w:tabs>
        <w:suppressAutoHyphens/>
        <w:spacing w:after="0" w:line="240" w:lineRule="auto"/>
        <w:ind w:left="270" w:hanging="270"/>
        <w:contextualSpacing/>
        <w:jc w:val="both"/>
        <w:rPr>
          <w:rFonts w:ascii="Book Antiqua" w:hAnsi="Book Antiqua" w:cs="Arial"/>
          <w:spacing w:val="-2"/>
          <w:sz w:val="20"/>
          <w:szCs w:val="20"/>
        </w:rPr>
      </w:pPr>
    </w:p>
    <w:p w:rsidR="00351F2C" w:rsidRPr="007223AA" w:rsidRDefault="00351F2C" w:rsidP="00BA0AFE">
      <w:pPr>
        <w:tabs>
          <w:tab w:val="left" w:pos="-720"/>
        </w:tabs>
        <w:suppressAutoHyphens/>
        <w:spacing w:after="0" w:line="240" w:lineRule="auto"/>
        <w:ind w:left="270" w:hanging="270"/>
        <w:contextualSpacing/>
        <w:jc w:val="both"/>
        <w:rPr>
          <w:rFonts w:ascii="Book Antiqua" w:hAnsi="Book Antiqua" w:cs="Arial"/>
          <w:sz w:val="20"/>
          <w:szCs w:val="20"/>
        </w:rPr>
      </w:pPr>
      <w:r w:rsidRPr="007223AA">
        <w:rPr>
          <w:rFonts w:ascii="Book Antiqua" w:hAnsi="Book Antiqua" w:cs="Arial"/>
          <w:spacing w:val="-2"/>
          <w:sz w:val="20"/>
          <w:szCs w:val="20"/>
        </w:rPr>
        <w:t xml:space="preserve">Sikor, T. 2006. Land Reform and the State in </w:t>
      </w:r>
      <w:smartTag w:uri="urn:schemas-microsoft-com:office:smarttags" w:element="country-region">
        <w:r w:rsidR="00480D3D">
          <w:rPr>
            <w:rFonts w:ascii="Book Antiqua" w:hAnsi="Book Antiqua" w:cs="Arial"/>
            <w:spacing w:val="-2"/>
            <w:sz w:val="20"/>
            <w:szCs w:val="20"/>
          </w:rPr>
          <w:t>Viet Nam</w:t>
        </w:r>
      </w:smartTag>
      <w:r w:rsidRPr="007223AA">
        <w:rPr>
          <w:rFonts w:ascii="Book Antiqua" w:hAnsi="Book Antiqua" w:cs="Arial"/>
          <w:spacing w:val="-2"/>
          <w:sz w:val="20"/>
          <w:szCs w:val="20"/>
        </w:rPr>
        <w:t xml:space="preserve">'s Northwestern Mountains, pp. 91-107 in: J. Connell, E. Waddell (eds.), </w:t>
      </w:r>
      <w:r w:rsidRPr="007223AA">
        <w:rPr>
          <w:rFonts w:ascii="Book Antiqua" w:hAnsi="Book Antiqua" w:cs="Arial"/>
          <w:i/>
          <w:iCs/>
          <w:spacing w:val="-2"/>
          <w:sz w:val="20"/>
          <w:szCs w:val="20"/>
        </w:rPr>
        <w:t>The Local and the Global: Environment, Development and Change in the Asia-Pacific Region</w:t>
      </w:r>
      <w:r w:rsidRPr="007223AA">
        <w:rPr>
          <w:rFonts w:ascii="Book Antiqua" w:hAnsi="Book Antiqua" w:cs="Arial"/>
          <w:spacing w:val="-2"/>
          <w:sz w:val="20"/>
          <w:szCs w:val="20"/>
        </w:rPr>
        <w:t xml:space="preserve">, Routledge, </w:t>
      </w:r>
      <w:smartTag w:uri="urn:schemas-microsoft-com:office:smarttags" w:element="place">
        <w:smartTag w:uri="urn:schemas-microsoft-com:office:smarttags" w:element="City">
          <w:r w:rsidRPr="007223AA">
            <w:rPr>
              <w:rFonts w:ascii="Book Antiqua" w:hAnsi="Book Antiqua" w:cs="Arial"/>
              <w:spacing w:val="-2"/>
              <w:sz w:val="20"/>
              <w:szCs w:val="20"/>
            </w:rPr>
            <w:t>London</w:t>
          </w:r>
        </w:smartTag>
      </w:smartTag>
      <w:r w:rsidRPr="007223AA">
        <w:rPr>
          <w:rFonts w:ascii="Book Antiqua" w:hAnsi="Book Antiqua" w:cs="Arial"/>
          <w:spacing w:val="-2"/>
          <w:sz w:val="20"/>
          <w:szCs w:val="20"/>
        </w:rPr>
        <w:t>.</w:t>
      </w:r>
    </w:p>
    <w:p w:rsidR="00351F2C" w:rsidRPr="007223AA" w:rsidRDefault="00351F2C" w:rsidP="00BA0AFE">
      <w:pPr>
        <w:tabs>
          <w:tab w:val="left" w:pos="-720"/>
        </w:tabs>
        <w:suppressAutoHyphens/>
        <w:spacing w:after="0" w:line="240" w:lineRule="auto"/>
        <w:ind w:left="270" w:hanging="270"/>
        <w:contextualSpacing/>
        <w:jc w:val="both"/>
        <w:rPr>
          <w:rFonts w:ascii="Book Antiqua" w:hAnsi="Book Antiqua" w:cs="Arial"/>
          <w:sz w:val="20"/>
          <w:szCs w:val="20"/>
          <w:lang w:val="da-DK"/>
        </w:rPr>
      </w:pPr>
    </w:p>
    <w:p w:rsidR="00351F2C" w:rsidRPr="007223AA" w:rsidRDefault="00351F2C" w:rsidP="00BA0AFE">
      <w:pPr>
        <w:tabs>
          <w:tab w:val="left" w:pos="-720"/>
        </w:tabs>
        <w:suppressAutoHyphens/>
        <w:spacing w:after="0" w:line="240" w:lineRule="auto"/>
        <w:ind w:left="270" w:hanging="270"/>
        <w:contextualSpacing/>
        <w:jc w:val="both"/>
        <w:rPr>
          <w:rFonts w:ascii="Book Antiqua" w:hAnsi="Book Antiqua" w:cs="Arial"/>
          <w:sz w:val="20"/>
          <w:szCs w:val="20"/>
        </w:rPr>
      </w:pPr>
      <w:r w:rsidRPr="007223AA">
        <w:rPr>
          <w:rFonts w:ascii="Book Antiqua" w:hAnsi="Book Antiqua" w:cs="Arial"/>
          <w:sz w:val="20"/>
          <w:szCs w:val="20"/>
          <w:lang w:val="da-DK"/>
        </w:rPr>
        <w:t xml:space="preserve">Sikor, T., Tran N.T. 2007. </w:t>
      </w:r>
      <w:r w:rsidRPr="007223AA">
        <w:rPr>
          <w:rFonts w:ascii="Book Antiqua" w:hAnsi="Book Antiqua" w:cs="Arial"/>
          <w:sz w:val="20"/>
          <w:szCs w:val="20"/>
        </w:rPr>
        <w:t xml:space="preserve">Exclusive versus Inclusive Devolution in Forest Management: Insights from Forest Land Allocation in </w:t>
      </w:r>
      <w:r w:rsidR="00480D3D">
        <w:rPr>
          <w:rFonts w:ascii="Book Antiqua" w:hAnsi="Book Antiqua" w:cs="Arial"/>
          <w:sz w:val="20"/>
          <w:szCs w:val="20"/>
        </w:rPr>
        <w:t>Viet Nam</w:t>
      </w:r>
      <w:r w:rsidRPr="007223AA">
        <w:rPr>
          <w:rFonts w:ascii="Book Antiqua" w:hAnsi="Book Antiqua" w:cs="Arial"/>
          <w:sz w:val="20"/>
          <w:szCs w:val="20"/>
        </w:rPr>
        <w:t xml:space="preserve">’s Central Highlands. </w:t>
      </w:r>
      <w:r w:rsidRPr="007223AA">
        <w:rPr>
          <w:rFonts w:ascii="Book Antiqua" w:hAnsi="Book Antiqua" w:cs="Arial"/>
          <w:i/>
          <w:iCs/>
          <w:sz w:val="20"/>
          <w:szCs w:val="20"/>
        </w:rPr>
        <w:t>Land Use Policy</w:t>
      </w:r>
      <w:r w:rsidRPr="007223AA">
        <w:rPr>
          <w:rFonts w:ascii="Book Antiqua" w:hAnsi="Book Antiqua" w:cs="Arial"/>
          <w:sz w:val="20"/>
          <w:szCs w:val="20"/>
        </w:rPr>
        <w:t>, 24(4): 644-653.</w:t>
      </w:r>
    </w:p>
    <w:p w:rsidR="00351F2C" w:rsidRPr="007223AA" w:rsidRDefault="00351F2C" w:rsidP="00BA0AFE">
      <w:pPr>
        <w:spacing w:after="0" w:line="240" w:lineRule="auto"/>
        <w:ind w:left="270" w:hanging="270"/>
        <w:contextualSpacing/>
        <w:jc w:val="both"/>
        <w:rPr>
          <w:rFonts w:ascii="Book Antiqua" w:eastAsia="Times New Roman" w:hAnsi="Book Antiqua" w:cs="Arial"/>
          <w:bCs/>
          <w:sz w:val="20"/>
          <w:szCs w:val="20"/>
        </w:rPr>
      </w:pPr>
    </w:p>
    <w:p w:rsidR="00BA0AFE" w:rsidRPr="00BA0AFE" w:rsidRDefault="00BA0AFE" w:rsidP="00BA0AFE">
      <w:pPr>
        <w:autoSpaceDE w:val="0"/>
        <w:autoSpaceDN w:val="0"/>
        <w:adjustRightInd w:val="0"/>
        <w:spacing w:after="0" w:line="240" w:lineRule="auto"/>
        <w:contextualSpacing/>
        <w:jc w:val="both"/>
        <w:rPr>
          <w:rFonts w:ascii="Book Antiqua" w:eastAsia="Times New Roman" w:hAnsi="Book Antiqua" w:cs="Arial"/>
          <w:bCs/>
          <w:color w:val="000000"/>
          <w:sz w:val="20"/>
          <w:szCs w:val="20"/>
        </w:rPr>
      </w:pPr>
      <w:r w:rsidRPr="00BA0AFE">
        <w:rPr>
          <w:rFonts w:ascii="Book Antiqua" w:eastAsia="Times New Roman" w:hAnsi="Book Antiqua" w:cs="Arial"/>
          <w:bCs/>
          <w:color w:val="000000"/>
          <w:sz w:val="20"/>
          <w:szCs w:val="20"/>
        </w:rPr>
        <w:lastRenderedPageBreak/>
        <w:t xml:space="preserve">Spergel, B. And M. Wells.  2009.  </w:t>
      </w:r>
      <w:r w:rsidRPr="00BA0AFE">
        <w:rPr>
          <w:rFonts w:ascii="Book Antiqua" w:hAnsi="Book Antiqua" w:cs="MyriadPro-BoldCond"/>
          <w:bCs/>
          <w:color w:val="000000"/>
          <w:sz w:val="20"/>
          <w:szCs w:val="20"/>
          <w:lang w:val="en-US"/>
        </w:rPr>
        <w:t>Conservation trust funds as a model for REDD+ national financing.  Chapter 6</w:t>
      </w:r>
      <w:r>
        <w:rPr>
          <w:rFonts w:ascii="Book Antiqua" w:hAnsi="Book Antiqua" w:cs="MyriadPro-BoldCond"/>
          <w:bCs/>
          <w:color w:val="000000"/>
          <w:sz w:val="20"/>
          <w:szCs w:val="20"/>
          <w:lang w:val="en-US"/>
        </w:rPr>
        <w:t xml:space="preserve"> (Pages 75-84)</w:t>
      </w:r>
      <w:r w:rsidRPr="00BA0AFE">
        <w:rPr>
          <w:rFonts w:ascii="Book Antiqua" w:hAnsi="Book Antiqua" w:cs="MyriadPro-BoldCond"/>
          <w:bCs/>
          <w:color w:val="000000"/>
          <w:sz w:val="20"/>
          <w:szCs w:val="20"/>
          <w:lang w:val="en-US"/>
        </w:rPr>
        <w:t xml:space="preserve"> </w:t>
      </w:r>
      <w:r w:rsidRPr="00BA0AFE">
        <w:rPr>
          <w:rFonts w:ascii="Book Antiqua" w:hAnsi="Book Antiqua" w:cs="MyriadPro-BoldCond"/>
          <w:bCs/>
          <w:i/>
          <w:color w:val="000000"/>
          <w:sz w:val="20"/>
          <w:szCs w:val="20"/>
          <w:lang w:val="en-US"/>
        </w:rPr>
        <w:t>In</w:t>
      </w:r>
      <w:r w:rsidRPr="00BA0AFE">
        <w:rPr>
          <w:rFonts w:ascii="Book Antiqua" w:hAnsi="Book Antiqua" w:cs="MyriadPro-BoldCond"/>
          <w:bCs/>
          <w:color w:val="000000"/>
          <w:sz w:val="20"/>
          <w:szCs w:val="20"/>
          <w:lang w:val="en-US"/>
        </w:rPr>
        <w:t xml:space="preserve">: </w:t>
      </w:r>
      <w:r>
        <w:rPr>
          <w:rFonts w:ascii="Book Antiqua" w:hAnsi="Book Antiqua" w:cs="MyriadPro-BoldCond"/>
          <w:bCs/>
          <w:color w:val="000000"/>
          <w:sz w:val="20"/>
          <w:szCs w:val="20"/>
          <w:lang w:val="en-US"/>
        </w:rPr>
        <w:t xml:space="preserve">A. Angelsen (ed.).  </w:t>
      </w:r>
      <w:r w:rsidRPr="00BA0AFE">
        <w:rPr>
          <w:rFonts w:ascii="Book Antiqua" w:hAnsi="Book Antiqua" w:cs="MyriadPro-Regular"/>
          <w:sz w:val="20"/>
          <w:szCs w:val="20"/>
          <w:lang w:val="en-US"/>
        </w:rPr>
        <w:t>Building REDD+ institutional architecture and processes</w:t>
      </w:r>
      <w:r>
        <w:rPr>
          <w:rFonts w:ascii="Book Antiqua" w:hAnsi="Book Antiqua" w:cs="MyriadPro-Regular"/>
          <w:sz w:val="20"/>
          <w:szCs w:val="20"/>
          <w:lang w:val="en-US"/>
        </w:rPr>
        <w:t>.  Center for International Forestry Research.</w:t>
      </w:r>
    </w:p>
    <w:p w:rsidR="00BA0AFE" w:rsidRDefault="00BA0AFE" w:rsidP="00BA0AFE">
      <w:pPr>
        <w:spacing w:after="0" w:line="240" w:lineRule="auto"/>
        <w:ind w:left="270" w:hanging="270"/>
        <w:contextualSpacing/>
        <w:jc w:val="both"/>
        <w:rPr>
          <w:rFonts w:ascii="Book Antiqua" w:eastAsia="Times New Roman" w:hAnsi="Book Antiqua" w:cs="Arial"/>
          <w:bCs/>
          <w:sz w:val="20"/>
          <w:szCs w:val="20"/>
        </w:rPr>
      </w:pPr>
    </w:p>
    <w:p w:rsidR="00E8255B" w:rsidRPr="007223AA" w:rsidRDefault="00E8255B" w:rsidP="00E8255B">
      <w:pPr>
        <w:autoSpaceDE w:val="0"/>
        <w:autoSpaceDN w:val="0"/>
        <w:adjustRightInd w:val="0"/>
        <w:spacing w:after="0" w:line="240" w:lineRule="atLeast"/>
        <w:ind w:left="270" w:hanging="270"/>
        <w:contextualSpacing/>
        <w:jc w:val="both"/>
        <w:rPr>
          <w:rFonts w:ascii="Book Antiqua" w:hAnsi="Book Antiqua" w:cs="Arial"/>
          <w:sz w:val="20"/>
          <w:szCs w:val="20"/>
        </w:rPr>
      </w:pPr>
      <w:r w:rsidRPr="007223AA">
        <w:rPr>
          <w:rFonts w:ascii="Book Antiqua" w:hAnsi="Book Antiqua" w:cs="Arial"/>
          <w:sz w:val="20"/>
          <w:szCs w:val="20"/>
        </w:rPr>
        <w:t xml:space="preserve">Standing Committee of National Assembly. Bao cao giam sat viec trien khai thuc hien nghi quyet cua quoc hoi ve du an trong moi 5 trieu ha rung (Monitoring Report on Implementation of National Assembly's Determination to Reforest 5 million ha.  2006. Hanoi. </w:t>
      </w:r>
    </w:p>
    <w:p w:rsidR="00E8255B" w:rsidRPr="007223AA" w:rsidRDefault="00E8255B" w:rsidP="00E8255B">
      <w:pPr>
        <w:spacing w:after="0" w:line="240" w:lineRule="atLeast"/>
        <w:ind w:left="270" w:hanging="270"/>
        <w:contextualSpacing/>
        <w:jc w:val="both"/>
        <w:rPr>
          <w:rFonts w:ascii="Book Antiqua" w:eastAsia="Times New Roman" w:hAnsi="Book Antiqua" w:cs="Arial"/>
          <w:bCs/>
          <w:sz w:val="20"/>
          <w:szCs w:val="20"/>
        </w:rPr>
      </w:pPr>
    </w:p>
    <w:p w:rsidR="00351F2C" w:rsidRPr="007223AA" w:rsidRDefault="00351F2C" w:rsidP="00BA0AFE">
      <w:pPr>
        <w:spacing w:after="0" w:line="240" w:lineRule="auto"/>
        <w:ind w:left="270" w:hanging="270"/>
        <w:contextualSpacing/>
        <w:jc w:val="both"/>
        <w:rPr>
          <w:rFonts w:ascii="Book Antiqua" w:eastAsia="Times New Roman" w:hAnsi="Book Antiqua" w:cs="Arial"/>
          <w:bCs/>
          <w:sz w:val="20"/>
          <w:szCs w:val="20"/>
        </w:rPr>
      </w:pPr>
      <w:r w:rsidRPr="007223AA">
        <w:rPr>
          <w:rFonts w:ascii="Book Antiqua" w:eastAsia="Times New Roman" w:hAnsi="Book Antiqua" w:cs="Arial"/>
          <w:bCs/>
          <w:sz w:val="20"/>
          <w:szCs w:val="20"/>
        </w:rPr>
        <w:t xml:space="preserve">Stern, N. </w:t>
      </w:r>
      <w:r w:rsidR="006730F6" w:rsidRPr="007223AA">
        <w:rPr>
          <w:rFonts w:ascii="Book Antiqua" w:eastAsia="Times New Roman" w:hAnsi="Book Antiqua" w:cs="Arial"/>
          <w:bCs/>
          <w:sz w:val="20"/>
          <w:szCs w:val="20"/>
        </w:rPr>
        <w:t>200</w:t>
      </w:r>
      <w:r w:rsidR="006730F6">
        <w:rPr>
          <w:rFonts w:ascii="Book Antiqua" w:eastAsia="Times New Roman" w:hAnsi="Book Antiqua" w:cs="Arial"/>
          <w:bCs/>
          <w:sz w:val="20"/>
          <w:szCs w:val="20"/>
        </w:rPr>
        <w:t>6</w:t>
      </w:r>
      <w:r w:rsidRPr="007223AA">
        <w:rPr>
          <w:rFonts w:ascii="Book Antiqua" w:eastAsia="Times New Roman" w:hAnsi="Book Antiqua" w:cs="Arial"/>
          <w:bCs/>
          <w:sz w:val="20"/>
          <w:szCs w:val="20"/>
        </w:rPr>
        <w:t>. The Economics of Climate Change: The Stern Review. Cambridge University Press, Cambridge</w:t>
      </w:r>
    </w:p>
    <w:p w:rsidR="00351F2C" w:rsidRPr="007223AA" w:rsidRDefault="00351F2C" w:rsidP="00BA0AFE">
      <w:pPr>
        <w:spacing w:after="0" w:line="240" w:lineRule="auto"/>
        <w:ind w:left="270" w:hanging="270"/>
        <w:contextualSpacing/>
        <w:jc w:val="both"/>
        <w:rPr>
          <w:rFonts w:ascii="Book Antiqua" w:eastAsia="Times New Roman" w:hAnsi="Book Antiqua" w:cs="Arial"/>
          <w:bCs/>
          <w:sz w:val="20"/>
          <w:szCs w:val="20"/>
        </w:rPr>
      </w:pPr>
    </w:p>
    <w:p w:rsidR="00351F2C" w:rsidRPr="007223AA" w:rsidRDefault="00351F2C" w:rsidP="00BA0AFE">
      <w:pPr>
        <w:spacing w:after="0" w:line="240" w:lineRule="auto"/>
        <w:ind w:left="270" w:hanging="270"/>
        <w:contextualSpacing/>
        <w:jc w:val="both"/>
        <w:rPr>
          <w:rFonts w:ascii="Book Antiqua" w:hAnsi="Book Antiqua" w:cs="Arial"/>
          <w:sz w:val="20"/>
          <w:szCs w:val="20"/>
        </w:rPr>
      </w:pPr>
      <w:r w:rsidRPr="007223AA">
        <w:rPr>
          <w:rFonts w:ascii="Book Antiqua" w:hAnsi="Book Antiqua" w:cs="Arial"/>
          <w:sz w:val="20"/>
          <w:szCs w:val="20"/>
          <w:lang w:val="en-US"/>
        </w:rPr>
        <w:t xml:space="preserve">To, X.P. 2007. </w:t>
      </w:r>
      <w:smartTag w:uri="urn:schemas-microsoft-com:office:smarttags" w:element="place">
        <w:r w:rsidRPr="007223AA">
          <w:rPr>
            <w:rFonts w:ascii="Book Antiqua" w:hAnsi="Book Antiqua" w:cs="Arial"/>
            <w:i/>
            <w:iCs/>
            <w:sz w:val="20"/>
            <w:szCs w:val="20"/>
            <w:lang w:val="en-US"/>
          </w:rPr>
          <w:t>Forest</w:t>
        </w:r>
      </w:smartTag>
      <w:r w:rsidRPr="007223AA">
        <w:rPr>
          <w:rFonts w:ascii="Book Antiqua" w:hAnsi="Book Antiqua" w:cs="Arial"/>
          <w:i/>
          <w:iCs/>
          <w:sz w:val="20"/>
          <w:szCs w:val="20"/>
          <w:lang w:val="en-US"/>
        </w:rPr>
        <w:t xml:space="preserve"> Property in the </w:t>
      </w:r>
      <w:r w:rsidR="00480D3D">
        <w:rPr>
          <w:rFonts w:ascii="Book Antiqua" w:hAnsi="Book Antiqua" w:cs="Arial"/>
          <w:i/>
          <w:iCs/>
          <w:sz w:val="20"/>
          <w:szCs w:val="20"/>
          <w:lang w:val="en-US"/>
        </w:rPr>
        <w:t>Vietnamese</w:t>
      </w:r>
      <w:r w:rsidRPr="007223AA">
        <w:rPr>
          <w:rFonts w:ascii="Book Antiqua" w:hAnsi="Book Antiqua" w:cs="Arial"/>
          <w:i/>
          <w:iCs/>
          <w:sz w:val="20"/>
          <w:szCs w:val="20"/>
          <w:lang w:val="en-US"/>
        </w:rPr>
        <w:t xml:space="preserve"> Uplands: An ethnography of forest relations in three Dao villages</w:t>
      </w:r>
      <w:r w:rsidRPr="007223AA">
        <w:rPr>
          <w:rFonts w:ascii="Book Antiqua" w:hAnsi="Book Antiqua" w:cs="Arial"/>
          <w:sz w:val="20"/>
          <w:szCs w:val="20"/>
          <w:lang w:val="en-US"/>
        </w:rPr>
        <w:t xml:space="preserve">. Berlin and London: LIT Verlag/Transaction Publishers. 2009. </w:t>
      </w:r>
    </w:p>
    <w:p w:rsidR="00351F2C" w:rsidRPr="007223AA" w:rsidRDefault="00351F2C" w:rsidP="00BA0AFE">
      <w:pPr>
        <w:spacing w:after="0" w:line="240" w:lineRule="auto"/>
        <w:ind w:left="270" w:hanging="270"/>
        <w:contextualSpacing/>
        <w:jc w:val="both"/>
        <w:rPr>
          <w:rFonts w:ascii="Book Antiqua" w:hAnsi="Book Antiqua" w:cs="Arial"/>
          <w:sz w:val="20"/>
          <w:szCs w:val="20"/>
          <w:lang w:val="en-US"/>
        </w:rPr>
      </w:pPr>
    </w:p>
    <w:p w:rsidR="00351F2C" w:rsidRPr="007223AA" w:rsidRDefault="00351F2C" w:rsidP="00BA0AFE">
      <w:pPr>
        <w:spacing w:after="0" w:line="240" w:lineRule="auto"/>
        <w:ind w:left="270" w:hanging="270"/>
        <w:contextualSpacing/>
        <w:jc w:val="both"/>
        <w:rPr>
          <w:rFonts w:ascii="Book Antiqua" w:hAnsi="Book Antiqua" w:cs="Arial"/>
          <w:sz w:val="20"/>
          <w:szCs w:val="20"/>
        </w:rPr>
      </w:pPr>
      <w:r w:rsidRPr="007223AA">
        <w:rPr>
          <w:rFonts w:ascii="Book Antiqua" w:hAnsi="Book Antiqua" w:cs="Arial"/>
          <w:sz w:val="20"/>
          <w:szCs w:val="20"/>
          <w:lang w:val="en-US"/>
        </w:rPr>
        <w:t xml:space="preserve">To, X.P. 2009. Why did the forest conservation policy fail in the </w:t>
      </w:r>
      <w:r w:rsidR="00480D3D">
        <w:rPr>
          <w:rFonts w:ascii="Book Antiqua" w:hAnsi="Book Antiqua" w:cs="Arial"/>
          <w:sz w:val="20"/>
          <w:szCs w:val="20"/>
          <w:lang w:val="en-US"/>
        </w:rPr>
        <w:t>Vietnamese</w:t>
      </w:r>
      <w:r w:rsidRPr="007223AA">
        <w:rPr>
          <w:rFonts w:ascii="Book Antiqua" w:hAnsi="Book Antiqua" w:cs="Arial"/>
          <w:sz w:val="20"/>
          <w:szCs w:val="20"/>
          <w:lang w:val="en-US"/>
        </w:rPr>
        <w:t xml:space="preserve"> uplands? </w:t>
      </w:r>
      <w:smartTag w:uri="urn:schemas-microsoft-com:office:smarttags" w:element="place">
        <w:r w:rsidRPr="007223AA">
          <w:rPr>
            <w:rFonts w:ascii="Book Antiqua" w:hAnsi="Book Antiqua" w:cs="Arial"/>
            <w:sz w:val="20"/>
            <w:szCs w:val="20"/>
            <w:lang w:val="en-US"/>
          </w:rPr>
          <w:t>Forest</w:t>
        </w:r>
      </w:smartTag>
      <w:r w:rsidRPr="007223AA">
        <w:rPr>
          <w:rFonts w:ascii="Book Antiqua" w:hAnsi="Book Antiqua" w:cs="Arial"/>
          <w:sz w:val="20"/>
          <w:szCs w:val="20"/>
          <w:lang w:val="en-US"/>
        </w:rPr>
        <w:t xml:space="preserve"> conflicts in Ba Vi national park in Northern region. </w:t>
      </w:r>
      <w:r w:rsidRPr="007223AA">
        <w:rPr>
          <w:rFonts w:ascii="Book Antiqua" w:hAnsi="Book Antiqua" w:cs="Arial"/>
          <w:i/>
          <w:iCs/>
          <w:sz w:val="20"/>
          <w:szCs w:val="20"/>
          <w:lang w:val="en-US"/>
        </w:rPr>
        <w:t>International Journal for Environmental Studies</w:t>
      </w:r>
      <w:r w:rsidRPr="007223AA">
        <w:rPr>
          <w:rFonts w:ascii="Book Antiqua" w:hAnsi="Book Antiqua" w:cs="Arial"/>
          <w:sz w:val="20"/>
          <w:szCs w:val="20"/>
          <w:lang w:val="en-US"/>
        </w:rPr>
        <w:t xml:space="preserve"> 66(1): 59-68</w:t>
      </w:r>
    </w:p>
    <w:p w:rsidR="00351F2C" w:rsidRPr="007223AA" w:rsidRDefault="00351F2C" w:rsidP="007D7495">
      <w:pPr>
        <w:autoSpaceDE w:val="0"/>
        <w:autoSpaceDN w:val="0"/>
        <w:adjustRightInd w:val="0"/>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Trust Fund for Forests. TFF 2008 Annual and First Phase Report: 2004-2008.  2008. Hanoi, </w:t>
      </w:r>
      <w:r w:rsidR="00480D3D">
        <w:rPr>
          <w:rFonts w:ascii="Book Antiqua" w:hAnsi="Book Antiqua" w:cs="Arial"/>
          <w:sz w:val="20"/>
          <w:szCs w:val="20"/>
        </w:rPr>
        <w:t>Viet Nam</w:t>
      </w:r>
      <w:r w:rsidRPr="007223AA">
        <w:rPr>
          <w:rFonts w:ascii="Book Antiqua" w:hAnsi="Book Antiqua" w:cs="Arial"/>
          <w:sz w:val="20"/>
          <w:szCs w:val="20"/>
        </w:rPr>
        <w:t xml:space="preserve">, Ministry of Agriculture and Rural Development (MARD). </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tabs>
          <w:tab w:val="left" w:pos="4962"/>
        </w:tabs>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UNFCCC.  2007.  Decision CP/13: The Bali Action Plan.  </w:t>
      </w:r>
      <w:hyperlink r:id="rId35" w:history="1">
        <w:r w:rsidRPr="007223AA">
          <w:rPr>
            <w:rStyle w:val="Hyperlink"/>
            <w:rFonts w:ascii="Book Antiqua" w:hAnsi="Book Antiqua" w:cs="Arial"/>
            <w:sz w:val="20"/>
            <w:szCs w:val="20"/>
          </w:rPr>
          <w:t>http://unfccc.int/files/meetings/cop_13/application/pdf/cp_bali_action.pdf</w:t>
        </w:r>
      </w:hyperlink>
      <w:r w:rsidRPr="007223AA">
        <w:rPr>
          <w:rFonts w:ascii="Book Antiqua" w:hAnsi="Book Antiqua" w:cs="Arial"/>
          <w:sz w:val="20"/>
          <w:szCs w:val="20"/>
        </w:rPr>
        <w:t xml:space="preserve"> </w:t>
      </w:r>
      <w:r w:rsidRPr="007223AA">
        <w:rPr>
          <w:rFonts w:ascii="Book Antiqua" w:hAnsi="Book Antiqua" w:cs="Arial"/>
          <w:color w:val="000000"/>
          <w:sz w:val="20"/>
          <w:szCs w:val="20"/>
        </w:rPr>
        <w:t>(accessed Oct. 18, 2009)</w:t>
      </w:r>
    </w:p>
    <w:p w:rsidR="00351F2C" w:rsidRPr="007223AA" w:rsidRDefault="00351F2C" w:rsidP="007D7495">
      <w:pPr>
        <w:tabs>
          <w:tab w:val="left" w:pos="4962"/>
        </w:tabs>
        <w:spacing w:after="0" w:line="240" w:lineRule="atLeast"/>
        <w:ind w:left="270" w:hanging="270"/>
        <w:contextualSpacing/>
        <w:rPr>
          <w:rFonts w:ascii="Book Antiqua" w:hAnsi="Book Antiqua" w:cs="Arial"/>
          <w:color w:val="000000"/>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 xml:space="preserve">UNFCCC. 2009. Cost of implementing methodologies and monitoring systems relating to estimates of emissions from deforestation and forest degradation, the assessment of carbon stocks and greenhouse gas emissions from changes in forest cover, and the enhancement of forest carbon stocks. Technical paper FCCC/TP/2009/1, United Nations Framework Convention on Climate Change (UNFCCC), </w:t>
      </w:r>
      <w:smartTag w:uri="urn:schemas-microsoft-com:office:smarttags" w:element="place">
        <w:smartTag w:uri="urn:schemas-microsoft-com:office:smarttags" w:element="City">
          <w:r w:rsidRPr="007223AA">
            <w:rPr>
              <w:rFonts w:ascii="Book Antiqua" w:eastAsia="Times New Roman" w:hAnsi="Book Antiqua" w:cs="Arial"/>
              <w:bCs/>
              <w:sz w:val="20"/>
              <w:szCs w:val="20"/>
            </w:rPr>
            <w:t>Bonn</w:t>
          </w:r>
        </w:smartTag>
      </w:smartTag>
      <w:r w:rsidRPr="007223AA">
        <w:rPr>
          <w:rFonts w:ascii="Book Antiqua" w:eastAsia="Times New Roman" w:hAnsi="Book Antiqua" w:cs="Arial"/>
          <w:bCs/>
          <w:sz w:val="20"/>
          <w:szCs w:val="20"/>
        </w:rPr>
        <w:t>.</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tabs>
          <w:tab w:val="left" w:pos="4962"/>
        </w:tabs>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UN-REDD.  2009.  The Viet Nam UN-REDD Programme.  </w:t>
      </w:r>
      <w:hyperlink r:id="rId36" w:history="1">
        <w:r w:rsidRPr="007223AA">
          <w:rPr>
            <w:rStyle w:val="Hyperlink"/>
            <w:rFonts w:ascii="Book Antiqua" w:hAnsi="Book Antiqua" w:cs="Arial"/>
            <w:sz w:val="20"/>
            <w:szCs w:val="20"/>
          </w:rPr>
          <w:t>http://www.un-redd.org/UNREDDProgramme/CountryActions/tabid/584/language/en-US/Default.aspx</w:t>
        </w:r>
      </w:hyperlink>
      <w:r w:rsidRPr="007223AA">
        <w:rPr>
          <w:rFonts w:ascii="Book Antiqua" w:hAnsi="Book Antiqua" w:cs="Arial"/>
          <w:sz w:val="20"/>
          <w:szCs w:val="20"/>
        </w:rPr>
        <w:t xml:space="preserve">  </w:t>
      </w:r>
      <w:r w:rsidRPr="007223AA">
        <w:rPr>
          <w:rFonts w:ascii="Book Antiqua" w:hAnsi="Book Antiqua" w:cs="Arial"/>
          <w:color w:val="000000"/>
          <w:sz w:val="20"/>
          <w:szCs w:val="20"/>
        </w:rPr>
        <w:t>(accessed Oct. 18, 2009)</w:t>
      </w:r>
    </w:p>
    <w:p w:rsidR="00351F2C" w:rsidRPr="007223AA" w:rsidRDefault="00351F2C" w:rsidP="007D7495">
      <w:pPr>
        <w:tabs>
          <w:tab w:val="left" w:pos="4962"/>
        </w:tabs>
        <w:spacing w:after="0" w:line="240" w:lineRule="atLeast"/>
        <w:ind w:left="270" w:hanging="270"/>
        <w:contextualSpacing/>
        <w:rPr>
          <w:rFonts w:ascii="Book Antiqua" w:hAnsi="Book Antiqua" w:cs="Arial"/>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van der Poel, P. 2007. Towards A Program-based Approach in the Forest Sector in </w:t>
      </w:r>
      <w:smartTag w:uri="urn:schemas-microsoft-com:office:smarttags" w:element="place">
        <w:smartTag w:uri="urn:schemas-microsoft-com:office:smarttags" w:element="country-region">
          <w:r w:rsidR="00480D3D">
            <w:rPr>
              <w:rFonts w:ascii="Book Antiqua" w:hAnsi="Book Antiqua" w:cs="Arial"/>
              <w:sz w:val="20"/>
              <w:szCs w:val="20"/>
            </w:rPr>
            <w:t>Viet Nam</w:t>
          </w:r>
        </w:smartTag>
      </w:smartTag>
      <w:r w:rsidRPr="007223AA">
        <w:rPr>
          <w:rFonts w:ascii="Book Antiqua" w:hAnsi="Book Antiqua" w:cs="Arial"/>
          <w:sz w:val="20"/>
          <w:szCs w:val="20"/>
        </w:rPr>
        <w:t>? Study to provide a basis for revising Program 661 and preparing an ODA financing modality for a revised program, taking into account experiences and results from KfW co-financed forest projects. Report prepared by GFA Consulting for Kreditanstalt für Wiederaufbau (KfW) and Ministry of Agriculture and Rural Development, Hanoi.</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van Noordwijk, M., Purnomo, H., Peskett L. and B. Setiono. 2008. Reducing emissions from deforestation and forest degradation (REDD) in Indonesia: options and challenges for fair and efficient payment distribution mechanisms. Working paper 81, World Agroforestry Centre (ICRAF), </w:t>
      </w:r>
      <w:smartTag w:uri="urn:schemas-microsoft-com:office:smarttags" w:element="place">
        <w:smartTag w:uri="urn:schemas-microsoft-com:office:smarttags" w:element="City">
          <w:r w:rsidRPr="007223AA">
            <w:rPr>
              <w:rFonts w:ascii="Book Antiqua" w:hAnsi="Book Antiqua" w:cs="Arial"/>
              <w:sz w:val="20"/>
              <w:szCs w:val="20"/>
            </w:rPr>
            <w:t>Bogor</w:t>
          </w:r>
        </w:smartTag>
      </w:smartTag>
      <w:r w:rsidRPr="007223AA">
        <w:rPr>
          <w:rFonts w:ascii="Book Antiqua" w:hAnsi="Book Antiqua" w:cs="Arial"/>
          <w:sz w:val="20"/>
          <w:szCs w:val="20"/>
        </w:rPr>
        <w:t>.</w:t>
      </w:r>
    </w:p>
    <w:p w:rsidR="00351F2C" w:rsidRPr="007223AA" w:rsidRDefault="00351F2C" w:rsidP="007D7495">
      <w:pPr>
        <w:spacing w:after="0" w:line="240" w:lineRule="atLeast"/>
        <w:ind w:left="270" w:hanging="270"/>
        <w:contextualSpacing/>
        <w:rPr>
          <w:rFonts w:ascii="Book Antiqua" w:hAnsi="Book Antiqua" w:cs="Arial"/>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 xml:space="preserve">Verchot, L. and E. Petkova. 2009. The State of REDD Negotiations: Consensus Points, Options for Moving Forward and Research Needs to Support the Process. Background document for the UN-REDD Programme-sponsored Support to Regional Groups, CIFOR, </w:t>
      </w:r>
      <w:smartTag w:uri="urn:schemas-microsoft-com:office:smarttags" w:element="place">
        <w:smartTag w:uri="urn:schemas-microsoft-com:office:smarttags" w:element="City">
          <w:r w:rsidRPr="007223AA">
            <w:rPr>
              <w:rFonts w:ascii="Book Antiqua" w:hAnsi="Book Antiqua" w:cs="Arial"/>
              <w:sz w:val="20"/>
              <w:szCs w:val="20"/>
            </w:rPr>
            <w:t>Bogor</w:t>
          </w:r>
        </w:smartTag>
      </w:smartTag>
      <w:r w:rsidRPr="007223AA">
        <w:rPr>
          <w:rFonts w:ascii="Book Antiqua" w:hAnsi="Book Antiqua" w:cs="Arial"/>
          <w:sz w:val="20"/>
          <w:szCs w:val="20"/>
        </w:rPr>
        <w:t>.</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hAnsi="Book Antiqua" w:cs="Arial"/>
          <w:sz w:val="20"/>
          <w:szCs w:val="20"/>
        </w:rPr>
        <w:t>Viana, Virgilio M. 2008. Bolsa Floresta (Forest Conservation Allowance): An innovative mechanism to promote health in traditional communities in the Amazon. Estudios Avancados 22(64): 143-153.</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Wertz-Kanounnikoff, S. 2008. Estimating the costs of reducing forest emissions: A review of methods. Working Paper No. 42, Centre for International Forestry Research (CIFOR), Bogor.</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lastRenderedPageBreak/>
        <w:t xml:space="preserve">Wertz-Kanounnikoff, S. and M. Kongphan-Apirak. 2008. Reducing forest emissions in </w:t>
      </w:r>
      <w:smartTag w:uri="urn:schemas-microsoft-com:office:smarttags" w:element="place">
        <w:r w:rsidRPr="007223AA">
          <w:rPr>
            <w:rFonts w:ascii="Book Antiqua" w:eastAsia="Times New Roman" w:hAnsi="Book Antiqua" w:cs="Arial"/>
            <w:bCs/>
            <w:sz w:val="20"/>
            <w:szCs w:val="20"/>
          </w:rPr>
          <w:t>Southeast Asia</w:t>
        </w:r>
      </w:smartTag>
      <w:r w:rsidRPr="007223AA">
        <w:rPr>
          <w:rFonts w:ascii="Book Antiqua" w:eastAsia="Times New Roman" w:hAnsi="Book Antiqua" w:cs="Arial"/>
          <w:bCs/>
          <w:sz w:val="20"/>
          <w:szCs w:val="20"/>
        </w:rPr>
        <w:t>:A review of drivers of land-use change and how payments for environmental services (PES) schemes can affect them. Working Paper No. 41, Centre for International Forestry Research (CIFOR), Bogor.</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autoSpaceDE w:val="0"/>
        <w:autoSpaceDN w:val="0"/>
        <w:adjustRightInd w:val="0"/>
        <w:spacing w:after="0" w:line="240" w:lineRule="atLeast"/>
        <w:ind w:left="270" w:hanging="270"/>
        <w:rPr>
          <w:rFonts w:ascii="Book Antiqua" w:hAnsi="Book Antiqua" w:cs="Arial"/>
          <w:sz w:val="20"/>
          <w:szCs w:val="20"/>
          <w:lang w:val="en-US"/>
        </w:rPr>
      </w:pPr>
      <w:r w:rsidRPr="007223AA">
        <w:rPr>
          <w:rFonts w:ascii="Book Antiqua" w:hAnsi="Book Antiqua" w:cs="Arial"/>
          <w:sz w:val="20"/>
          <w:szCs w:val="20"/>
          <w:lang w:val="en-US"/>
        </w:rPr>
        <w:t xml:space="preserve"> White, A. and Martin A.  2002. </w:t>
      </w:r>
      <w:r w:rsidRPr="007223AA">
        <w:rPr>
          <w:rFonts w:ascii="Book Antiqua" w:hAnsi="Book Antiqua" w:cs="Arial"/>
          <w:i/>
          <w:iCs/>
          <w:sz w:val="20"/>
          <w:szCs w:val="20"/>
          <w:lang w:val="en-US"/>
        </w:rPr>
        <w:t xml:space="preserve">Who Owns the World’s Forests? Forest Tenure and </w:t>
      </w:r>
      <w:smartTag w:uri="urn:schemas-microsoft-com:office:smarttags" w:element="place">
        <w:smartTag w:uri="urn:schemas-microsoft-com:office:smarttags" w:element="PlaceName">
          <w:r w:rsidRPr="007223AA">
            <w:rPr>
              <w:rFonts w:ascii="Book Antiqua" w:hAnsi="Book Antiqua" w:cs="Arial"/>
              <w:i/>
              <w:iCs/>
              <w:sz w:val="20"/>
              <w:szCs w:val="20"/>
              <w:lang w:val="en-US"/>
            </w:rPr>
            <w:t>Public</w:t>
          </w:r>
        </w:smartTag>
        <w:r w:rsidRPr="007223AA">
          <w:rPr>
            <w:rFonts w:ascii="Book Antiqua" w:hAnsi="Book Antiqua" w:cs="Arial"/>
            <w:i/>
            <w:iCs/>
            <w:sz w:val="20"/>
            <w:szCs w:val="20"/>
            <w:lang w:val="en-US"/>
          </w:rPr>
          <w:t xml:space="preserve"> </w:t>
        </w:r>
        <w:smartTag w:uri="urn:schemas-microsoft-com:office:smarttags" w:element="PlaceType">
          <w:r w:rsidRPr="007223AA">
            <w:rPr>
              <w:rFonts w:ascii="Book Antiqua" w:hAnsi="Book Antiqua" w:cs="Arial"/>
              <w:i/>
              <w:iCs/>
              <w:sz w:val="20"/>
              <w:szCs w:val="20"/>
              <w:lang w:val="en-US"/>
            </w:rPr>
            <w:t>Forests</w:t>
          </w:r>
        </w:smartTag>
      </w:smartTag>
      <w:r w:rsidRPr="007223AA">
        <w:rPr>
          <w:rFonts w:ascii="Book Antiqua" w:hAnsi="Book Antiqua" w:cs="Arial"/>
          <w:i/>
          <w:iCs/>
          <w:sz w:val="20"/>
          <w:szCs w:val="20"/>
          <w:lang w:val="en-US"/>
        </w:rPr>
        <w:t xml:space="preserve"> in Transition. </w:t>
      </w:r>
      <w:r w:rsidRPr="007223AA">
        <w:rPr>
          <w:rFonts w:ascii="Book Antiqua" w:hAnsi="Book Antiqua" w:cs="Arial"/>
          <w:sz w:val="20"/>
          <w:szCs w:val="20"/>
          <w:lang w:val="en-US"/>
        </w:rPr>
        <w:t>Washington, DC,</w:t>
      </w: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r w:rsidRPr="007223AA">
        <w:rPr>
          <w:rFonts w:ascii="Book Antiqua" w:hAnsi="Book Antiqua" w:cs="Arial"/>
          <w:sz w:val="20"/>
          <w:szCs w:val="20"/>
          <w:lang w:val="en-US"/>
        </w:rPr>
        <w:t xml:space="preserve">USA.Wode, Bjoern and Bao Huy. 2009. </w:t>
      </w:r>
      <w:r w:rsidR="00480D3D">
        <w:rPr>
          <w:rFonts w:ascii="Book Antiqua" w:hAnsi="Book Antiqua" w:cs="Arial"/>
          <w:sz w:val="20"/>
          <w:szCs w:val="20"/>
          <w:lang w:val="en-US"/>
        </w:rPr>
        <w:t>Viet Nam</w:t>
      </w:r>
      <w:r w:rsidRPr="007223AA">
        <w:rPr>
          <w:rFonts w:ascii="Book Antiqua" w:hAnsi="Book Antiqua" w:cs="Arial"/>
          <w:sz w:val="20"/>
          <w:szCs w:val="20"/>
          <w:lang w:val="en-US"/>
        </w:rPr>
        <w:t xml:space="preserve">: Study on State of the Art of Community Forestry in </w:t>
      </w:r>
      <w:r w:rsidR="00480D3D">
        <w:rPr>
          <w:rFonts w:ascii="Book Antiqua" w:hAnsi="Book Antiqua" w:cs="Arial"/>
          <w:sz w:val="20"/>
          <w:szCs w:val="20"/>
          <w:lang w:val="en-US"/>
        </w:rPr>
        <w:t>Viet Nam</w:t>
      </w:r>
      <w:r w:rsidRPr="007223AA">
        <w:rPr>
          <w:rFonts w:ascii="Book Antiqua" w:hAnsi="Book Antiqua" w:cs="Arial"/>
          <w:sz w:val="20"/>
          <w:szCs w:val="20"/>
          <w:lang w:val="en-US"/>
        </w:rPr>
        <w:t>. Hanoi.</w:t>
      </w: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r w:rsidRPr="007223AA">
        <w:rPr>
          <w:rFonts w:ascii="Book Antiqua" w:hAnsi="Book Antiqua" w:cs="Arial"/>
          <w:sz w:val="20"/>
          <w:szCs w:val="20"/>
          <w:lang w:val="en-US"/>
        </w:rPr>
        <w:t>Wunder, S. and M Alban. 2008. Decentralized payments for environmental services: The cases of Pimampiro and PROFAFOR in Ecuador. Ecological Economics 65: 685-698.</w:t>
      </w:r>
    </w:p>
    <w:p w:rsidR="00351F2C" w:rsidRPr="007223AA" w:rsidRDefault="00351F2C" w:rsidP="007D7495">
      <w:pPr>
        <w:spacing w:after="0" w:line="240" w:lineRule="atLeast"/>
        <w:ind w:left="270" w:hanging="270"/>
        <w:contextualSpacing/>
        <w:rPr>
          <w:rFonts w:ascii="Book Antiqua" w:hAnsi="Book Antiqua" w:cs="Arial"/>
          <w:sz w:val="20"/>
          <w:szCs w:val="20"/>
          <w:lang w:val="en-US"/>
        </w:rPr>
      </w:pP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r w:rsidRPr="007223AA">
        <w:rPr>
          <w:rFonts w:ascii="Book Antiqua" w:eastAsia="Times New Roman" w:hAnsi="Book Antiqua" w:cs="Arial"/>
          <w:bCs/>
          <w:sz w:val="20"/>
          <w:szCs w:val="20"/>
        </w:rPr>
        <w:t xml:space="preserve">Wunder. S., Bui Dung The, and E. Ibarra. 2005. Payment is good, control is better: why payments for forest environmental services in </w:t>
      </w:r>
      <w:r w:rsidR="00480D3D">
        <w:rPr>
          <w:rFonts w:ascii="Book Antiqua" w:eastAsia="Times New Roman" w:hAnsi="Book Antiqua" w:cs="Arial"/>
          <w:bCs/>
          <w:sz w:val="20"/>
          <w:szCs w:val="20"/>
        </w:rPr>
        <w:t>Viet Nam</w:t>
      </w:r>
      <w:r w:rsidRPr="007223AA">
        <w:rPr>
          <w:rFonts w:ascii="Book Antiqua" w:eastAsia="Times New Roman" w:hAnsi="Book Antiqua" w:cs="Arial"/>
          <w:bCs/>
          <w:sz w:val="20"/>
          <w:szCs w:val="20"/>
        </w:rPr>
        <w:t xml:space="preserve"> have so far remained incipient. Centre for International Forestry Research (CIFOR), Bogor.</w:t>
      </w:r>
    </w:p>
    <w:p w:rsidR="00351F2C" w:rsidRPr="007223AA" w:rsidRDefault="00351F2C" w:rsidP="007D7495">
      <w:pPr>
        <w:spacing w:after="0" w:line="240" w:lineRule="atLeast"/>
        <w:ind w:left="270" w:hanging="270"/>
        <w:contextualSpacing/>
        <w:rPr>
          <w:rFonts w:ascii="Book Antiqua" w:eastAsia="Times New Roman" w:hAnsi="Book Antiqua" w:cs="Arial"/>
          <w:bCs/>
          <w:sz w:val="20"/>
          <w:szCs w:val="20"/>
        </w:rPr>
      </w:pPr>
    </w:p>
    <w:p w:rsidR="00351F2C" w:rsidRPr="007223AA" w:rsidRDefault="00351F2C" w:rsidP="007D7495">
      <w:pPr>
        <w:spacing w:after="0" w:line="240" w:lineRule="atLeast"/>
        <w:ind w:left="270" w:hanging="270"/>
        <w:contextualSpacing/>
        <w:rPr>
          <w:rFonts w:ascii="Book Antiqua" w:hAnsi="Book Antiqua" w:cs="Arial"/>
          <w:sz w:val="20"/>
          <w:szCs w:val="20"/>
        </w:rPr>
      </w:pPr>
      <w:r w:rsidRPr="007223AA">
        <w:rPr>
          <w:rFonts w:ascii="Book Antiqua" w:eastAsia="Times New Roman" w:hAnsi="Book Antiqua" w:cs="Arial"/>
          <w:bCs/>
          <w:sz w:val="20"/>
          <w:szCs w:val="20"/>
        </w:rPr>
        <w:t>Zarin, D., Angelsen, A., Brown, S., Loisel, C., Peskett, L. and C. Streck. 2009. Reducing Emissions from Deforestation and Forest Degradation (REDD): An Options Assessment Report.</w:t>
      </w:r>
      <w:r w:rsidRPr="007223AA">
        <w:rPr>
          <w:rFonts w:ascii="Book Antiqua" w:hAnsi="Book Antiqua" w:cs="Arial"/>
          <w:sz w:val="20"/>
          <w:szCs w:val="20"/>
        </w:rPr>
        <w:t xml:space="preserve"> Meridian Institute, </w:t>
      </w:r>
      <w:smartTag w:uri="urn:schemas-microsoft-com:office:smarttags" w:element="place">
        <w:smartTag w:uri="urn:schemas-microsoft-com:office:smarttags" w:element="City">
          <w:r w:rsidRPr="007223AA">
            <w:rPr>
              <w:rFonts w:ascii="Book Antiqua" w:hAnsi="Book Antiqua" w:cs="Arial"/>
              <w:sz w:val="20"/>
              <w:szCs w:val="20"/>
            </w:rPr>
            <w:t>Washington</w:t>
          </w:r>
        </w:smartTag>
        <w:r w:rsidRPr="007223AA">
          <w:rPr>
            <w:rFonts w:ascii="Book Antiqua" w:hAnsi="Book Antiqua" w:cs="Arial"/>
            <w:sz w:val="20"/>
            <w:szCs w:val="20"/>
          </w:rPr>
          <w:t xml:space="preserve"> </w:t>
        </w:r>
        <w:smartTag w:uri="urn:schemas-microsoft-com:office:smarttags" w:element="State">
          <w:r w:rsidRPr="007223AA">
            <w:rPr>
              <w:rFonts w:ascii="Book Antiqua" w:hAnsi="Book Antiqua" w:cs="Arial"/>
              <w:sz w:val="20"/>
              <w:szCs w:val="20"/>
            </w:rPr>
            <w:t>DC</w:t>
          </w:r>
        </w:smartTag>
      </w:smartTag>
      <w:r w:rsidRPr="007223AA">
        <w:rPr>
          <w:rFonts w:ascii="Book Antiqua" w:hAnsi="Book Antiqua" w:cs="Arial"/>
          <w:sz w:val="20"/>
          <w:szCs w:val="20"/>
        </w:rPr>
        <w:t>.</w:t>
      </w:r>
    </w:p>
    <w:p w:rsidR="00351F2C" w:rsidRPr="007223AA" w:rsidRDefault="00351F2C" w:rsidP="007D7495">
      <w:pPr>
        <w:autoSpaceDE w:val="0"/>
        <w:autoSpaceDN w:val="0"/>
        <w:adjustRightInd w:val="0"/>
        <w:spacing w:after="0" w:line="240" w:lineRule="atLeast"/>
        <w:rPr>
          <w:rFonts w:ascii="Book Antiqua" w:hAnsi="Book Antiqua" w:cs="Arial"/>
          <w:color w:val="000000"/>
          <w:sz w:val="20"/>
          <w:szCs w:val="20"/>
          <w:lang w:val="en-US"/>
        </w:rPr>
      </w:pPr>
    </w:p>
    <w:p w:rsidR="00351F2C" w:rsidRPr="00445F77" w:rsidRDefault="00351F2C">
      <w:pPr>
        <w:spacing w:after="0" w:line="240" w:lineRule="auto"/>
        <w:rPr>
          <w:rFonts w:ascii="Arial" w:hAnsi="Arial" w:cs="Arial"/>
          <w:sz w:val="24"/>
          <w:szCs w:val="24"/>
          <w:lang w:val="en-US"/>
        </w:rPr>
      </w:pPr>
      <w:r w:rsidRPr="00445F77">
        <w:rPr>
          <w:rFonts w:ascii="Arial" w:hAnsi="Arial" w:cs="Arial"/>
          <w:sz w:val="24"/>
          <w:szCs w:val="24"/>
          <w:lang w:val="en-US"/>
        </w:rPr>
        <w:br w:type="page"/>
      </w:r>
    </w:p>
    <w:p w:rsidR="00351F2C" w:rsidRPr="00445F77" w:rsidRDefault="00351F2C" w:rsidP="002D0F33">
      <w:pPr>
        <w:pStyle w:val="Heading1"/>
      </w:pPr>
      <w:bookmarkStart w:id="544" w:name="_Toc252354767"/>
      <w:r w:rsidRPr="00445F77">
        <w:lastRenderedPageBreak/>
        <w:t>Annexes</w:t>
      </w:r>
      <w:bookmarkEnd w:id="544"/>
    </w:p>
    <w:p w:rsidR="00351F2C" w:rsidRPr="00445F77" w:rsidRDefault="00351F2C" w:rsidP="003B7440">
      <w:pPr>
        <w:spacing w:after="0" w:line="240" w:lineRule="auto"/>
        <w:contextualSpacing/>
        <w:jc w:val="both"/>
        <w:rPr>
          <w:rFonts w:ascii="Arial" w:hAnsi="Arial" w:cs="Arial"/>
          <w:sz w:val="24"/>
          <w:szCs w:val="24"/>
          <w:lang w:val="en-US"/>
        </w:rPr>
      </w:pPr>
    </w:p>
    <w:p w:rsidR="00351F2C" w:rsidRPr="00445F77" w:rsidRDefault="00351F2C" w:rsidP="002D0F33">
      <w:pPr>
        <w:pStyle w:val="Heading1"/>
      </w:pPr>
      <w:bookmarkStart w:id="545" w:name="_Toc244586258"/>
      <w:bookmarkStart w:id="546" w:name="_Toc249079613"/>
      <w:bookmarkStart w:id="547" w:name="_Toc249080147"/>
      <w:bookmarkStart w:id="548" w:name="_Toc252354768"/>
      <w:r w:rsidRPr="00445F77">
        <w:t>Annex 1: Contributors to the study</w:t>
      </w:r>
      <w:bookmarkEnd w:id="545"/>
      <w:bookmarkEnd w:id="546"/>
      <w:bookmarkEnd w:id="547"/>
      <w:bookmarkEnd w:id="548"/>
    </w:p>
    <w:p w:rsidR="00351F2C" w:rsidRPr="00445F77" w:rsidRDefault="00351F2C" w:rsidP="003B7440">
      <w:pPr>
        <w:spacing w:after="0" w:line="300" w:lineRule="atLeast"/>
        <w:contextualSpacing/>
        <w:jc w:val="both"/>
        <w:rPr>
          <w:rFonts w:ascii="Arial" w:hAnsi="Arial" w:cs="Arial"/>
          <w:color w:val="1F497D"/>
          <w:sz w:val="24"/>
          <w:szCs w:val="24"/>
        </w:rPr>
      </w:pPr>
    </w:p>
    <w:p w:rsidR="00351F2C" w:rsidRPr="007223AA" w:rsidRDefault="00351F2C" w:rsidP="00A256CB">
      <w:pPr>
        <w:spacing w:after="0" w:line="300" w:lineRule="exact"/>
        <w:contextualSpacing/>
        <w:jc w:val="both"/>
        <w:rPr>
          <w:rFonts w:ascii="Book Antiqua" w:hAnsi="Book Antiqua" w:cs="Arial"/>
          <w:color w:val="000000"/>
        </w:rPr>
      </w:pPr>
      <w:r w:rsidRPr="007223AA">
        <w:rPr>
          <w:rFonts w:ascii="Book Antiqua" w:hAnsi="Book Antiqua" w:cs="Arial"/>
          <w:b/>
          <w:color w:val="000000"/>
          <w:u w:val="single"/>
        </w:rPr>
        <w:t>Leaders</w:t>
      </w:r>
      <w:r w:rsidRPr="007223AA">
        <w:rPr>
          <w:rFonts w:ascii="Book Antiqua" w:hAnsi="Book Antiqua" w:cs="Arial"/>
          <w:color w:val="000000"/>
        </w:rPr>
        <w:t>:</w:t>
      </w:r>
    </w:p>
    <w:p w:rsidR="00351F2C" w:rsidRPr="007223AA" w:rsidRDefault="00351F2C" w:rsidP="00350EDD">
      <w:pPr>
        <w:tabs>
          <w:tab w:val="left" w:pos="1908"/>
          <w:tab w:val="left" w:pos="2880"/>
          <w:tab w:val="left" w:pos="6228"/>
        </w:tabs>
        <w:spacing w:after="0" w:line="300" w:lineRule="exact"/>
        <w:ind w:left="2880" w:hanging="2880"/>
        <w:contextualSpacing/>
        <w:rPr>
          <w:rFonts w:ascii="Book Antiqua" w:hAnsi="Book Antiqua" w:cs="Arial"/>
          <w:color w:val="000000"/>
        </w:rPr>
      </w:pPr>
      <w:r w:rsidRPr="007223AA">
        <w:rPr>
          <w:rFonts w:ascii="Book Antiqua" w:hAnsi="Book Antiqua" w:cs="Arial"/>
          <w:color w:val="000000"/>
        </w:rPr>
        <w:t xml:space="preserve">Overall Team Leader: </w:t>
      </w:r>
      <w:r w:rsidRPr="007223AA">
        <w:rPr>
          <w:rFonts w:ascii="Book Antiqua" w:hAnsi="Book Antiqua" w:cs="Arial"/>
          <w:color w:val="000000"/>
        </w:rPr>
        <w:tab/>
        <w:t>Pham Minh Thoa, Deputy Director General, Department of Forestry/National Programme Director, UN-REDD</w:t>
      </w:r>
    </w:p>
    <w:p w:rsidR="00351F2C" w:rsidRPr="007223AA" w:rsidRDefault="00351F2C" w:rsidP="00350EDD">
      <w:pPr>
        <w:tabs>
          <w:tab w:val="left" w:pos="1908"/>
          <w:tab w:val="left" w:pos="2880"/>
          <w:tab w:val="left" w:pos="6228"/>
        </w:tabs>
        <w:spacing w:after="0" w:line="300" w:lineRule="exact"/>
        <w:contextualSpacing/>
        <w:rPr>
          <w:rFonts w:ascii="Book Antiqua" w:hAnsi="Book Antiqua" w:cs="Arial"/>
          <w:color w:val="000000"/>
        </w:rPr>
      </w:pPr>
      <w:r w:rsidRPr="007223AA">
        <w:rPr>
          <w:rFonts w:ascii="Book Antiqua" w:hAnsi="Book Antiqua" w:cs="Arial"/>
          <w:color w:val="000000"/>
        </w:rPr>
        <w:t xml:space="preserve">Operational Team leader: </w:t>
      </w:r>
      <w:r w:rsidRPr="007223AA">
        <w:rPr>
          <w:rFonts w:ascii="Book Antiqua" w:hAnsi="Book Antiqua" w:cs="Arial"/>
          <w:color w:val="000000"/>
        </w:rPr>
        <w:tab/>
        <w:t>Pham Manh Cuong, REDD Focal Point, MARD/DoF</w:t>
      </w:r>
    </w:p>
    <w:p w:rsidR="00351F2C" w:rsidRPr="007223AA" w:rsidRDefault="00351F2C" w:rsidP="00A256CB">
      <w:pPr>
        <w:spacing w:after="0" w:line="300" w:lineRule="exact"/>
        <w:contextualSpacing/>
        <w:jc w:val="both"/>
        <w:rPr>
          <w:rFonts w:ascii="Book Antiqua" w:hAnsi="Book Antiqua" w:cs="Arial"/>
          <w:color w:val="000000"/>
        </w:rPr>
      </w:pPr>
    </w:p>
    <w:p w:rsidR="00351F2C" w:rsidRPr="007223AA" w:rsidRDefault="00351F2C" w:rsidP="00A256CB">
      <w:pPr>
        <w:spacing w:after="0" w:line="300" w:lineRule="exact"/>
        <w:contextualSpacing/>
        <w:jc w:val="both"/>
        <w:rPr>
          <w:rFonts w:ascii="Book Antiqua" w:hAnsi="Book Antiqua" w:cs="Arial"/>
          <w:color w:val="000000"/>
        </w:rPr>
      </w:pPr>
      <w:r w:rsidRPr="007223AA">
        <w:rPr>
          <w:rFonts w:ascii="Book Antiqua" w:hAnsi="Book Antiqua" w:cs="Arial"/>
          <w:b/>
          <w:color w:val="000000"/>
          <w:u w:val="single"/>
        </w:rPr>
        <w:t>Advisors</w:t>
      </w:r>
      <w:r w:rsidRPr="007223AA">
        <w:rPr>
          <w:rFonts w:ascii="Book Antiqua" w:hAnsi="Book Antiqua" w:cs="Arial"/>
          <w:color w:val="000000"/>
        </w:rPr>
        <w:t>:</w:t>
      </w:r>
    </w:p>
    <w:p w:rsidR="00351F2C" w:rsidRPr="007223AA" w:rsidRDefault="00351F2C" w:rsidP="00350EDD">
      <w:pPr>
        <w:tabs>
          <w:tab w:val="left" w:pos="2880"/>
        </w:tabs>
        <w:spacing w:after="0" w:line="300" w:lineRule="exact"/>
        <w:contextualSpacing/>
        <w:jc w:val="both"/>
        <w:rPr>
          <w:rFonts w:ascii="Book Antiqua" w:hAnsi="Book Antiqua" w:cs="Arial"/>
          <w:color w:val="000000"/>
        </w:rPr>
      </w:pPr>
      <w:r w:rsidRPr="007223AA">
        <w:rPr>
          <w:rFonts w:ascii="Book Antiqua" w:hAnsi="Book Antiqua" w:cs="Arial"/>
          <w:color w:val="000000"/>
        </w:rPr>
        <w:t xml:space="preserve">Nguyen Tuan Phu; </w:t>
      </w:r>
      <w:r w:rsidRPr="007223AA">
        <w:rPr>
          <w:rFonts w:ascii="Book Antiqua" w:hAnsi="Book Antiqua" w:cs="Arial"/>
          <w:color w:val="000000"/>
        </w:rPr>
        <w:tab/>
        <w:t>Office of Government, Director (Agriculture Dept.)</w:t>
      </w:r>
    </w:p>
    <w:p w:rsidR="00351F2C" w:rsidRPr="007223AA" w:rsidRDefault="00351F2C" w:rsidP="00350EDD">
      <w:pPr>
        <w:tabs>
          <w:tab w:val="left" w:pos="2880"/>
        </w:tabs>
        <w:spacing w:after="0" w:line="300" w:lineRule="exact"/>
        <w:contextualSpacing/>
        <w:jc w:val="both"/>
        <w:rPr>
          <w:rFonts w:ascii="Book Antiqua" w:hAnsi="Book Antiqua" w:cs="Arial"/>
          <w:color w:val="000000"/>
        </w:rPr>
      </w:pPr>
      <w:r w:rsidRPr="007223AA">
        <w:rPr>
          <w:rFonts w:ascii="Book Antiqua" w:hAnsi="Book Antiqua" w:cs="Arial"/>
          <w:color w:val="000000"/>
        </w:rPr>
        <w:t xml:space="preserve">Pham Xuan </w:t>
      </w:r>
      <w:r w:rsidRPr="007223AA">
        <w:rPr>
          <w:rStyle w:val="Emphasis"/>
          <w:rFonts w:ascii="Book Antiqua" w:hAnsi="Book Antiqua" w:cs="Arial"/>
          <w:b w:val="0"/>
          <w:color w:val="000000"/>
        </w:rPr>
        <w:t>Phuong</w:t>
      </w:r>
      <w:r w:rsidRPr="007223AA">
        <w:rPr>
          <w:rFonts w:ascii="Book Antiqua" w:hAnsi="Book Antiqua" w:cs="Arial"/>
          <w:color w:val="000000"/>
        </w:rPr>
        <w:t xml:space="preserve">; </w:t>
      </w:r>
      <w:r w:rsidRPr="007223AA">
        <w:rPr>
          <w:rFonts w:ascii="Book Antiqua" w:hAnsi="Book Antiqua" w:cs="Arial"/>
          <w:color w:val="000000"/>
        </w:rPr>
        <w:tab/>
        <w:t>MARD/Legal Department, Deputy Director General</w:t>
      </w:r>
    </w:p>
    <w:p w:rsidR="00351F2C" w:rsidRPr="007223AA" w:rsidRDefault="00351F2C" w:rsidP="00350EDD">
      <w:pPr>
        <w:tabs>
          <w:tab w:val="left" w:pos="2880"/>
        </w:tabs>
        <w:spacing w:after="0" w:line="300" w:lineRule="exact"/>
        <w:rPr>
          <w:rFonts w:ascii="Book Antiqua" w:hAnsi="Book Antiqua" w:cs="Arial"/>
          <w:color w:val="000000"/>
        </w:rPr>
      </w:pPr>
      <w:r w:rsidRPr="007223AA">
        <w:rPr>
          <w:rFonts w:ascii="Book Antiqua" w:hAnsi="Book Antiqua" w:cs="Arial"/>
          <w:color w:val="000000"/>
        </w:rPr>
        <w:t xml:space="preserve">Nguyen Thi Hoang Yen; </w:t>
      </w:r>
      <w:r w:rsidRPr="007223AA">
        <w:rPr>
          <w:rFonts w:ascii="Book Antiqua" w:hAnsi="Book Antiqua" w:cs="Arial"/>
          <w:color w:val="000000"/>
        </w:rPr>
        <w:tab/>
        <w:t>Expert, Legal Department, Ministry of Finance</w:t>
      </w:r>
    </w:p>
    <w:p w:rsidR="00351F2C" w:rsidRPr="007223AA" w:rsidRDefault="00351F2C" w:rsidP="00350EDD">
      <w:pPr>
        <w:tabs>
          <w:tab w:val="left" w:pos="2880"/>
        </w:tabs>
        <w:spacing w:after="0" w:line="300" w:lineRule="exact"/>
        <w:contextualSpacing/>
        <w:jc w:val="both"/>
        <w:rPr>
          <w:rFonts w:ascii="Book Antiqua" w:hAnsi="Book Antiqua" w:cs="Arial"/>
          <w:color w:val="000000"/>
        </w:rPr>
      </w:pPr>
      <w:r w:rsidRPr="007223AA">
        <w:rPr>
          <w:rFonts w:ascii="Book Antiqua" w:hAnsi="Book Antiqua" w:cs="Arial"/>
          <w:color w:val="000000"/>
        </w:rPr>
        <w:t xml:space="preserve">Helmut Dotzauer; </w:t>
      </w:r>
      <w:r w:rsidRPr="007223AA">
        <w:rPr>
          <w:rFonts w:ascii="Book Antiqua" w:hAnsi="Book Antiqua" w:cs="Arial"/>
          <w:color w:val="000000"/>
        </w:rPr>
        <w:tab/>
        <w:t>GTZ, Project Manager</w:t>
      </w:r>
    </w:p>
    <w:p w:rsidR="00351F2C" w:rsidRPr="007223AA" w:rsidRDefault="00351F2C" w:rsidP="00A256CB">
      <w:pPr>
        <w:tabs>
          <w:tab w:val="left" w:pos="2430"/>
        </w:tabs>
        <w:spacing w:after="0" w:line="300" w:lineRule="exact"/>
        <w:contextualSpacing/>
        <w:jc w:val="both"/>
        <w:rPr>
          <w:rFonts w:ascii="Book Antiqua" w:hAnsi="Book Antiqua" w:cs="Arial"/>
          <w:color w:val="000000"/>
        </w:rPr>
      </w:pPr>
    </w:p>
    <w:p w:rsidR="00351F2C" w:rsidRPr="007223AA" w:rsidRDefault="00351F2C" w:rsidP="00A256CB">
      <w:pPr>
        <w:tabs>
          <w:tab w:val="left" w:pos="2430"/>
        </w:tabs>
        <w:spacing w:after="0" w:line="300" w:lineRule="exact"/>
        <w:contextualSpacing/>
        <w:jc w:val="both"/>
        <w:rPr>
          <w:rFonts w:ascii="Book Antiqua" w:hAnsi="Book Antiqua" w:cs="Arial"/>
          <w:color w:val="000000"/>
        </w:rPr>
      </w:pPr>
      <w:r w:rsidRPr="007223AA">
        <w:rPr>
          <w:rFonts w:ascii="Book Antiqua" w:hAnsi="Book Antiqua" w:cs="Arial"/>
          <w:b/>
          <w:color w:val="000000"/>
          <w:u w:val="single"/>
        </w:rPr>
        <w:t>Technical Experts</w:t>
      </w:r>
      <w:r w:rsidRPr="007223AA">
        <w:rPr>
          <w:rFonts w:ascii="Book Antiqua" w:hAnsi="Book Antiqua" w:cs="Arial"/>
          <w:color w:val="000000"/>
        </w:rPr>
        <w:t>:</w:t>
      </w:r>
    </w:p>
    <w:p w:rsidR="00351F2C" w:rsidRPr="007223AA" w:rsidRDefault="00351F2C" w:rsidP="00350EDD">
      <w:pPr>
        <w:tabs>
          <w:tab w:val="left" w:pos="2880"/>
        </w:tabs>
        <w:spacing w:after="0" w:line="300" w:lineRule="exact"/>
        <w:contextualSpacing/>
        <w:jc w:val="both"/>
        <w:rPr>
          <w:rFonts w:ascii="Book Antiqua" w:hAnsi="Book Antiqua" w:cs="Arial"/>
          <w:color w:val="000000"/>
        </w:rPr>
      </w:pPr>
      <w:r w:rsidRPr="007223AA">
        <w:rPr>
          <w:rFonts w:ascii="Book Antiqua" w:hAnsi="Book Antiqua" w:cs="Arial"/>
          <w:color w:val="000000"/>
        </w:rPr>
        <w:t xml:space="preserve">Ly Thi Minh Hai; </w:t>
      </w:r>
      <w:r w:rsidRPr="007223AA">
        <w:rPr>
          <w:rFonts w:ascii="Book Antiqua" w:hAnsi="Book Antiqua" w:cs="Arial"/>
          <w:color w:val="000000"/>
        </w:rPr>
        <w:tab/>
        <w:t>IUCN, Environmental Law Coordinator</w:t>
      </w:r>
    </w:p>
    <w:p w:rsidR="00351F2C" w:rsidRPr="007223AA" w:rsidRDefault="00351F2C" w:rsidP="00350EDD">
      <w:pPr>
        <w:tabs>
          <w:tab w:val="left" w:pos="2880"/>
        </w:tabs>
        <w:spacing w:after="0" w:line="300" w:lineRule="exact"/>
        <w:contextualSpacing/>
        <w:jc w:val="both"/>
        <w:rPr>
          <w:rFonts w:ascii="Book Antiqua" w:hAnsi="Book Antiqua" w:cs="Arial"/>
          <w:color w:val="000000"/>
        </w:rPr>
      </w:pPr>
      <w:r w:rsidRPr="007223AA">
        <w:rPr>
          <w:rFonts w:ascii="Book Antiqua" w:hAnsi="Book Antiqua" w:cs="Arial"/>
          <w:color w:val="000000"/>
        </w:rPr>
        <w:t xml:space="preserve">To Xuan Phuc; </w:t>
      </w:r>
      <w:r w:rsidRPr="007223AA">
        <w:rPr>
          <w:rFonts w:ascii="Book Antiqua" w:hAnsi="Book Antiqua" w:cs="Arial"/>
          <w:color w:val="000000"/>
        </w:rPr>
        <w:tab/>
        <w:t xml:space="preserve">Forest Trends, </w:t>
      </w:r>
      <w:r w:rsidR="00CD3BF0">
        <w:rPr>
          <w:rFonts w:ascii="Book Antiqua" w:hAnsi="Book Antiqua" w:cs="Arial"/>
          <w:color w:val="000000"/>
        </w:rPr>
        <w:t>Southeast Asia Analyst</w:t>
      </w:r>
    </w:p>
    <w:p w:rsidR="00351F2C" w:rsidRPr="007223AA" w:rsidRDefault="00351F2C" w:rsidP="00350EDD">
      <w:pPr>
        <w:tabs>
          <w:tab w:val="left" w:pos="2880"/>
        </w:tabs>
        <w:spacing w:after="0" w:line="300" w:lineRule="exact"/>
        <w:contextualSpacing/>
        <w:jc w:val="both"/>
        <w:rPr>
          <w:rFonts w:ascii="Book Antiqua" w:hAnsi="Book Antiqua" w:cs="Arial"/>
          <w:color w:val="000000"/>
        </w:rPr>
      </w:pPr>
      <w:r w:rsidRPr="007223AA">
        <w:rPr>
          <w:rFonts w:ascii="Book Antiqua" w:hAnsi="Book Antiqua" w:cs="Arial"/>
          <w:color w:val="000000"/>
        </w:rPr>
        <w:t xml:space="preserve">Nguyen Quang </w:t>
      </w:r>
      <w:r w:rsidRPr="007223AA">
        <w:rPr>
          <w:rStyle w:val="Emphasis"/>
          <w:rFonts w:ascii="Book Antiqua" w:hAnsi="Book Antiqua" w:cs="Arial"/>
          <w:b w:val="0"/>
          <w:color w:val="000000"/>
        </w:rPr>
        <w:t>Tan</w:t>
      </w:r>
      <w:r w:rsidRPr="007223AA">
        <w:rPr>
          <w:rFonts w:ascii="Book Antiqua" w:hAnsi="Book Antiqua" w:cs="Arial"/>
          <w:color w:val="000000"/>
        </w:rPr>
        <w:t xml:space="preserve">; </w:t>
      </w:r>
      <w:r w:rsidRPr="007223AA">
        <w:rPr>
          <w:rFonts w:ascii="Book Antiqua" w:hAnsi="Book Antiqua" w:cs="Arial"/>
          <w:color w:val="000000"/>
        </w:rPr>
        <w:tab/>
        <w:t>RECOFTC, Associate</w:t>
      </w:r>
    </w:p>
    <w:p w:rsidR="00351F2C" w:rsidRPr="007223AA" w:rsidRDefault="00351F2C" w:rsidP="00350EDD">
      <w:pPr>
        <w:tabs>
          <w:tab w:val="left" w:pos="2880"/>
        </w:tabs>
        <w:spacing w:after="0" w:line="300" w:lineRule="exact"/>
        <w:ind w:left="2880" w:hanging="2880"/>
        <w:contextualSpacing/>
        <w:jc w:val="both"/>
        <w:rPr>
          <w:rFonts w:ascii="Book Antiqua" w:hAnsi="Book Antiqua" w:cs="Arial"/>
          <w:color w:val="000000"/>
        </w:rPr>
      </w:pPr>
      <w:r w:rsidRPr="007223AA">
        <w:rPr>
          <w:rFonts w:ascii="Book Antiqua" w:hAnsi="Book Antiqua" w:cs="Arial"/>
          <w:color w:val="000000"/>
        </w:rPr>
        <w:t xml:space="preserve">Thomas Sikor; </w:t>
      </w:r>
      <w:r w:rsidRPr="007223AA">
        <w:rPr>
          <w:rFonts w:ascii="Book Antiqua" w:hAnsi="Book Antiqua" w:cs="Arial"/>
          <w:color w:val="000000"/>
        </w:rPr>
        <w:tab/>
        <w:t>Univ. of East Anglia, Senior Lecturer in Development Studies</w:t>
      </w:r>
    </w:p>
    <w:p w:rsidR="00351F2C" w:rsidRPr="007223AA" w:rsidRDefault="00351F2C" w:rsidP="00350EDD">
      <w:pPr>
        <w:tabs>
          <w:tab w:val="left" w:pos="2880"/>
        </w:tabs>
        <w:spacing w:after="0" w:line="300" w:lineRule="exact"/>
        <w:contextualSpacing/>
        <w:jc w:val="both"/>
        <w:rPr>
          <w:rFonts w:ascii="Book Antiqua" w:hAnsi="Book Antiqua" w:cs="Arial"/>
          <w:color w:val="000000"/>
        </w:rPr>
      </w:pPr>
      <w:r w:rsidRPr="007223AA">
        <w:rPr>
          <w:rFonts w:ascii="Book Antiqua" w:hAnsi="Book Antiqua" w:cs="Arial"/>
          <w:color w:val="000000"/>
        </w:rPr>
        <w:t xml:space="preserve">Lucy Emerton; </w:t>
      </w:r>
      <w:r w:rsidRPr="007223AA">
        <w:rPr>
          <w:rFonts w:ascii="Book Antiqua" w:hAnsi="Book Antiqua" w:cs="Arial"/>
          <w:color w:val="000000"/>
        </w:rPr>
        <w:tab/>
        <w:t>Environmental Management Group, Chief Economist</w:t>
      </w:r>
    </w:p>
    <w:p w:rsidR="00351F2C" w:rsidRPr="007223AA" w:rsidRDefault="00351F2C" w:rsidP="00350EDD">
      <w:pPr>
        <w:tabs>
          <w:tab w:val="left" w:pos="2880"/>
        </w:tabs>
        <w:spacing w:after="0" w:line="300" w:lineRule="exact"/>
        <w:contextualSpacing/>
        <w:jc w:val="both"/>
        <w:rPr>
          <w:rFonts w:ascii="Book Antiqua" w:hAnsi="Book Antiqua" w:cs="Arial"/>
          <w:color w:val="000000"/>
        </w:rPr>
      </w:pPr>
      <w:r w:rsidRPr="007223AA">
        <w:rPr>
          <w:rFonts w:ascii="Book Antiqua" w:hAnsi="Book Antiqua" w:cs="Arial"/>
          <w:color w:val="000000"/>
        </w:rPr>
        <w:t xml:space="preserve">Patricia Parkinson; </w:t>
      </w:r>
      <w:r w:rsidRPr="007223AA">
        <w:rPr>
          <w:rFonts w:ascii="Book Antiqua" w:hAnsi="Book Antiqua" w:cs="Arial"/>
          <w:color w:val="000000"/>
        </w:rPr>
        <w:tab/>
        <w:t>IDLO, Associate Program Legal Counsel</w:t>
      </w:r>
    </w:p>
    <w:p w:rsidR="00351F2C" w:rsidRPr="007223AA" w:rsidRDefault="00351F2C" w:rsidP="00350EDD">
      <w:pPr>
        <w:tabs>
          <w:tab w:val="left" w:pos="2880"/>
        </w:tabs>
        <w:spacing w:after="0" w:line="300" w:lineRule="exact"/>
        <w:contextualSpacing/>
        <w:jc w:val="both"/>
        <w:rPr>
          <w:rFonts w:ascii="Book Antiqua" w:hAnsi="Book Antiqua" w:cs="Arial"/>
          <w:color w:val="000000"/>
        </w:rPr>
      </w:pPr>
    </w:p>
    <w:p w:rsidR="00351F2C" w:rsidRPr="007223AA" w:rsidRDefault="00351F2C" w:rsidP="00350EDD">
      <w:pPr>
        <w:tabs>
          <w:tab w:val="left" w:pos="2880"/>
        </w:tabs>
        <w:spacing w:after="0" w:line="300" w:lineRule="exact"/>
        <w:contextualSpacing/>
        <w:jc w:val="both"/>
        <w:rPr>
          <w:rFonts w:ascii="Book Antiqua" w:hAnsi="Book Antiqua" w:cs="Arial"/>
          <w:color w:val="000000"/>
        </w:rPr>
      </w:pPr>
      <w:r w:rsidRPr="007223AA">
        <w:rPr>
          <w:rFonts w:ascii="Book Antiqua" w:hAnsi="Book Antiqua" w:cs="Arial"/>
          <w:b/>
          <w:color w:val="000000"/>
          <w:u w:val="single"/>
        </w:rPr>
        <w:t>Coordinators</w:t>
      </w:r>
      <w:r w:rsidRPr="007223AA">
        <w:rPr>
          <w:rFonts w:ascii="Book Antiqua" w:hAnsi="Book Antiqua" w:cs="Arial"/>
          <w:color w:val="000000"/>
        </w:rPr>
        <w:t>:</w:t>
      </w:r>
    </w:p>
    <w:p w:rsidR="00351F2C" w:rsidRPr="007223AA" w:rsidRDefault="00351F2C" w:rsidP="00350EDD">
      <w:pPr>
        <w:tabs>
          <w:tab w:val="left" w:pos="1908"/>
          <w:tab w:val="left" w:pos="2880"/>
          <w:tab w:val="left" w:pos="4068"/>
          <w:tab w:val="left" w:pos="6228"/>
        </w:tabs>
        <w:spacing w:after="0" w:line="300" w:lineRule="exact"/>
        <w:contextualSpacing/>
        <w:rPr>
          <w:rFonts w:ascii="Book Antiqua" w:hAnsi="Book Antiqua" w:cs="Arial"/>
          <w:color w:val="000000"/>
        </w:rPr>
      </w:pPr>
      <w:r w:rsidRPr="007223AA">
        <w:rPr>
          <w:rFonts w:ascii="Book Antiqua" w:hAnsi="Book Antiqua" w:cs="Arial"/>
          <w:color w:val="000000"/>
        </w:rPr>
        <w:t xml:space="preserve">Tim Boyle; </w:t>
      </w:r>
      <w:r w:rsidRPr="007223AA">
        <w:rPr>
          <w:rFonts w:ascii="Book Antiqua" w:hAnsi="Book Antiqua" w:cs="Arial"/>
          <w:color w:val="000000"/>
        </w:rPr>
        <w:tab/>
      </w:r>
      <w:r w:rsidRPr="007223AA">
        <w:rPr>
          <w:rFonts w:ascii="Book Antiqua" w:hAnsi="Book Antiqua" w:cs="Arial"/>
          <w:color w:val="000000"/>
        </w:rPr>
        <w:tab/>
        <w:t>UNDP, UN-REDD Regional Coordinator</w:t>
      </w:r>
    </w:p>
    <w:p w:rsidR="00351F2C" w:rsidRPr="007223AA" w:rsidRDefault="00351F2C" w:rsidP="00350EDD">
      <w:pPr>
        <w:tabs>
          <w:tab w:val="left" w:pos="1908"/>
          <w:tab w:val="left" w:pos="2880"/>
          <w:tab w:val="left" w:pos="4068"/>
          <w:tab w:val="left" w:pos="6228"/>
        </w:tabs>
        <w:spacing w:after="0" w:line="300" w:lineRule="exact"/>
        <w:contextualSpacing/>
        <w:rPr>
          <w:rFonts w:ascii="Book Antiqua" w:hAnsi="Book Antiqua" w:cs="Arial"/>
          <w:color w:val="000000"/>
        </w:rPr>
      </w:pPr>
      <w:r w:rsidRPr="007223AA">
        <w:rPr>
          <w:rFonts w:ascii="Book Antiqua" w:hAnsi="Book Antiqua" w:cs="Arial"/>
          <w:color w:val="000000"/>
        </w:rPr>
        <w:t xml:space="preserve">Jake Brunner; </w:t>
      </w:r>
      <w:r w:rsidRPr="007223AA">
        <w:rPr>
          <w:rFonts w:ascii="Book Antiqua" w:hAnsi="Book Antiqua" w:cs="Arial"/>
          <w:color w:val="000000"/>
        </w:rPr>
        <w:tab/>
      </w:r>
      <w:r w:rsidRPr="007223AA">
        <w:rPr>
          <w:rFonts w:ascii="Book Antiqua" w:hAnsi="Book Antiqua" w:cs="Arial"/>
          <w:color w:val="000000"/>
        </w:rPr>
        <w:tab/>
        <w:t>IUCN, Programme Director</w:t>
      </w:r>
    </w:p>
    <w:p w:rsidR="00351F2C" w:rsidRPr="007223AA" w:rsidRDefault="00351F2C" w:rsidP="00350EDD">
      <w:pPr>
        <w:tabs>
          <w:tab w:val="left" w:pos="1908"/>
          <w:tab w:val="left" w:pos="2880"/>
          <w:tab w:val="left" w:pos="4068"/>
          <w:tab w:val="left" w:pos="6228"/>
        </w:tabs>
        <w:spacing w:after="0" w:line="300" w:lineRule="exact"/>
        <w:contextualSpacing/>
        <w:rPr>
          <w:rFonts w:ascii="Book Antiqua" w:hAnsi="Book Antiqua" w:cs="Arial"/>
          <w:color w:val="000000"/>
        </w:rPr>
      </w:pPr>
      <w:r w:rsidRPr="007223AA">
        <w:rPr>
          <w:rFonts w:ascii="Book Antiqua" w:hAnsi="Book Antiqua" w:cs="Arial"/>
          <w:color w:val="000000"/>
        </w:rPr>
        <w:t>Peter Moore;</w:t>
      </w:r>
      <w:r w:rsidRPr="007223AA">
        <w:rPr>
          <w:rFonts w:ascii="Book Antiqua" w:hAnsi="Book Antiqua" w:cs="Arial"/>
          <w:color w:val="000000"/>
        </w:rPr>
        <w:tab/>
      </w:r>
      <w:r w:rsidRPr="007223AA">
        <w:rPr>
          <w:rFonts w:ascii="Book Antiqua" w:hAnsi="Book Antiqua" w:cs="Arial"/>
          <w:color w:val="000000"/>
        </w:rPr>
        <w:tab/>
        <w:t>Independent consultant</w:t>
      </w:r>
    </w:p>
    <w:p w:rsidR="00351F2C" w:rsidRPr="007223AA" w:rsidRDefault="00351F2C" w:rsidP="005D0252">
      <w:pPr>
        <w:spacing w:after="0" w:line="300" w:lineRule="atLeast"/>
        <w:contextualSpacing/>
        <w:jc w:val="both"/>
        <w:rPr>
          <w:rFonts w:ascii="Book Antiqua" w:hAnsi="Book Antiqua" w:cs="Arial"/>
          <w:color w:val="000000"/>
          <w:lang w:val="en-US"/>
        </w:rPr>
      </w:pPr>
    </w:p>
    <w:p w:rsidR="003B7440" w:rsidRPr="007223AA" w:rsidRDefault="003B7440" w:rsidP="00A0738C">
      <w:pPr>
        <w:rPr>
          <w:rFonts w:ascii="Book Antiqua" w:hAnsi="Book Antiqua" w:cs="Arial"/>
        </w:rPr>
      </w:pPr>
    </w:p>
    <w:sectPr w:rsidR="003B7440" w:rsidRPr="007223AA" w:rsidSect="007141C6">
      <w:headerReference w:type="even" r:id="rId37"/>
      <w:headerReference w:type="default" r:id="rId38"/>
      <w:footerReference w:type="even" r:id="rId39"/>
      <w:footerReference w:type="default" r:id="rId40"/>
      <w:headerReference w:type="first" r:id="rId41"/>
      <w:footerReference w:type="first" r:id="rId42"/>
      <w:pgSz w:w="11907" w:h="16840" w:code="9"/>
      <w:pgMar w:top="1440" w:right="1418" w:bottom="1440"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A0B" w:rsidRDefault="00D96A0B" w:rsidP="004B38FA">
      <w:pPr>
        <w:spacing w:after="0" w:line="240" w:lineRule="auto"/>
      </w:pPr>
      <w:r>
        <w:separator/>
      </w:r>
    </w:p>
  </w:endnote>
  <w:endnote w:type="continuationSeparator" w:id="0">
    <w:p w:rsidR="00D96A0B" w:rsidRDefault="00D96A0B" w:rsidP="004B38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MetaBold-Roman">
    <w:altName w:val="MetaBold-Roman"/>
    <w:panose1 w:val="00000000000000000000"/>
    <w:charset w:val="00"/>
    <w:family w:val="roman"/>
    <w:notTrueType/>
    <w:pitch w:val="default"/>
    <w:sig w:usb0="00000003" w:usb1="00000000" w:usb2="00000000" w:usb3="00000000" w:csb0="00000001" w:csb1="00000000"/>
  </w:font>
  <w:font w:name="MetaNormal-Roman">
    <w:altName w:val="MetaNormal-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4D"/>
    <w:family w:val="swiss"/>
    <w:notTrueType/>
    <w:pitch w:val="default"/>
    <w:sig w:usb0="00000003" w:usb1="00000000" w:usb2="00000000" w:usb3="00000000" w:csb0="00000001" w:csb1="00000000"/>
  </w:font>
  <w:font w:name="MyriadPro-BoldCond">
    <w:panose1 w:val="00000000000000000000"/>
    <w:charset w:val="00"/>
    <w:family w:val="swiss"/>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1F" w:rsidRDefault="00B435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3810"/>
      <w:docPartObj>
        <w:docPartGallery w:val="Page Numbers (Bottom of Page)"/>
        <w:docPartUnique/>
      </w:docPartObj>
    </w:sdtPr>
    <w:sdtContent>
      <w:p w:rsidR="00B4351F" w:rsidRDefault="00B4351F">
        <w:pPr>
          <w:pStyle w:val="Footer"/>
          <w:jc w:val="right"/>
        </w:pPr>
        <w:fldSimple w:instr=" PAGE   \* MERGEFORMAT ">
          <w:r w:rsidR="000D63B0">
            <w:rPr>
              <w:noProof/>
            </w:rPr>
            <w:t>8</w:t>
          </w:r>
        </w:fldSimple>
      </w:p>
    </w:sdtContent>
  </w:sdt>
  <w:p w:rsidR="00B4351F" w:rsidRDefault="00B4351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1F" w:rsidRDefault="00B4351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1F" w:rsidRDefault="00B4351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1F" w:rsidRDefault="00B4351F">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0D63B0">
      <w:rPr>
        <w:b/>
        <w:noProof/>
      </w:rPr>
      <w:t>191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0D63B0">
      <w:rPr>
        <w:b/>
        <w:noProof/>
      </w:rPr>
      <w:t>191</w:t>
    </w:r>
    <w:r>
      <w:rPr>
        <w:b/>
        <w:sz w:val="24"/>
        <w:szCs w:val="24"/>
      </w:rPr>
      <w:fldChar w:fldCharType="end"/>
    </w:r>
  </w:p>
  <w:p w:rsidR="00B4351F" w:rsidRDefault="00B4351F" w:rsidP="001C22A4">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1F" w:rsidRPr="00611AA2" w:rsidRDefault="00B4351F" w:rsidP="00611AA2">
    <w:pPr>
      <w:pStyle w:val="Footer"/>
      <w:jc w:val="center"/>
      <w:rPr>
        <w:sz w:val="16"/>
        <w:szCs w:val="16"/>
      </w:rPr>
    </w:pPr>
  </w:p>
  <w:p w:rsidR="00B4351F" w:rsidRPr="00E30015" w:rsidRDefault="00B4351F" w:rsidP="00611AA2">
    <w:pPr>
      <w:pStyle w:val="Footer"/>
      <w:jc w:val="center"/>
    </w:pPr>
    <w:r>
      <w:rPr>
        <w:noProof/>
        <w:lang w:val="en-US"/>
      </w:rPr>
      <w:drawing>
        <wp:inline distT="0" distB="0" distL="0" distR="0">
          <wp:extent cx="1390650" cy="552450"/>
          <wp:effectExtent l="19050" t="0" r="0" b="0"/>
          <wp:docPr id="23" name="Picture 3" descr="FAO,UNEP and UND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O,UNEP and UNDP logos"/>
                  <pic:cNvPicPr>
                    <a:picLocks noChangeAspect="1" noChangeArrowheads="1"/>
                  </pic:cNvPicPr>
                </pic:nvPicPr>
                <pic:blipFill>
                  <a:blip r:embed="rId1"/>
                  <a:srcRect/>
                  <a:stretch>
                    <a:fillRect/>
                  </a:stretch>
                </pic:blipFill>
                <pic:spPr bwMode="auto">
                  <a:xfrm>
                    <a:off x="0" y="0"/>
                    <a:ext cx="1390650" cy="5524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A0B" w:rsidRDefault="00D96A0B" w:rsidP="004B38FA">
      <w:pPr>
        <w:spacing w:after="0" w:line="240" w:lineRule="auto"/>
      </w:pPr>
      <w:r>
        <w:separator/>
      </w:r>
    </w:p>
  </w:footnote>
  <w:footnote w:type="continuationSeparator" w:id="0">
    <w:p w:rsidR="00D96A0B" w:rsidRDefault="00D96A0B" w:rsidP="004B38FA">
      <w:pPr>
        <w:spacing w:after="0" w:line="240" w:lineRule="auto"/>
      </w:pPr>
      <w:r>
        <w:continuationSeparator/>
      </w:r>
    </w:p>
  </w:footnote>
  <w:footnote w:id="1">
    <w:p w:rsidR="00B4351F" w:rsidRPr="004343E0" w:rsidRDefault="00B4351F" w:rsidP="00A256CB">
      <w:pPr>
        <w:pStyle w:val="Default"/>
        <w:jc w:val="both"/>
        <w:rPr>
          <w:sz w:val="16"/>
          <w:szCs w:val="16"/>
        </w:rPr>
      </w:pPr>
      <w:r w:rsidRPr="004343E0">
        <w:rPr>
          <w:rStyle w:val="FootnoteReference"/>
          <w:sz w:val="16"/>
          <w:szCs w:val="16"/>
        </w:rPr>
        <w:footnoteRef/>
      </w:r>
      <w:r w:rsidRPr="004343E0">
        <w:rPr>
          <w:sz w:val="16"/>
          <w:szCs w:val="16"/>
        </w:rPr>
        <w:t xml:space="preserve">UNFCCC is still considering the scope of REDD, although so-called </w:t>
      </w:r>
      <w:r>
        <w:rPr>
          <w:sz w:val="16"/>
          <w:szCs w:val="16"/>
        </w:rPr>
        <w:t>REDD+</w:t>
      </w:r>
      <w:r w:rsidRPr="004343E0">
        <w:rPr>
          <w:sz w:val="16"/>
          <w:szCs w:val="16"/>
        </w:rPr>
        <w:t xml:space="preserve">, which incorporates conservation, sustainable forest management, and enhancement of carbon stocks, has widespread support.  In this report, the term REDD is synonymous with </w:t>
      </w:r>
      <w:r>
        <w:rPr>
          <w:sz w:val="16"/>
          <w:szCs w:val="16"/>
        </w:rPr>
        <w:t>REDD+</w:t>
      </w:r>
      <w:r w:rsidRPr="004343E0">
        <w:rPr>
          <w:sz w:val="16"/>
          <w:szCs w:val="16"/>
        </w:rPr>
        <w:t>.</w:t>
      </w:r>
    </w:p>
  </w:footnote>
  <w:footnote w:id="2">
    <w:p w:rsidR="00B4351F" w:rsidRDefault="00B4351F" w:rsidP="00A256CB">
      <w:pPr>
        <w:pStyle w:val="FootnoteText"/>
        <w:rPr>
          <w:rFonts w:eastAsia="Times New Roman"/>
        </w:rPr>
      </w:pPr>
      <w:r>
        <w:rPr>
          <w:rStyle w:val="FootnoteReference"/>
          <w:rFonts w:eastAsia="Times New Roman"/>
        </w:rPr>
        <w:footnoteRef/>
      </w:r>
      <w:r>
        <w:rPr>
          <w:rFonts w:eastAsia="Times New Roman"/>
        </w:rPr>
        <w:t xml:space="preserve"> </w:t>
      </w:r>
      <w:r>
        <w:rPr>
          <w:rFonts w:eastAsia="Times New Roman"/>
          <w:sz w:val="18"/>
          <w:szCs w:val="18"/>
        </w:rPr>
        <w:t xml:space="preserve">The UNFCCC is still considering the scope of REDD, although the so-called “REDD+”, which incorporates conservation, sustainable forest management, and enhancement of carbon stocks, has widespread support.  In this report, the term “REDD” is used also to represent REDD+ </w:t>
      </w:r>
    </w:p>
  </w:footnote>
  <w:footnote w:id="3">
    <w:p w:rsidR="00B4351F" w:rsidRPr="000F0314" w:rsidRDefault="00B4351F" w:rsidP="00903E2A">
      <w:pPr>
        <w:pStyle w:val="FootnoteText"/>
        <w:rPr>
          <w:rFonts w:ascii="Book Antiqua" w:eastAsia="Times New Roman" w:hAnsi="Book Antiqua"/>
        </w:rPr>
      </w:pPr>
      <w:r w:rsidRPr="000F0314">
        <w:rPr>
          <w:rStyle w:val="FootnoteReference"/>
          <w:rFonts w:ascii="Book Antiqua" w:eastAsia="Times New Roman" w:hAnsi="Book Antiqua"/>
          <w:sz w:val="18"/>
          <w:szCs w:val="18"/>
        </w:rPr>
        <w:footnoteRef/>
      </w:r>
      <w:r w:rsidRPr="000F0314">
        <w:rPr>
          <w:rFonts w:ascii="Book Antiqua" w:eastAsia="Times New Roman" w:hAnsi="Book Antiqua"/>
          <w:sz w:val="18"/>
          <w:szCs w:val="18"/>
        </w:rPr>
        <w:t xml:space="preserve"> Decree No 01/2008/ND-CP dated 3 January 2008 of the Prime Minister.</w:t>
      </w:r>
    </w:p>
  </w:footnote>
  <w:footnote w:id="4">
    <w:p w:rsidR="00B4351F" w:rsidRPr="000F0314" w:rsidRDefault="00B4351F" w:rsidP="00903E2A">
      <w:pPr>
        <w:pStyle w:val="FootnoteText"/>
        <w:rPr>
          <w:rFonts w:ascii="Book Antiqua" w:eastAsia="Times New Roman" w:hAnsi="Book Antiqua"/>
        </w:rPr>
      </w:pPr>
      <w:r w:rsidRPr="000F0314">
        <w:rPr>
          <w:rStyle w:val="FootnoteReference"/>
          <w:rFonts w:ascii="Book Antiqua" w:eastAsia="Times New Roman" w:hAnsi="Book Antiqua"/>
          <w:sz w:val="18"/>
          <w:szCs w:val="18"/>
        </w:rPr>
        <w:footnoteRef/>
      </w:r>
      <w:r w:rsidRPr="000F0314">
        <w:rPr>
          <w:rFonts w:ascii="Book Antiqua" w:eastAsia="Times New Roman" w:hAnsi="Book Antiqua"/>
          <w:sz w:val="18"/>
          <w:szCs w:val="18"/>
        </w:rPr>
        <w:t xml:space="preserve"> Following Decree 75/ ND-CP dated 10 September 2009 of the Prime Minister, which comes in effect from 1 November 2009, DoF and FPD are to be merged into a General Department of Forestry under MARD.</w:t>
      </w:r>
    </w:p>
  </w:footnote>
  <w:footnote w:id="5">
    <w:p w:rsidR="00B4351F" w:rsidRPr="000F0314" w:rsidRDefault="00B4351F" w:rsidP="00903E2A">
      <w:pPr>
        <w:pStyle w:val="FootnoteText"/>
        <w:rPr>
          <w:rFonts w:ascii="Book Antiqua" w:eastAsia="Times New Roman" w:hAnsi="Book Antiqua"/>
        </w:rPr>
      </w:pPr>
      <w:r w:rsidRPr="000F0314">
        <w:rPr>
          <w:rStyle w:val="FootnoteReference"/>
          <w:rFonts w:ascii="Book Antiqua" w:eastAsia="Times New Roman" w:hAnsi="Book Antiqua"/>
          <w:sz w:val="18"/>
          <w:szCs w:val="18"/>
        </w:rPr>
        <w:footnoteRef/>
      </w:r>
      <w:r w:rsidRPr="000F0314">
        <w:rPr>
          <w:rFonts w:ascii="Book Antiqua" w:eastAsia="Times New Roman" w:hAnsi="Book Antiqua"/>
          <w:sz w:val="18"/>
          <w:szCs w:val="18"/>
        </w:rPr>
        <w:t xml:space="preserve"> Decision No 21/2008/QD-BNN dated 28 January 2008 of MARD Minister.</w:t>
      </w:r>
    </w:p>
  </w:footnote>
  <w:footnote w:id="6">
    <w:p w:rsidR="00B4351F" w:rsidRDefault="00B4351F" w:rsidP="00903E2A">
      <w:pPr>
        <w:pStyle w:val="FootnoteText"/>
        <w:rPr>
          <w:rFonts w:eastAsia="Times New Roman"/>
        </w:rPr>
      </w:pPr>
      <w:r w:rsidRPr="000F0314">
        <w:rPr>
          <w:rStyle w:val="FootnoteReference"/>
          <w:rFonts w:ascii="Book Antiqua" w:eastAsia="Times New Roman" w:hAnsi="Book Antiqua"/>
          <w:sz w:val="18"/>
          <w:szCs w:val="18"/>
        </w:rPr>
        <w:footnoteRef/>
      </w:r>
      <w:r w:rsidRPr="000F0314">
        <w:rPr>
          <w:rFonts w:ascii="Book Antiqua" w:eastAsia="Times New Roman" w:hAnsi="Book Antiqua"/>
          <w:sz w:val="18"/>
          <w:szCs w:val="18"/>
        </w:rPr>
        <w:t xml:space="preserve"> Decision No 22/2008/QD-BNN dated 28 January 2008 of MARD Minister.</w:t>
      </w:r>
    </w:p>
  </w:footnote>
  <w:footnote w:id="7">
    <w:p w:rsidR="00B4351F" w:rsidRDefault="00B4351F" w:rsidP="00903E2A">
      <w:pPr>
        <w:pStyle w:val="FootnoteText"/>
        <w:rPr>
          <w:rFonts w:eastAsia="Times New Roman"/>
        </w:rPr>
      </w:pPr>
      <w:r w:rsidRPr="00463DC3">
        <w:rPr>
          <w:rStyle w:val="FootnoteReference"/>
          <w:rFonts w:eastAsia="Times New Roman"/>
          <w:sz w:val="18"/>
          <w:szCs w:val="18"/>
        </w:rPr>
        <w:footnoteRef/>
      </w:r>
      <w:r w:rsidRPr="00463DC3">
        <w:rPr>
          <w:rFonts w:eastAsia="Times New Roman"/>
          <w:sz w:val="18"/>
          <w:szCs w:val="18"/>
        </w:rPr>
        <w:t xml:space="preserve"> Decree 200/2004/ND-CP dated 3 December 2004 by the Prime Minister on restructuring, reforming, and developing the SFE system.</w:t>
      </w:r>
    </w:p>
  </w:footnote>
  <w:footnote w:id="8">
    <w:p w:rsidR="00B4351F" w:rsidRPr="00463DC3" w:rsidRDefault="00B4351F" w:rsidP="00A256CB">
      <w:pPr>
        <w:pStyle w:val="FootnoteText"/>
        <w:rPr>
          <w:sz w:val="18"/>
          <w:szCs w:val="18"/>
          <w:lang w:val="en-US"/>
        </w:rPr>
      </w:pPr>
      <w:r w:rsidRPr="00463DC3">
        <w:rPr>
          <w:rStyle w:val="FootnoteReference"/>
          <w:sz w:val="18"/>
          <w:szCs w:val="18"/>
        </w:rPr>
        <w:footnoteRef/>
      </w:r>
      <w:r w:rsidRPr="00463DC3">
        <w:rPr>
          <w:sz w:val="18"/>
          <w:szCs w:val="18"/>
        </w:rPr>
        <w:t xml:space="preserve"> </w:t>
      </w:r>
      <w:r w:rsidRPr="00463DC3">
        <w:rPr>
          <w:sz w:val="18"/>
          <w:szCs w:val="18"/>
          <w:lang w:val="en-US"/>
        </w:rPr>
        <w:t>Decision 135/1998/QD-TTg of the Prime Minister dated 31 July 1998</w:t>
      </w:r>
    </w:p>
  </w:footnote>
  <w:footnote w:id="9">
    <w:p w:rsidR="00B4351F" w:rsidRPr="00463DC3" w:rsidRDefault="00B4351F" w:rsidP="00A256CB">
      <w:pPr>
        <w:pStyle w:val="FootnoteText"/>
        <w:rPr>
          <w:sz w:val="18"/>
          <w:szCs w:val="18"/>
        </w:rPr>
      </w:pPr>
      <w:r w:rsidRPr="00463DC3">
        <w:rPr>
          <w:rStyle w:val="FootnoteReference"/>
          <w:sz w:val="18"/>
          <w:szCs w:val="18"/>
        </w:rPr>
        <w:footnoteRef/>
      </w:r>
      <w:r w:rsidRPr="00463DC3">
        <w:rPr>
          <w:sz w:val="18"/>
          <w:szCs w:val="18"/>
        </w:rPr>
        <w:t xml:space="preserve"> Determination No 73/2006/QH11 of the National Assembly dated 29 November 2006.</w:t>
      </w:r>
    </w:p>
  </w:footnote>
  <w:footnote w:id="10">
    <w:p w:rsidR="00B4351F" w:rsidRPr="00463DC3" w:rsidRDefault="00B4351F" w:rsidP="00A256CB">
      <w:pPr>
        <w:pStyle w:val="FootnoteText"/>
        <w:rPr>
          <w:sz w:val="18"/>
          <w:szCs w:val="18"/>
          <w:lang w:val="en-US"/>
        </w:rPr>
      </w:pPr>
      <w:r w:rsidRPr="00463DC3">
        <w:rPr>
          <w:rStyle w:val="FootnoteReference"/>
          <w:sz w:val="18"/>
          <w:szCs w:val="18"/>
        </w:rPr>
        <w:footnoteRef/>
      </w:r>
      <w:r w:rsidRPr="00463DC3">
        <w:rPr>
          <w:sz w:val="18"/>
          <w:szCs w:val="18"/>
        </w:rPr>
        <w:t xml:space="preserve"> </w:t>
      </w:r>
      <w:r w:rsidRPr="00463DC3">
        <w:rPr>
          <w:sz w:val="18"/>
          <w:szCs w:val="18"/>
          <w:lang w:val="en-US"/>
        </w:rPr>
        <w:t>Project developers are various, including forest companies, district FPU, PAMB and district Economic/ Agriculture Divisions</w:t>
      </w:r>
    </w:p>
  </w:footnote>
  <w:footnote w:id="11">
    <w:p w:rsidR="00B4351F" w:rsidRPr="00B90816" w:rsidRDefault="00B4351F" w:rsidP="00A256CB">
      <w:pPr>
        <w:pStyle w:val="FootnoteText"/>
        <w:jc w:val="both"/>
        <w:rPr>
          <w:sz w:val="18"/>
          <w:szCs w:val="18"/>
          <w:lang w:val="en-US"/>
        </w:rPr>
      </w:pPr>
      <w:r w:rsidRPr="00B90816">
        <w:rPr>
          <w:rStyle w:val="FootnoteReference"/>
          <w:sz w:val="18"/>
          <w:szCs w:val="18"/>
        </w:rPr>
        <w:footnoteRef/>
      </w:r>
      <w:r w:rsidRPr="00B90816">
        <w:rPr>
          <w:sz w:val="18"/>
          <w:szCs w:val="18"/>
        </w:rPr>
        <w:t xml:space="preserve"> </w:t>
      </w:r>
      <w:r w:rsidRPr="00B90816">
        <w:rPr>
          <w:sz w:val="18"/>
          <w:szCs w:val="18"/>
          <w:lang w:val="en-US"/>
        </w:rPr>
        <w:t>These are the centrally defined cost norms.  In practice, households receive less, as project executing agencies use some of the funds for training courses and other extension activities.  In a district of Phu Tho province, the latter absorbed 25-30% of the allocated funds for production-oriented plantations (Sikor 2009; To 2007).</w:t>
      </w:r>
    </w:p>
  </w:footnote>
  <w:footnote w:id="12">
    <w:p w:rsidR="00B4351F" w:rsidRPr="00B90816" w:rsidRDefault="00B4351F" w:rsidP="00A256CB">
      <w:pPr>
        <w:pStyle w:val="FootnoteText"/>
        <w:rPr>
          <w:sz w:val="18"/>
          <w:szCs w:val="18"/>
          <w:lang w:val="en-US"/>
        </w:rPr>
      </w:pPr>
      <w:r w:rsidRPr="00B90816">
        <w:rPr>
          <w:rStyle w:val="FootnoteReference"/>
          <w:sz w:val="18"/>
          <w:szCs w:val="18"/>
        </w:rPr>
        <w:footnoteRef/>
      </w:r>
      <w:r w:rsidRPr="00B90816">
        <w:rPr>
          <w:sz w:val="18"/>
          <w:szCs w:val="18"/>
        </w:rPr>
        <w:t xml:space="preserve"> </w:t>
      </w:r>
      <w:r w:rsidRPr="00B90816">
        <w:rPr>
          <w:sz w:val="18"/>
          <w:szCs w:val="18"/>
          <w:lang w:val="en-US"/>
        </w:rPr>
        <w:t>A 2002 IUCN report mentions that Yok Don National Park received VND 1.5 billion (US $93,000) from the 661 Program in 2000 and 2001 each.  They used 75% of that for protection payments to households in 2001.</w:t>
      </w:r>
    </w:p>
  </w:footnote>
  <w:footnote w:id="13">
    <w:p w:rsidR="00B4351F" w:rsidRPr="00B90816" w:rsidRDefault="00B4351F" w:rsidP="00A256CB">
      <w:pPr>
        <w:pStyle w:val="FootnoteText"/>
        <w:rPr>
          <w:sz w:val="18"/>
          <w:szCs w:val="18"/>
          <w:lang w:val="en-US"/>
        </w:rPr>
      </w:pPr>
      <w:r w:rsidRPr="00B90816">
        <w:rPr>
          <w:rStyle w:val="FootnoteReference"/>
          <w:sz w:val="18"/>
          <w:szCs w:val="18"/>
        </w:rPr>
        <w:footnoteRef/>
      </w:r>
      <w:r w:rsidRPr="00B90816">
        <w:rPr>
          <w:sz w:val="18"/>
          <w:szCs w:val="18"/>
        </w:rPr>
        <w:t xml:space="preserve"> </w:t>
      </w:r>
      <w:r w:rsidRPr="00B90816">
        <w:rPr>
          <w:sz w:val="18"/>
          <w:szCs w:val="18"/>
          <w:lang w:val="en-US"/>
        </w:rPr>
        <w:t>For example, the annual payments for the protection of natural forest increased from VND 50,000 (US$3) to VND 100,000 per ha (US$5).</w:t>
      </w:r>
    </w:p>
  </w:footnote>
  <w:footnote w:id="14">
    <w:p w:rsidR="00B4351F" w:rsidRPr="0061530E" w:rsidRDefault="00B4351F" w:rsidP="00A256CB">
      <w:pPr>
        <w:pStyle w:val="FootnoteText"/>
        <w:rPr>
          <w:sz w:val="18"/>
          <w:szCs w:val="18"/>
          <w:lang w:val="en-US"/>
        </w:rPr>
      </w:pPr>
      <w:r w:rsidRPr="0061530E">
        <w:rPr>
          <w:rStyle w:val="FootnoteReference"/>
          <w:sz w:val="18"/>
          <w:szCs w:val="18"/>
        </w:rPr>
        <w:footnoteRef/>
      </w:r>
      <w:r w:rsidRPr="0061530E">
        <w:rPr>
          <w:sz w:val="18"/>
          <w:szCs w:val="18"/>
        </w:rPr>
        <w:t xml:space="preserve"> </w:t>
      </w:r>
      <w:r w:rsidRPr="0061530E">
        <w:rPr>
          <w:sz w:val="18"/>
          <w:szCs w:val="18"/>
          <w:lang w:val="en-US"/>
        </w:rPr>
        <w:t>Committee for Ethnic Minorities and Mountainous Areas (CEMMA) was appointed by the Government to take the overall implementation responsibility of Program 135</w:t>
      </w:r>
    </w:p>
  </w:footnote>
  <w:footnote w:id="15">
    <w:p w:rsidR="00B4351F" w:rsidRPr="00324C7C" w:rsidRDefault="00B4351F" w:rsidP="00A256CB">
      <w:pPr>
        <w:pStyle w:val="FootnoteText"/>
        <w:rPr>
          <w:sz w:val="16"/>
          <w:szCs w:val="16"/>
          <w:lang w:val="en-US"/>
        </w:rPr>
      </w:pPr>
      <w:r w:rsidRPr="00B90816">
        <w:rPr>
          <w:rStyle w:val="FootnoteReference"/>
          <w:sz w:val="18"/>
          <w:szCs w:val="18"/>
        </w:rPr>
        <w:footnoteRef/>
      </w:r>
      <w:r w:rsidRPr="00B90816">
        <w:rPr>
          <w:sz w:val="18"/>
          <w:szCs w:val="18"/>
        </w:rPr>
        <w:t xml:space="preserve"> </w:t>
      </w:r>
      <w:r w:rsidRPr="00324C7C">
        <w:rPr>
          <w:sz w:val="16"/>
          <w:szCs w:val="16"/>
          <w:lang w:val="en-US"/>
        </w:rPr>
        <w:t>A seventh project is currently being initiated for Hoa Binh and Son La provinces.</w:t>
      </w:r>
    </w:p>
  </w:footnote>
  <w:footnote w:id="16">
    <w:p w:rsidR="00B4351F" w:rsidRPr="00324C7C" w:rsidRDefault="00B4351F" w:rsidP="00A256CB">
      <w:pPr>
        <w:pStyle w:val="FootnoteText"/>
        <w:rPr>
          <w:sz w:val="16"/>
          <w:szCs w:val="16"/>
          <w:lang w:val="en-US"/>
        </w:rPr>
      </w:pPr>
      <w:r w:rsidRPr="00324C7C">
        <w:rPr>
          <w:rStyle w:val="FootnoteReference"/>
          <w:sz w:val="16"/>
          <w:szCs w:val="16"/>
        </w:rPr>
        <w:footnoteRef/>
      </w:r>
      <w:r w:rsidRPr="00324C7C">
        <w:rPr>
          <w:sz w:val="16"/>
          <w:szCs w:val="16"/>
        </w:rPr>
        <w:t xml:space="preserve"> </w:t>
      </w:r>
      <w:r w:rsidRPr="00324C7C">
        <w:rPr>
          <w:sz w:val="16"/>
          <w:szCs w:val="16"/>
          <w:lang w:val="en-US"/>
        </w:rPr>
        <w:t>The authors have unfortunately been unable to receive any documentation on the community component of KfW-6, although that exists.  Assessment of the gained experience should be one of the priority tasks in the follow-up to this study.</w:t>
      </w:r>
    </w:p>
  </w:footnote>
  <w:footnote w:id="17">
    <w:p w:rsidR="00B4351F" w:rsidRPr="00324C7C" w:rsidRDefault="00B4351F" w:rsidP="00A256CB">
      <w:pPr>
        <w:pStyle w:val="FootnoteText"/>
        <w:rPr>
          <w:sz w:val="16"/>
          <w:szCs w:val="16"/>
          <w:lang w:val="en-US"/>
        </w:rPr>
      </w:pPr>
      <w:r w:rsidRPr="00324C7C">
        <w:rPr>
          <w:rStyle w:val="FootnoteReference"/>
          <w:sz w:val="16"/>
          <w:szCs w:val="16"/>
        </w:rPr>
        <w:footnoteRef/>
      </w:r>
      <w:r w:rsidRPr="00324C7C">
        <w:rPr>
          <w:sz w:val="16"/>
          <w:szCs w:val="16"/>
        </w:rPr>
        <w:t xml:space="preserve"> </w:t>
      </w:r>
      <w:r w:rsidRPr="00324C7C">
        <w:rPr>
          <w:sz w:val="16"/>
          <w:szCs w:val="16"/>
          <w:lang w:val="en-US"/>
        </w:rPr>
        <w:t>The FLITCH project is not the first donor-funded project to use commune investment funds.  It would be very useful to review the experience gained with such funds under the World Bank-funded Northern Mountains Development Project, for example.</w:t>
      </w:r>
    </w:p>
  </w:footnote>
  <w:footnote w:id="18">
    <w:p w:rsidR="00B4351F" w:rsidRPr="00324C7C" w:rsidRDefault="00B4351F" w:rsidP="00A256CB">
      <w:pPr>
        <w:pStyle w:val="FootnoteText"/>
        <w:rPr>
          <w:sz w:val="16"/>
          <w:szCs w:val="16"/>
          <w:lang w:val="en-US"/>
        </w:rPr>
      </w:pPr>
      <w:r w:rsidRPr="00B90816">
        <w:rPr>
          <w:rStyle w:val="FootnoteReference"/>
          <w:sz w:val="18"/>
          <w:szCs w:val="18"/>
        </w:rPr>
        <w:footnoteRef/>
      </w:r>
      <w:r w:rsidRPr="00B90816">
        <w:rPr>
          <w:sz w:val="18"/>
          <w:szCs w:val="18"/>
        </w:rPr>
        <w:t xml:space="preserve"> </w:t>
      </w:r>
      <w:r w:rsidRPr="00324C7C">
        <w:rPr>
          <w:sz w:val="16"/>
          <w:szCs w:val="16"/>
          <w:lang w:val="en-US"/>
        </w:rPr>
        <w:t>See van der Poel (2007) for an insightful comparison of the 661 and KfW project approaches.</w:t>
      </w:r>
    </w:p>
  </w:footnote>
  <w:footnote w:id="19">
    <w:p w:rsidR="00B4351F" w:rsidRPr="00324C7C" w:rsidRDefault="00B4351F" w:rsidP="00A256CB">
      <w:pPr>
        <w:pStyle w:val="FootnoteText"/>
        <w:rPr>
          <w:sz w:val="16"/>
          <w:szCs w:val="16"/>
          <w:lang w:val="en-US"/>
        </w:rPr>
      </w:pPr>
      <w:r w:rsidRPr="00324C7C">
        <w:rPr>
          <w:rStyle w:val="FootnoteReference"/>
          <w:sz w:val="16"/>
          <w:szCs w:val="16"/>
        </w:rPr>
        <w:footnoteRef/>
      </w:r>
      <w:r w:rsidRPr="00324C7C">
        <w:rPr>
          <w:sz w:val="16"/>
          <w:szCs w:val="16"/>
        </w:rPr>
        <w:t xml:space="preserve"> </w:t>
      </w:r>
      <w:r w:rsidRPr="00324C7C">
        <w:rPr>
          <w:sz w:val="16"/>
          <w:szCs w:val="16"/>
          <w:lang w:val="en-US"/>
        </w:rPr>
        <w:t>Hans Mühle, December 2005. Report on the evaluation focusing on a comparison between 661 Programme and KfW project approaches. Second draft. Cited in van der Poel 2007.</w:t>
      </w:r>
    </w:p>
  </w:footnote>
  <w:footnote w:id="20">
    <w:p w:rsidR="00B4351F" w:rsidRPr="00324C7C" w:rsidRDefault="00B4351F" w:rsidP="00A256CB">
      <w:pPr>
        <w:pStyle w:val="FootnoteText"/>
        <w:rPr>
          <w:sz w:val="16"/>
          <w:szCs w:val="16"/>
          <w:lang w:val="en-US"/>
        </w:rPr>
      </w:pPr>
      <w:r w:rsidRPr="00324C7C">
        <w:rPr>
          <w:rStyle w:val="FootnoteReference"/>
          <w:sz w:val="16"/>
          <w:szCs w:val="16"/>
        </w:rPr>
        <w:footnoteRef/>
      </w:r>
      <w:r w:rsidRPr="00324C7C">
        <w:rPr>
          <w:sz w:val="16"/>
          <w:szCs w:val="16"/>
        </w:rPr>
        <w:t xml:space="preserve"> </w:t>
      </w:r>
      <w:r w:rsidRPr="00324C7C">
        <w:rPr>
          <w:sz w:val="16"/>
          <w:szCs w:val="16"/>
          <w:lang w:val="en-US"/>
        </w:rPr>
        <w:t>Interviews with staff from Dak Lak provincial Department of Agriculture and Rural Development on September 27, 2009.</w:t>
      </w:r>
    </w:p>
  </w:footnote>
  <w:footnote w:id="21">
    <w:p w:rsidR="00B4351F" w:rsidRPr="00324C7C" w:rsidRDefault="00B4351F" w:rsidP="00A256CB">
      <w:pPr>
        <w:pStyle w:val="FootnoteText"/>
        <w:rPr>
          <w:sz w:val="16"/>
          <w:szCs w:val="16"/>
          <w:lang w:val="en-US"/>
        </w:rPr>
      </w:pPr>
      <w:r w:rsidRPr="00B90816">
        <w:rPr>
          <w:rStyle w:val="FootnoteReference"/>
          <w:sz w:val="18"/>
          <w:szCs w:val="18"/>
        </w:rPr>
        <w:footnoteRef/>
      </w:r>
      <w:r w:rsidRPr="00B90816">
        <w:rPr>
          <w:sz w:val="18"/>
          <w:szCs w:val="18"/>
        </w:rPr>
        <w:t xml:space="preserve"> </w:t>
      </w:r>
      <w:r w:rsidRPr="00324C7C">
        <w:rPr>
          <w:sz w:val="16"/>
          <w:szCs w:val="16"/>
          <w:lang w:val="en-US"/>
        </w:rPr>
        <w:t xml:space="preserve">Following Decision 1535/QD-UBND of the Chairman of Son La PPC dated 08 June 2009. </w:t>
      </w:r>
    </w:p>
  </w:footnote>
  <w:footnote w:id="22">
    <w:p w:rsidR="00B4351F" w:rsidRPr="00324C7C" w:rsidRDefault="00B4351F" w:rsidP="00A256CB">
      <w:pPr>
        <w:pStyle w:val="FootnoteText"/>
        <w:rPr>
          <w:sz w:val="16"/>
          <w:szCs w:val="16"/>
          <w:lang w:val="en-US"/>
        </w:rPr>
      </w:pPr>
      <w:r w:rsidRPr="00324C7C">
        <w:rPr>
          <w:rStyle w:val="FootnoteReference"/>
          <w:sz w:val="16"/>
          <w:szCs w:val="16"/>
        </w:rPr>
        <w:footnoteRef/>
      </w:r>
      <w:r w:rsidRPr="00324C7C">
        <w:rPr>
          <w:sz w:val="16"/>
          <w:szCs w:val="16"/>
        </w:rPr>
        <w:t xml:space="preserve"> </w:t>
      </w:r>
      <w:r w:rsidRPr="00324C7C">
        <w:rPr>
          <w:sz w:val="16"/>
          <w:szCs w:val="16"/>
          <w:lang w:val="en-US"/>
        </w:rPr>
        <w:t>Following Decision 333/QD-UBND of the Chairman of Lam Dong PPC dated 17 February 2009.</w:t>
      </w:r>
    </w:p>
  </w:footnote>
  <w:footnote w:id="23">
    <w:p w:rsidR="00B4351F" w:rsidRPr="00324C7C" w:rsidRDefault="00B4351F" w:rsidP="00A256CB">
      <w:pPr>
        <w:pStyle w:val="FootnoteText"/>
        <w:rPr>
          <w:sz w:val="16"/>
          <w:szCs w:val="16"/>
        </w:rPr>
      </w:pPr>
      <w:r w:rsidRPr="00E34E8D">
        <w:rPr>
          <w:rStyle w:val="FootnoteReference"/>
          <w:sz w:val="18"/>
          <w:szCs w:val="18"/>
        </w:rPr>
        <w:footnoteRef/>
      </w:r>
      <w:r w:rsidRPr="00E34E8D">
        <w:rPr>
          <w:sz w:val="18"/>
          <w:szCs w:val="18"/>
        </w:rPr>
        <w:t xml:space="preserve"> </w:t>
      </w:r>
      <w:r w:rsidRPr="00324C7C">
        <w:rPr>
          <w:sz w:val="16"/>
          <w:szCs w:val="16"/>
        </w:rPr>
        <w:t>At the time of writing of this report, no actual payment has been made in Son La. This is confirmed by the staff from provincial Department of Forestry.</w:t>
      </w:r>
    </w:p>
  </w:footnote>
  <w:footnote w:id="24">
    <w:p w:rsidR="00B4351F" w:rsidRPr="00324C7C" w:rsidRDefault="00B4351F" w:rsidP="00A256CB">
      <w:pPr>
        <w:pStyle w:val="FootnoteText"/>
        <w:rPr>
          <w:sz w:val="16"/>
          <w:szCs w:val="16"/>
          <w:lang w:val="en-US"/>
        </w:rPr>
      </w:pPr>
      <w:r w:rsidRPr="00324C7C">
        <w:rPr>
          <w:rStyle w:val="FootnoteReference"/>
          <w:sz w:val="16"/>
          <w:szCs w:val="16"/>
        </w:rPr>
        <w:footnoteRef/>
      </w:r>
      <w:r w:rsidRPr="00324C7C">
        <w:rPr>
          <w:sz w:val="16"/>
          <w:szCs w:val="16"/>
        </w:rPr>
        <w:t xml:space="preserve"> </w:t>
      </w:r>
      <w:r w:rsidRPr="00324C7C">
        <w:rPr>
          <w:sz w:val="16"/>
          <w:szCs w:val="16"/>
          <w:lang w:val="en-US"/>
        </w:rPr>
        <w:t>The payments amount to 90% of the collected fund, leaving 10% for the operation of the scheme (Pancel and Huong 2009).</w:t>
      </w:r>
    </w:p>
  </w:footnote>
  <w:footnote w:id="25">
    <w:p w:rsidR="00B4351F" w:rsidRPr="00324C7C" w:rsidRDefault="00B4351F" w:rsidP="00A256CB">
      <w:pPr>
        <w:pStyle w:val="FootnoteText"/>
        <w:rPr>
          <w:sz w:val="16"/>
          <w:szCs w:val="16"/>
          <w:lang w:val="en-US"/>
        </w:rPr>
      </w:pPr>
      <w:r w:rsidRPr="00324C7C">
        <w:rPr>
          <w:rStyle w:val="FootnoteReference"/>
          <w:sz w:val="16"/>
          <w:szCs w:val="16"/>
        </w:rPr>
        <w:footnoteRef/>
      </w:r>
      <w:r w:rsidRPr="00324C7C">
        <w:rPr>
          <w:sz w:val="16"/>
          <w:szCs w:val="16"/>
        </w:rPr>
        <w:t xml:space="preserve"> </w:t>
      </w:r>
      <w:r w:rsidRPr="00324C7C">
        <w:rPr>
          <w:sz w:val="16"/>
          <w:szCs w:val="16"/>
          <w:lang w:val="en-US"/>
        </w:rPr>
        <w:t>Statistics on the distribution of forestland by the kind of forest owner are unfortunately not available.</w:t>
      </w:r>
    </w:p>
  </w:footnote>
  <w:footnote w:id="26">
    <w:p w:rsidR="00B4351F" w:rsidRPr="00324C7C" w:rsidRDefault="00B4351F" w:rsidP="00A256CB">
      <w:pPr>
        <w:pStyle w:val="FootnoteText"/>
        <w:rPr>
          <w:sz w:val="16"/>
          <w:szCs w:val="16"/>
          <w:lang w:val="en-US"/>
        </w:rPr>
      </w:pPr>
      <w:r w:rsidRPr="00E34E8D">
        <w:rPr>
          <w:rStyle w:val="FootnoteReference"/>
          <w:sz w:val="18"/>
          <w:szCs w:val="18"/>
        </w:rPr>
        <w:footnoteRef/>
      </w:r>
      <w:r w:rsidRPr="00E34E8D">
        <w:rPr>
          <w:sz w:val="18"/>
          <w:szCs w:val="18"/>
        </w:rPr>
        <w:t xml:space="preserve"> </w:t>
      </w:r>
      <w:r w:rsidRPr="00324C7C">
        <w:rPr>
          <w:sz w:val="16"/>
          <w:szCs w:val="16"/>
          <w:lang w:val="en-US"/>
        </w:rPr>
        <w:t>The authors do not know that the average payment is per household for the lack of data.  Observations during a visit to Da Nhim suggest that households receive contracts for 10-30 ha each.  This would amount to annual payments in the range of VND 2.7-8.1 million (US$150-450), which would be much above the average payment received by households in the Son La scheme and make a significant contribution to local livelihoods.</w:t>
      </w:r>
    </w:p>
  </w:footnote>
  <w:footnote w:id="27">
    <w:p w:rsidR="00B4351F" w:rsidRPr="00324C7C" w:rsidRDefault="00B4351F" w:rsidP="00A256CB">
      <w:pPr>
        <w:pStyle w:val="FootnoteText"/>
        <w:rPr>
          <w:sz w:val="16"/>
          <w:szCs w:val="16"/>
          <w:lang w:val="en-US"/>
        </w:rPr>
      </w:pPr>
      <w:r w:rsidRPr="008D0668">
        <w:rPr>
          <w:rStyle w:val="FootnoteReference"/>
          <w:sz w:val="18"/>
          <w:szCs w:val="18"/>
        </w:rPr>
        <w:footnoteRef/>
      </w:r>
      <w:r w:rsidRPr="008D0668">
        <w:rPr>
          <w:sz w:val="18"/>
          <w:szCs w:val="18"/>
        </w:rPr>
        <w:t xml:space="preserve"> </w:t>
      </w:r>
      <w:r w:rsidRPr="00324C7C">
        <w:rPr>
          <w:sz w:val="16"/>
          <w:szCs w:val="16"/>
          <w:lang w:val="en-US"/>
        </w:rPr>
        <w:t>Virtually no scheme measures the actual provision of ecosystem services.  If there is any measurement then it focuses on certain land use practices considered to produce the desirable ecosystem services.  But this problem goes beyond the scope of this report.</w:t>
      </w:r>
    </w:p>
  </w:footnote>
  <w:footnote w:id="28">
    <w:p w:rsidR="00B4351F" w:rsidRPr="00324C7C" w:rsidRDefault="00B4351F" w:rsidP="00A256CB">
      <w:pPr>
        <w:pStyle w:val="FootnoteText"/>
        <w:rPr>
          <w:sz w:val="16"/>
          <w:szCs w:val="16"/>
          <w:lang w:val="en-US"/>
        </w:rPr>
      </w:pPr>
      <w:r w:rsidRPr="008D0668">
        <w:rPr>
          <w:rStyle w:val="FootnoteReference"/>
          <w:sz w:val="18"/>
          <w:szCs w:val="18"/>
        </w:rPr>
        <w:footnoteRef/>
      </w:r>
      <w:r w:rsidRPr="008D0668">
        <w:rPr>
          <w:sz w:val="18"/>
          <w:szCs w:val="18"/>
        </w:rPr>
        <w:t xml:space="preserve"> </w:t>
      </w:r>
      <w:r w:rsidRPr="00324C7C">
        <w:rPr>
          <w:sz w:val="16"/>
          <w:szCs w:val="16"/>
          <w:lang w:val="en-US"/>
        </w:rPr>
        <w:t>The Lam Dong scheme plans to establish gauging stations to measure water flows.</w:t>
      </w:r>
    </w:p>
  </w:footnote>
  <w:footnote w:id="29">
    <w:p w:rsidR="00B4351F" w:rsidRPr="00324C7C" w:rsidRDefault="00B4351F" w:rsidP="00A256CB">
      <w:pPr>
        <w:pStyle w:val="FootnoteText"/>
        <w:rPr>
          <w:sz w:val="16"/>
          <w:szCs w:val="16"/>
          <w:lang w:val="en-US"/>
        </w:rPr>
      </w:pPr>
      <w:r w:rsidRPr="00324C7C">
        <w:rPr>
          <w:rStyle w:val="FootnoteReference"/>
          <w:sz w:val="16"/>
          <w:szCs w:val="16"/>
        </w:rPr>
        <w:footnoteRef/>
      </w:r>
      <w:r w:rsidRPr="00324C7C">
        <w:rPr>
          <w:sz w:val="16"/>
          <w:szCs w:val="16"/>
        </w:rPr>
        <w:t xml:space="preserve"> </w:t>
      </w:r>
      <w:r w:rsidRPr="00324C7C">
        <w:rPr>
          <w:sz w:val="16"/>
          <w:szCs w:val="16"/>
          <w:lang w:val="en-US"/>
        </w:rPr>
        <w:t>The Lam Dong scheme is exploring the use of high resolution satellite imagery for monitoring forest cover changes.  The Son La scheme notes the need to update land use inventories, something that has been done in Lam Dong (see Section 5.1).</w:t>
      </w:r>
    </w:p>
  </w:footnote>
  <w:footnote w:id="30">
    <w:p w:rsidR="00B4351F" w:rsidRPr="00324C7C" w:rsidRDefault="00B4351F" w:rsidP="00A256CB">
      <w:pPr>
        <w:pStyle w:val="FootnoteText"/>
        <w:rPr>
          <w:sz w:val="16"/>
          <w:szCs w:val="16"/>
          <w:lang w:val="en-US"/>
        </w:rPr>
      </w:pPr>
      <w:r w:rsidRPr="00324C7C">
        <w:rPr>
          <w:rStyle w:val="FootnoteReference"/>
          <w:sz w:val="16"/>
          <w:szCs w:val="16"/>
        </w:rPr>
        <w:footnoteRef/>
      </w:r>
      <w:r w:rsidRPr="00324C7C">
        <w:rPr>
          <w:sz w:val="16"/>
          <w:szCs w:val="16"/>
        </w:rPr>
        <w:t xml:space="preserve"> </w:t>
      </w:r>
      <w:r w:rsidRPr="00324C7C">
        <w:rPr>
          <w:sz w:val="16"/>
          <w:szCs w:val="16"/>
          <w:lang w:val="en-US"/>
        </w:rPr>
        <w:t>This is an inference based on the scant information available to the consultants and requires further empirical verification.</w:t>
      </w:r>
    </w:p>
  </w:footnote>
  <w:footnote w:id="31">
    <w:p w:rsidR="00B4351F" w:rsidRPr="00324C7C" w:rsidRDefault="00B4351F" w:rsidP="00A256CB">
      <w:pPr>
        <w:pStyle w:val="FootnoteText"/>
        <w:rPr>
          <w:sz w:val="16"/>
          <w:szCs w:val="16"/>
        </w:rPr>
      </w:pPr>
      <w:r w:rsidRPr="00B90816">
        <w:rPr>
          <w:rStyle w:val="FootnoteReference"/>
          <w:sz w:val="18"/>
          <w:szCs w:val="18"/>
        </w:rPr>
        <w:footnoteRef/>
      </w:r>
      <w:r w:rsidRPr="00B90816">
        <w:rPr>
          <w:sz w:val="18"/>
          <w:szCs w:val="18"/>
        </w:rPr>
        <w:t xml:space="preserve"> </w:t>
      </w:r>
      <w:r w:rsidRPr="00324C7C">
        <w:rPr>
          <w:sz w:val="16"/>
          <w:szCs w:val="16"/>
        </w:rPr>
        <w:t xml:space="preserve">MARD has been leading the formulation of a PFES Decree. The Decree is expected to come next March-April. Once approved, it will be implemented nationwide. </w:t>
      </w:r>
    </w:p>
  </w:footnote>
  <w:footnote w:id="32">
    <w:p w:rsidR="00B4351F" w:rsidRPr="00324C7C" w:rsidRDefault="00B4351F" w:rsidP="00A256CB">
      <w:pPr>
        <w:pStyle w:val="FootnoteText"/>
        <w:rPr>
          <w:sz w:val="16"/>
          <w:szCs w:val="16"/>
          <w:lang w:val="en-US"/>
        </w:rPr>
      </w:pPr>
      <w:r w:rsidRPr="00324C7C">
        <w:rPr>
          <w:rStyle w:val="FootnoteReference"/>
          <w:sz w:val="16"/>
          <w:szCs w:val="16"/>
        </w:rPr>
        <w:footnoteRef/>
      </w:r>
      <w:r w:rsidRPr="00324C7C">
        <w:rPr>
          <w:sz w:val="16"/>
          <w:szCs w:val="16"/>
        </w:rPr>
        <w:t xml:space="preserve"> </w:t>
      </w:r>
      <w:r w:rsidRPr="00324C7C">
        <w:rPr>
          <w:sz w:val="16"/>
          <w:szCs w:val="16"/>
          <w:lang w:val="en-US"/>
        </w:rPr>
        <w:t>Formerly known as Forest Sector Support Program and Partnership (FSSP&amp;P)</w:t>
      </w:r>
    </w:p>
  </w:footnote>
  <w:footnote w:id="33">
    <w:p w:rsidR="00B4351F" w:rsidRPr="00E34E8D" w:rsidRDefault="00B4351F" w:rsidP="00A256CB">
      <w:pPr>
        <w:pStyle w:val="FootnoteText"/>
        <w:rPr>
          <w:sz w:val="18"/>
          <w:szCs w:val="18"/>
        </w:rPr>
      </w:pPr>
      <w:r w:rsidRPr="00E34E8D">
        <w:rPr>
          <w:rStyle w:val="FootnoteReference"/>
          <w:sz w:val="18"/>
          <w:szCs w:val="18"/>
        </w:rPr>
        <w:footnoteRef/>
      </w:r>
      <w:r w:rsidRPr="00E34E8D">
        <w:rPr>
          <w:sz w:val="18"/>
          <w:szCs w:val="18"/>
        </w:rPr>
        <w:t xml:space="preserve"> Owing to the lack of data, the authors were not able to know about the number of households participated in the project.  </w:t>
      </w:r>
    </w:p>
  </w:footnote>
  <w:footnote w:id="34">
    <w:p w:rsidR="00B4351F" w:rsidRPr="002F0518" w:rsidRDefault="00B4351F" w:rsidP="00A256CB">
      <w:pPr>
        <w:autoSpaceDE w:val="0"/>
        <w:autoSpaceDN w:val="0"/>
        <w:adjustRightInd w:val="0"/>
        <w:rPr>
          <w:rFonts w:ascii="Arial" w:hAnsi="Arial" w:cs="Arial"/>
        </w:rPr>
      </w:pPr>
      <w:r w:rsidRPr="002F0518">
        <w:rPr>
          <w:rStyle w:val="FootnoteReference"/>
          <w:rFonts w:ascii="Arial" w:hAnsi="Arial" w:cs="Arial"/>
          <w:sz w:val="18"/>
          <w:szCs w:val="18"/>
        </w:rPr>
        <w:footnoteRef/>
      </w:r>
      <w:r w:rsidRPr="002F0518">
        <w:rPr>
          <w:rFonts w:ascii="Arial" w:hAnsi="Arial" w:cs="Arial"/>
          <w:color w:val="231F20"/>
          <w:sz w:val="18"/>
          <w:szCs w:val="18"/>
        </w:rPr>
        <w:t>Stern, N. 2008 Key elements of a global deal on climate change</w:t>
      </w:r>
      <w:r w:rsidRPr="002F0518">
        <w:rPr>
          <w:rFonts w:ascii="Arial" w:hAnsi="Arial" w:cs="Arial"/>
          <w:i/>
          <w:iCs/>
          <w:color w:val="231F20"/>
          <w:sz w:val="18"/>
          <w:szCs w:val="18"/>
        </w:rPr>
        <w:t xml:space="preserve">. </w:t>
      </w:r>
      <w:r w:rsidRPr="002F0518">
        <w:rPr>
          <w:rFonts w:ascii="Arial" w:hAnsi="Arial" w:cs="Arial"/>
          <w:color w:val="231F20"/>
          <w:sz w:val="18"/>
          <w:szCs w:val="18"/>
        </w:rPr>
        <w:t>London School of Economics and Political Science, London</w:t>
      </w:r>
    </w:p>
  </w:footnote>
  <w:footnote w:id="35">
    <w:p w:rsidR="00B4351F" w:rsidRPr="00B90816" w:rsidRDefault="00B4351F" w:rsidP="00046554">
      <w:pPr>
        <w:pStyle w:val="FootnoteText"/>
        <w:rPr>
          <w:sz w:val="18"/>
          <w:szCs w:val="18"/>
          <w:lang w:val="en-US"/>
        </w:rPr>
      </w:pPr>
      <w:r w:rsidRPr="00B90816">
        <w:rPr>
          <w:rStyle w:val="FootnoteReference"/>
          <w:sz w:val="18"/>
          <w:szCs w:val="18"/>
        </w:rPr>
        <w:footnoteRef/>
      </w:r>
      <w:r w:rsidRPr="00B90816">
        <w:rPr>
          <w:sz w:val="18"/>
          <w:szCs w:val="18"/>
        </w:rPr>
        <w:t xml:space="preserve"> </w:t>
      </w:r>
      <w:smartTag w:uri="urn:schemas-microsoft-com:office:smarttags" w:element="country-region">
        <w:smartTag w:uri="urn:schemas-microsoft-com:office:smarttags" w:element="place">
          <w:r w:rsidRPr="00B90816">
            <w:rPr>
              <w:sz w:val="18"/>
              <w:szCs w:val="18"/>
              <w:lang w:val="en-US"/>
            </w:rPr>
            <w:t>Viet Nam</w:t>
          </w:r>
        </w:smartTag>
      </w:smartTag>
      <w:r w:rsidRPr="00B90816">
        <w:rPr>
          <w:sz w:val="18"/>
          <w:szCs w:val="18"/>
          <w:lang w:val="en-US"/>
        </w:rPr>
        <w:t xml:space="preserve"> may also explore the benefits of transferring </w:t>
      </w:r>
      <w:r w:rsidRPr="00B90816">
        <w:rPr>
          <w:i/>
          <w:sz w:val="18"/>
          <w:szCs w:val="18"/>
          <w:lang w:val="en-US"/>
        </w:rPr>
        <w:t>conditional</w:t>
      </w:r>
      <w:r w:rsidRPr="00B90816">
        <w:rPr>
          <w:sz w:val="18"/>
          <w:szCs w:val="18"/>
          <w:lang w:val="en-US"/>
        </w:rPr>
        <w:t xml:space="preserve"> land rights to villagers.  Land rights may be made conditional upon certain performance criteria, thereby providing additional incentives for villagers to comply with forest conservation agreements.</w:t>
      </w:r>
    </w:p>
  </w:footnote>
  <w:footnote w:id="36">
    <w:p w:rsidR="00B4351F" w:rsidRDefault="00B4351F" w:rsidP="005B01DD">
      <w:pPr>
        <w:pStyle w:val="FootnoteText"/>
        <w:rPr>
          <w:rFonts w:eastAsia="Times New Roman"/>
        </w:rPr>
      </w:pPr>
      <w:r w:rsidRPr="00463DC3">
        <w:rPr>
          <w:rStyle w:val="FootnoteReference"/>
          <w:rFonts w:eastAsia="Times New Roman"/>
          <w:sz w:val="18"/>
          <w:szCs w:val="18"/>
        </w:rPr>
        <w:footnoteRef/>
      </w:r>
      <w:r w:rsidRPr="00463DC3">
        <w:rPr>
          <w:rFonts w:eastAsia="Times New Roman"/>
          <w:sz w:val="18"/>
          <w:szCs w:val="18"/>
        </w:rPr>
        <w:t xml:space="preserve"> Decision 661/QD-TTg of the Prime Minister dated 29 July 1998</w:t>
      </w:r>
    </w:p>
  </w:footnote>
  <w:footnote w:id="37">
    <w:p w:rsidR="00B4351F" w:rsidRPr="00B90816" w:rsidRDefault="00B4351F" w:rsidP="00046554">
      <w:pPr>
        <w:pStyle w:val="FootnoteText"/>
        <w:jc w:val="both"/>
        <w:rPr>
          <w:sz w:val="18"/>
          <w:szCs w:val="18"/>
          <w:lang w:val="en-US"/>
        </w:rPr>
      </w:pPr>
      <w:r w:rsidRPr="00B90816">
        <w:rPr>
          <w:rStyle w:val="FootnoteReference"/>
          <w:sz w:val="18"/>
          <w:szCs w:val="18"/>
        </w:rPr>
        <w:footnoteRef/>
      </w:r>
      <w:r w:rsidRPr="00B90816">
        <w:rPr>
          <w:sz w:val="18"/>
          <w:szCs w:val="18"/>
        </w:rPr>
        <w:t xml:space="preserve"> This recommendation does not imply that the sub-national funds will be fully autonomous.  They will have to comply with national guidelines, will be subject to regular audits of their operations, and</w:t>
      </w:r>
      <w:r w:rsidRPr="00B90816">
        <w:rPr>
          <w:sz w:val="18"/>
          <w:szCs w:val="18"/>
          <w:lang w:val="en-US"/>
        </w:rPr>
        <w:t xml:space="preserve"> will be controlled by a Steering Committee including representatives from government, civil society and the private sector (see Chapter 6).</w:t>
      </w:r>
    </w:p>
  </w:footnote>
  <w:footnote w:id="38">
    <w:p w:rsidR="00B4351F" w:rsidRPr="00702643" w:rsidRDefault="00B4351F">
      <w:pPr>
        <w:pStyle w:val="FootnoteText"/>
        <w:rPr>
          <w:sz w:val="16"/>
          <w:szCs w:val="16"/>
        </w:rPr>
      </w:pPr>
      <w:r w:rsidRPr="00B90816">
        <w:rPr>
          <w:rStyle w:val="FootnoteReference"/>
          <w:sz w:val="18"/>
          <w:szCs w:val="18"/>
        </w:rPr>
        <w:footnoteRef/>
      </w:r>
      <w:r w:rsidRPr="00B90816">
        <w:rPr>
          <w:sz w:val="18"/>
          <w:szCs w:val="18"/>
        </w:rPr>
        <w:t xml:space="preserve"> </w:t>
      </w:r>
      <w:r w:rsidRPr="00702643">
        <w:rPr>
          <w:sz w:val="16"/>
          <w:szCs w:val="16"/>
        </w:rPr>
        <w:t xml:space="preserve">IPCC </w:t>
      </w:r>
      <w:r w:rsidRPr="00702643">
        <w:rPr>
          <w:color w:val="000000"/>
          <w:sz w:val="16"/>
          <w:szCs w:val="16"/>
        </w:rPr>
        <w:t xml:space="preserve">Good Practice Guidance for Land Use, Land-Use Change and Forestry: </w:t>
      </w:r>
      <w:hyperlink r:id="rId1" w:history="1">
        <w:r w:rsidRPr="00702643">
          <w:rPr>
            <w:rStyle w:val="Hyperlink"/>
            <w:sz w:val="16"/>
            <w:szCs w:val="16"/>
          </w:rPr>
          <w:t>http://www.ipcc-nggip.iges.or.jp/public/gpglulucf/gpglulucf.html</w:t>
        </w:r>
      </w:hyperlink>
      <w:r w:rsidRPr="00702643">
        <w:rPr>
          <w:sz w:val="16"/>
          <w:szCs w:val="16"/>
        </w:rPr>
        <w:t xml:space="preserve"> </w:t>
      </w:r>
    </w:p>
  </w:footnote>
  <w:footnote w:id="39">
    <w:p w:rsidR="00B4351F" w:rsidRDefault="00B4351F">
      <w:pPr>
        <w:pStyle w:val="FootnoteText"/>
      </w:pPr>
      <w:r w:rsidRPr="00702643">
        <w:rPr>
          <w:rStyle w:val="FootnoteReference"/>
          <w:sz w:val="16"/>
          <w:szCs w:val="16"/>
        </w:rPr>
        <w:footnoteRef/>
      </w:r>
      <w:r w:rsidRPr="00702643">
        <w:rPr>
          <w:sz w:val="16"/>
          <w:szCs w:val="16"/>
        </w:rPr>
        <w:t xml:space="preserve"> Tim Holland, SNV, pers. comm., 27 Oct., 2009</w:t>
      </w:r>
    </w:p>
  </w:footnote>
  <w:footnote w:id="40">
    <w:p w:rsidR="00B4351F" w:rsidRPr="00702643" w:rsidRDefault="00B4351F" w:rsidP="00246293">
      <w:pPr>
        <w:pStyle w:val="FootnoteText"/>
        <w:rPr>
          <w:rFonts w:cs="Arial"/>
          <w:sz w:val="16"/>
          <w:szCs w:val="16"/>
        </w:rPr>
      </w:pPr>
      <w:r w:rsidRPr="00507264">
        <w:rPr>
          <w:rStyle w:val="FootnoteReference"/>
          <w:rFonts w:ascii="Arial" w:hAnsi="Arial" w:cs="Arial"/>
          <w:sz w:val="16"/>
          <w:szCs w:val="16"/>
        </w:rPr>
        <w:footnoteRef/>
      </w:r>
      <w:r w:rsidRPr="00507264">
        <w:rPr>
          <w:rFonts w:ascii="Arial" w:hAnsi="Arial" w:cs="Arial"/>
          <w:sz w:val="16"/>
          <w:szCs w:val="16"/>
        </w:rPr>
        <w:t xml:space="preserve"> </w:t>
      </w:r>
      <w:r w:rsidRPr="00702643">
        <w:rPr>
          <w:rFonts w:cs="Arial"/>
          <w:sz w:val="16"/>
          <w:szCs w:val="16"/>
        </w:rPr>
        <w:t xml:space="preserve">These costs are variably interpreted and categorised in the literature. This study takes the three REDD cost elements proposed by the World Bank Forest Carbon Partnership Facility, as documented in Pagiola and Bosquet 2009. Other authors tend to define only two cost elements: transactions costs and opportunity costs (e.g. Wertz-Kanounnikoff 2008, Zarin </w:t>
      </w:r>
      <w:r w:rsidRPr="00702643">
        <w:rPr>
          <w:rFonts w:cs="Arial"/>
          <w:i/>
          <w:iCs/>
          <w:sz w:val="16"/>
          <w:szCs w:val="16"/>
        </w:rPr>
        <w:t>et al</w:t>
      </w:r>
      <w:r w:rsidRPr="00702643">
        <w:rPr>
          <w:rFonts w:cs="Arial"/>
          <w:sz w:val="16"/>
          <w:szCs w:val="16"/>
        </w:rPr>
        <w:t xml:space="preserve"> 2009), or transactions costs and implementation costs (e.g. Bond </w:t>
      </w:r>
      <w:r w:rsidRPr="00702643">
        <w:rPr>
          <w:rFonts w:cs="Arial"/>
          <w:i/>
          <w:iCs/>
          <w:sz w:val="16"/>
          <w:szCs w:val="16"/>
        </w:rPr>
        <w:t>et al</w:t>
      </w:r>
      <w:r w:rsidRPr="00702643">
        <w:rPr>
          <w:rFonts w:cs="Arial"/>
          <w:sz w:val="16"/>
          <w:szCs w:val="16"/>
        </w:rPr>
        <w:t xml:space="preserve"> 2009, Ecosecurities 2009).</w:t>
      </w:r>
    </w:p>
  </w:footnote>
  <w:footnote w:id="41">
    <w:p w:rsidR="00B4351F" w:rsidRPr="00702643" w:rsidRDefault="00B4351F" w:rsidP="00246293">
      <w:pPr>
        <w:pStyle w:val="FootnoteText"/>
      </w:pPr>
      <w:r w:rsidRPr="00525BE8">
        <w:rPr>
          <w:rStyle w:val="FootnoteReference"/>
          <w:rFonts w:ascii="Arial" w:hAnsi="Arial" w:cs="Arial"/>
          <w:sz w:val="16"/>
          <w:szCs w:val="16"/>
        </w:rPr>
        <w:footnoteRef/>
      </w:r>
      <w:r w:rsidRPr="00525BE8">
        <w:rPr>
          <w:rFonts w:ascii="Arial" w:hAnsi="Arial" w:cs="Arial"/>
          <w:sz w:val="16"/>
          <w:szCs w:val="16"/>
        </w:rPr>
        <w:t xml:space="preserve"> </w:t>
      </w:r>
      <w:r w:rsidRPr="00702643">
        <w:rPr>
          <w:rFonts w:cs="Arial"/>
          <w:sz w:val="16"/>
          <w:szCs w:val="16"/>
        </w:rPr>
        <w:t>In economic terms, “REDD rent” is similar to the concept of producer surplus – the difference between what a producer is paid for a good or service and what it costs them to supply it. Rent also applies to the concept of equating price to the marginal cost</w:t>
      </w:r>
      <w:r w:rsidRPr="00525BE8">
        <w:rPr>
          <w:rFonts w:ascii="Arial" w:hAnsi="Arial" w:cs="Arial"/>
          <w:sz w:val="16"/>
          <w:szCs w:val="16"/>
        </w:rPr>
        <w:t xml:space="preserve"> of the last unit of </w:t>
      </w:r>
      <w:r w:rsidRPr="00702643">
        <w:rPr>
          <w:rFonts w:cs="Arial"/>
          <w:sz w:val="16"/>
          <w:szCs w:val="16"/>
        </w:rPr>
        <w:t xml:space="preserve">avoided deforestation/ degradation needed to meet the desired target: setting price at this level would also yield rents to the non-marginal landholders (Bond </w:t>
      </w:r>
      <w:r w:rsidRPr="00702643">
        <w:rPr>
          <w:rFonts w:cs="Arial"/>
          <w:i/>
          <w:iCs/>
          <w:sz w:val="16"/>
          <w:szCs w:val="16"/>
        </w:rPr>
        <w:t>et al</w:t>
      </w:r>
      <w:r w:rsidRPr="00702643">
        <w:rPr>
          <w:rFonts w:cs="Arial"/>
          <w:sz w:val="16"/>
          <w:szCs w:val="16"/>
        </w:rPr>
        <w:t xml:space="preserve"> 2009).</w:t>
      </w:r>
    </w:p>
  </w:footnote>
  <w:footnote w:id="42">
    <w:p w:rsidR="00B4351F" w:rsidRPr="00702643" w:rsidRDefault="00B4351F" w:rsidP="00246293">
      <w:pPr>
        <w:spacing w:after="60" w:line="240" w:lineRule="auto"/>
        <w:rPr>
          <w:rFonts w:cs="Arial"/>
          <w:sz w:val="16"/>
          <w:szCs w:val="16"/>
        </w:rPr>
      </w:pPr>
      <w:r w:rsidRPr="00360A30">
        <w:rPr>
          <w:rStyle w:val="FootnoteReference"/>
          <w:rFonts w:ascii="Arial" w:hAnsi="Arial" w:cs="Arial"/>
          <w:sz w:val="16"/>
          <w:szCs w:val="16"/>
        </w:rPr>
        <w:footnoteRef/>
      </w:r>
      <w:r w:rsidRPr="00360A30">
        <w:rPr>
          <w:rFonts w:ascii="Arial" w:hAnsi="Arial" w:cs="Arial"/>
          <w:sz w:val="16"/>
          <w:szCs w:val="16"/>
        </w:rPr>
        <w:t xml:space="preserve"> </w:t>
      </w:r>
      <w:r w:rsidRPr="00702643">
        <w:rPr>
          <w:rFonts w:cs="Arial"/>
          <w:sz w:val="16"/>
          <w:szCs w:val="16"/>
        </w:rPr>
        <w:t xml:space="preserve">This is somewhat ambiguous: although these percentage shares for different levels of government are specified in the 2009 Decree on Procedures for Licensing of Commercial Utilisation of Carbon Sequestration and/or Storage In Production and </w:t>
      </w:r>
      <w:smartTag w:uri="urn:schemas-microsoft-com:office:smarttags" w:element="place">
        <w:smartTag w:uri="urn:schemas-microsoft-com:office:smarttags" w:element="PlaceName">
          <w:r w:rsidRPr="00702643">
            <w:rPr>
              <w:rFonts w:cs="Arial"/>
              <w:sz w:val="16"/>
              <w:szCs w:val="16"/>
            </w:rPr>
            <w:t>Protected</w:t>
          </w:r>
        </w:smartTag>
        <w:r w:rsidRPr="00702643">
          <w:rPr>
            <w:rFonts w:cs="Arial"/>
            <w:sz w:val="16"/>
            <w:szCs w:val="16"/>
          </w:rPr>
          <w:t xml:space="preserve"> </w:t>
        </w:r>
        <w:smartTag w:uri="urn:schemas-microsoft-com:office:smarttags" w:element="PlaceType">
          <w:r w:rsidRPr="00702643">
            <w:rPr>
              <w:rFonts w:cs="Arial"/>
              <w:sz w:val="16"/>
              <w:szCs w:val="16"/>
            </w:rPr>
            <w:t>Forests</w:t>
          </w:r>
        </w:smartTag>
      </w:smartTag>
      <w:r w:rsidRPr="00702643">
        <w:rPr>
          <w:rFonts w:cs="Arial"/>
          <w:sz w:val="16"/>
          <w:szCs w:val="16"/>
        </w:rPr>
        <w:t>, it is not clear why they do not add up to 100%.</w:t>
      </w:r>
    </w:p>
  </w:footnote>
  <w:footnote w:id="43">
    <w:p w:rsidR="00B4351F" w:rsidRPr="008D0668" w:rsidRDefault="00B4351F" w:rsidP="0020363F">
      <w:pPr>
        <w:pStyle w:val="FootnoteText"/>
        <w:jc w:val="both"/>
        <w:rPr>
          <w:sz w:val="18"/>
          <w:szCs w:val="18"/>
          <w:lang w:val="en-US"/>
        </w:rPr>
      </w:pPr>
      <w:r w:rsidRPr="008D0668">
        <w:rPr>
          <w:rStyle w:val="FootnoteReference"/>
          <w:sz w:val="18"/>
          <w:szCs w:val="18"/>
        </w:rPr>
        <w:footnoteRef/>
      </w:r>
      <w:r w:rsidRPr="008D0668">
        <w:rPr>
          <w:sz w:val="18"/>
          <w:szCs w:val="18"/>
        </w:rPr>
        <w:t xml:space="preserve"> </w:t>
      </w:r>
      <w:r w:rsidRPr="008D0668">
        <w:rPr>
          <w:sz w:val="18"/>
          <w:szCs w:val="18"/>
          <w:lang w:val="en-US"/>
        </w:rPr>
        <w:t xml:space="preserve">We are conscious about the discrepancy between our three categories and the official classification of land owners in </w:t>
      </w:r>
      <w:smartTag w:uri="urn:schemas-microsoft-com:office:smarttags" w:element="country-region">
        <w:smartTag w:uri="urn:schemas-microsoft-com:office:smarttags" w:element="place">
          <w:r w:rsidRPr="008D0668">
            <w:rPr>
              <w:sz w:val="18"/>
              <w:szCs w:val="18"/>
              <w:lang w:val="en-US"/>
            </w:rPr>
            <w:t>Viet Nam</w:t>
          </w:r>
        </w:smartTag>
      </w:smartTag>
      <w:r w:rsidRPr="008D0668">
        <w:rPr>
          <w:sz w:val="18"/>
          <w:szCs w:val="18"/>
          <w:lang w:val="en-US"/>
        </w:rPr>
        <w:t xml:space="preserve"> (see Section </w:t>
      </w:r>
      <w:r>
        <w:rPr>
          <w:sz w:val="18"/>
          <w:szCs w:val="18"/>
          <w:lang w:val="en-US"/>
        </w:rPr>
        <w:t>4</w:t>
      </w:r>
      <w:r w:rsidRPr="008D0668">
        <w:rPr>
          <w:sz w:val="18"/>
          <w:szCs w:val="18"/>
          <w:lang w:val="en-US"/>
        </w:rPr>
        <w:t>.1).  We do not consider joint ventures and private companies because they are largely irrelevant in the forestry sector.  We do not discuss the role of mass associations, such as the Veterans Union, as very little is known about their performance in forest management.  Mass associations may be a potential recipient of REDD payments, but their role needs to be assessed before any steps can be taken in this direction.</w:t>
      </w:r>
    </w:p>
  </w:footnote>
  <w:footnote w:id="44">
    <w:p w:rsidR="00B4351F" w:rsidRPr="00B90816" w:rsidRDefault="00B4351F" w:rsidP="0020363F">
      <w:pPr>
        <w:pStyle w:val="FootnoteText"/>
        <w:jc w:val="both"/>
        <w:rPr>
          <w:sz w:val="18"/>
          <w:szCs w:val="18"/>
          <w:lang w:val="en-US"/>
        </w:rPr>
      </w:pPr>
      <w:r w:rsidRPr="00B90816">
        <w:rPr>
          <w:rStyle w:val="FootnoteReference"/>
          <w:sz w:val="18"/>
          <w:szCs w:val="18"/>
        </w:rPr>
        <w:footnoteRef/>
      </w:r>
      <w:r w:rsidRPr="00B90816">
        <w:rPr>
          <w:sz w:val="18"/>
          <w:szCs w:val="18"/>
        </w:rPr>
        <w:t xml:space="preserve"> </w:t>
      </w:r>
      <w:r w:rsidRPr="00B90816">
        <w:rPr>
          <w:sz w:val="18"/>
          <w:szCs w:val="18"/>
          <w:lang w:val="en-US"/>
        </w:rPr>
        <w:t>The same project also includes a component based on farmer groups.  Although the groups have contracted the same company to provide specific assistance, they retain project ownership.</w:t>
      </w:r>
    </w:p>
  </w:footnote>
  <w:footnote w:id="45">
    <w:p w:rsidR="00B4351F" w:rsidRPr="008A5DCE" w:rsidRDefault="00B4351F" w:rsidP="00522F5C">
      <w:pPr>
        <w:pStyle w:val="FootnoteText"/>
        <w:rPr>
          <w:sz w:val="18"/>
          <w:szCs w:val="18"/>
        </w:rPr>
      </w:pPr>
      <w:r w:rsidRPr="008A5DCE">
        <w:rPr>
          <w:rStyle w:val="FootnoteReference"/>
          <w:sz w:val="18"/>
          <w:szCs w:val="18"/>
        </w:rPr>
        <w:footnoteRef/>
      </w:r>
      <w:r w:rsidRPr="008A5DCE">
        <w:rPr>
          <w:sz w:val="18"/>
          <w:szCs w:val="18"/>
        </w:rPr>
        <w:t xml:space="preserve"> CCBA Version 2 October 2009 Draft </w:t>
      </w:r>
      <w:r>
        <w:rPr>
          <w:sz w:val="18"/>
          <w:szCs w:val="18"/>
        </w:rPr>
        <w:t>REDD+</w:t>
      </w:r>
      <w:r w:rsidRPr="008A5DCE">
        <w:rPr>
          <w:sz w:val="18"/>
          <w:szCs w:val="18"/>
        </w:rPr>
        <w:t xml:space="preserve"> Social &amp; Environmental Standards</w:t>
      </w:r>
    </w:p>
  </w:footnote>
  <w:footnote w:id="46">
    <w:p w:rsidR="00B4351F" w:rsidRPr="008A5DCE" w:rsidRDefault="00B4351F" w:rsidP="00522F5C">
      <w:pPr>
        <w:pStyle w:val="FootnoteText"/>
        <w:rPr>
          <w:sz w:val="18"/>
          <w:szCs w:val="18"/>
        </w:rPr>
      </w:pPr>
      <w:r w:rsidRPr="008A5DCE">
        <w:rPr>
          <w:rStyle w:val="FootnoteReference"/>
          <w:sz w:val="18"/>
          <w:szCs w:val="18"/>
        </w:rPr>
        <w:footnoteRef/>
      </w:r>
      <w:r w:rsidRPr="008A5DCE">
        <w:rPr>
          <w:sz w:val="18"/>
          <w:szCs w:val="18"/>
        </w:rPr>
        <w:t xml:space="preserve"> Evans, Kristen and Manuel R. Guariguata 2008 Participatory monitoring in tropical forest management: a review of tools, concepts and lessons learned. Center for International Forestry Research (CIFOR)</w:t>
      </w:r>
    </w:p>
  </w:footnote>
  <w:footnote w:id="47">
    <w:p w:rsidR="00B4351F" w:rsidRPr="008A5DCE" w:rsidRDefault="00B4351F" w:rsidP="00522F5C">
      <w:pPr>
        <w:pStyle w:val="FootnoteText"/>
        <w:rPr>
          <w:sz w:val="18"/>
          <w:szCs w:val="18"/>
        </w:rPr>
      </w:pPr>
      <w:r w:rsidRPr="008A5DCE">
        <w:rPr>
          <w:rStyle w:val="FootnoteReference"/>
          <w:sz w:val="18"/>
          <w:szCs w:val="18"/>
        </w:rPr>
        <w:footnoteRef/>
      </w:r>
      <w:r w:rsidRPr="008A5DCE">
        <w:rPr>
          <w:sz w:val="18"/>
          <w:szCs w:val="18"/>
        </w:rPr>
        <w:t xml:space="preserve"> Prince’s Rainforest Project, 2009 March, An Emergency Package for Tropical Forests</w:t>
      </w:r>
    </w:p>
  </w:footnote>
  <w:footnote w:id="48">
    <w:p w:rsidR="00B4351F" w:rsidRPr="008A5DCE" w:rsidRDefault="00B4351F" w:rsidP="00522F5C">
      <w:pPr>
        <w:pStyle w:val="FootnoteText"/>
        <w:rPr>
          <w:sz w:val="18"/>
          <w:szCs w:val="18"/>
        </w:rPr>
      </w:pPr>
      <w:r w:rsidRPr="008A5DCE">
        <w:rPr>
          <w:rStyle w:val="FootnoteReference"/>
          <w:sz w:val="18"/>
          <w:szCs w:val="18"/>
        </w:rPr>
        <w:footnoteRef/>
      </w:r>
      <w:r w:rsidRPr="008A5DCE">
        <w:rPr>
          <w:sz w:val="18"/>
          <w:szCs w:val="18"/>
        </w:rPr>
        <w:t xml:space="preserve"> Dr. Michael Richards 2008 Issues and Challenges for Social Evaluation or Impact Assessment of ‘Multiple-Benefit’ PES Projects DRAFT August, Consultant to Forest Trends</w:t>
      </w:r>
    </w:p>
  </w:footnote>
  <w:footnote w:id="49">
    <w:p w:rsidR="00B4351F" w:rsidRPr="008A5DCE" w:rsidRDefault="00B4351F" w:rsidP="00522F5C">
      <w:pPr>
        <w:pStyle w:val="FootnoteText"/>
        <w:rPr>
          <w:sz w:val="18"/>
          <w:szCs w:val="18"/>
        </w:rPr>
      </w:pPr>
      <w:r w:rsidRPr="008A5DCE">
        <w:rPr>
          <w:rStyle w:val="FootnoteReference"/>
          <w:sz w:val="18"/>
          <w:szCs w:val="18"/>
        </w:rPr>
        <w:footnoteRef/>
      </w:r>
      <w:r w:rsidRPr="008A5DCE">
        <w:rPr>
          <w:sz w:val="18"/>
          <w:szCs w:val="18"/>
        </w:rPr>
        <w:t xml:space="preserve"> Evans, Kristen and Manuel R. Guariguata 2008. Ibid</w:t>
      </w:r>
    </w:p>
  </w:footnote>
  <w:footnote w:id="50">
    <w:p w:rsidR="00B4351F" w:rsidRPr="00B90816" w:rsidRDefault="00B4351F" w:rsidP="00522F5C">
      <w:pPr>
        <w:pStyle w:val="FootnoteText"/>
        <w:rPr>
          <w:sz w:val="18"/>
          <w:szCs w:val="18"/>
        </w:rPr>
      </w:pPr>
      <w:r w:rsidRPr="008A5DCE">
        <w:rPr>
          <w:rStyle w:val="FootnoteReference"/>
          <w:sz w:val="18"/>
          <w:szCs w:val="18"/>
        </w:rPr>
        <w:footnoteRef/>
      </w:r>
      <w:r w:rsidRPr="008A5DCE">
        <w:rPr>
          <w:sz w:val="18"/>
          <w:szCs w:val="18"/>
        </w:rPr>
        <w:t xml:space="preserve"> Tipper 2002. Cited in: M. Skutsch, 2004. Reducing carbon transaction costs in community based forest management. University of Twente, Box 21</w:t>
      </w:r>
      <w:r>
        <w:rPr>
          <w:sz w:val="18"/>
          <w:szCs w:val="18"/>
        </w:rPr>
        <w:t>7, 7500 AE Enschede Netherlands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1F" w:rsidRDefault="00B4351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1F" w:rsidRDefault="00B4351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1F" w:rsidRDefault="00B4351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1F" w:rsidRPr="009850EE" w:rsidRDefault="00B4351F" w:rsidP="009850EE">
    <w:pPr>
      <w:pStyle w:val="Header"/>
      <w:rPr>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1F" w:rsidRDefault="00B4351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1F" w:rsidRPr="009850EE" w:rsidRDefault="00B4351F" w:rsidP="009850E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51F" w:rsidRDefault="00B435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9BBB59"/>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9BBB59"/>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95B3D7"/>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4F81BD"/>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365F91"/>
      </w:rPr>
    </w:lvl>
  </w:abstractNum>
  <w:abstractNum w:abstractNumId="5">
    <w:nsid w:val="01706512"/>
    <w:multiLevelType w:val="hybridMultilevel"/>
    <w:tmpl w:val="826E26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1860D40"/>
    <w:multiLevelType w:val="hybridMultilevel"/>
    <w:tmpl w:val="0B982956"/>
    <w:lvl w:ilvl="0" w:tplc="14B823EC">
      <w:start w:val="1"/>
      <w:numFmt w:val="decimal"/>
      <w:lvlText w:val="%1."/>
      <w:lvlJc w:val="left"/>
      <w:pPr>
        <w:ind w:left="360" w:hanging="360"/>
      </w:pPr>
      <w:rPr>
        <w:rFonts w:ascii="Calibri" w:eastAsia="Times New Roman" w:hAnsi="Calibri"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nsid w:val="027F7FE0"/>
    <w:multiLevelType w:val="hybridMultilevel"/>
    <w:tmpl w:val="F744979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AF126B"/>
    <w:multiLevelType w:val="hybridMultilevel"/>
    <w:tmpl w:val="7410F99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2F76C27"/>
    <w:multiLevelType w:val="hybridMultilevel"/>
    <w:tmpl w:val="BCF0E4C8"/>
    <w:lvl w:ilvl="0" w:tplc="0409000B">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nsid w:val="04100AD1"/>
    <w:multiLevelType w:val="hybridMultilevel"/>
    <w:tmpl w:val="2A3A4EFE"/>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05D60800"/>
    <w:multiLevelType w:val="hybridMultilevel"/>
    <w:tmpl w:val="34E0CAEA"/>
    <w:lvl w:ilvl="0" w:tplc="D9CADA8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E54701"/>
    <w:multiLevelType w:val="hybridMultilevel"/>
    <w:tmpl w:val="8C26F4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6744D96"/>
    <w:multiLevelType w:val="hybridMultilevel"/>
    <w:tmpl w:val="8750915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72B1C58"/>
    <w:multiLevelType w:val="hybridMultilevel"/>
    <w:tmpl w:val="8AF2C65C"/>
    <w:lvl w:ilvl="0" w:tplc="10090001">
      <w:start w:val="1"/>
      <w:numFmt w:val="bullet"/>
      <w:lvlText w:val=""/>
      <w:lvlJc w:val="left"/>
      <w:pPr>
        <w:tabs>
          <w:tab w:val="num" w:pos="360"/>
        </w:tabs>
        <w:ind w:left="360" w:hanging="360"/>
      </w:pPr>
      <w:rPr>
        <w:rFonts w:ascii="Symbol" w:hAnsi="Symbol" w:hint="default"/>
      </w:rPr>
    </w:lvl>
    <w:lvl w:ilvl="1" w:tplc="A000B476">
      <w:numFmt w:val="bullet"/>
      <w:lvlText w:val="-"/>
      <w:lvlJc w:val="left"/>
      <w:pPr>
        <w:tabs>
          <w:tab w:val="num" w:pos="1080"/>
        </w:tabs>
        <w:ind w:left="1080" w:hanging="360"/>
      </w:pPr>
      <w:rPr>
        <w:rFonts w:ascii="Times New Roman" w:eastAsia="Times New Roman" w:hAnsi="Times New Roman" w:cs="Times New Roman"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5">
    <w:nsid w:val="0781078C"/>
    <w:multiLevelType w:val="hybridMultilevel"/>
    <w:tmpl w:val="898063A2"/>
    <w:lvl w:ilvl="0" w:tplc="D9CADA80">
      <w:start w:val="1"/>
      <w:numFmt w:val="lowerLetter"/>
      <w:lvlText w:val="%1)"/>
      <w:lvlJc w:val="left"/>
      <w:pPr>
        <w:ind w:left="1051" w:hanging="360"/>
      </w:pPr>
      <w:rPr>
        <w:rFonts w:cs="Times New Roman" w:hint="default"/>
      </w:rPr>
    </w:lvl>
    <w:lvl w:ilvl="1" w:tplc="04090019" w:tentative="1">
      <w:start w:val="1"/>
      <w:numFmt w:val="lowerLetter"/>
      <w:lvlText w:val="%2."/>
      <w:lvlJc w:val="left"/>
      <w:pPr>
        <w:ind w:left="1411" w:hanging="360"/>
      </w:pPr>
    </w:lvl>
    <w:lvl w:ilvl="2" w:tplc="0409001B" w:tentative="1">
      <w:start w:val="1"/>
      <w:numFmt w:val="lowerRoman"/>
      <w:lvlText w:val="%3."/>
      <w:lvlJc w:val="right"/>
      <w:pPr>
        <w:ind w:left="2131" w:hanging="180"/>
      </w:pPr>
    </w:lvl>
    <w:lvl w:ilvl="3" w:tplc="0409000F" w:tentative="1">
      <w:start w:val="1"/>
      <w:numFmt w:val="decimal"/>
      <w:lvlText w:val="%4."/>
      <w:lvlJc w:val="left"/>
      <w:pPr>
        <w:ind w:left="2851" w:hanging="360"/>
      </w:pPr>
    </w:lvl>
    <w:lvl w:ilvl="4" w:tplc="04090019" w:tentative="1">
      <w:start w:val="1"/>
      <w:numFmt w:val="lowerLetter"/>
      <w:lvlText w:val="%5."/>
      <w:lvlJc w:val="left"/>
      <w:pPr>
        <w:ind w:left="3571" w:hanging="360"/>
      </w:pPr>
    </w:lvl>
    <w:lvl w:ilvl="5" w:tplc="0409001B" w:tentative="1">
      <w:start w:val="1"/>
      <w:numFmt w:val="lowerRoman"/>
      <w:lvlText w:val="%6."/>
      <w:lvlJc w:val="right"/>
      <w:pPr>
        <w:ind w:left="4291" w:hanging="180"/>
      </w:pPr>
    </w:lvl>
    <w:lvl w:ilvl="6" w:tplc="0409000F" w:tentative="1">
      <w:start w:val="1"/>
      <w:numFmt w:val="decimal"/>
      <w:lvlText w:val="%7."/>
      <w:lvlJc w:val="left"/>
      <w:pPr>
        <w:ind w:left="5011" w:hanging="360"/>
      </w:pPr>
    </w:lvl>
    <w:lvl w:ilvl="7" w:tplc="04090019" w:tentative="1">
      <w:start w:val="1"/>
      <w:numFmt w:val="lowerLetter"/>
      <w:lvlText w:val="%8."/>
      <w:lvlJc w:val="left"/>
      <w:pPr>
        <w:ind w:left="5731" w:hanging="360"/>
      </w:pPr>
    </w:lvl>
    <w:lvl w:ilvl="8" w:tplc="0409001B" w:tentative="1">
      <w:start w:val="1"/>
      <w:numFmt w:val="lowerRoman"/>
      <w:lvlText w:val="%9."/>
      <w:lvlJc w:val="right"/>
      <w:pPr>
        <w:ind w:left="6451" w:hanging="180"/>
      </w:pPr>
    </w:lvl>
  </w:abstractNum>
  <w:abstractNum w:abstractNumId="16">
    <w:nsid w:val="0B2A764B"/>
    <w:multiLevelType w:val="hybridMultilevel"/>
    <w:tmpl w:val="26C49AAE"/>
    <w:lvl w:ilvl="0" w:tplc="7FBE32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C7A60AE"/>
    <w:multiLevelType w:val="hybridMultilevel"/>
    <w:tmpl w:val="5C6CED34"/>
    <w:lvl w:ilvl="0" w:tplc="FFFFFFFF">
      <w:start w:val="9"/>
      <w:numFmt w:val="bullet"/>
      <w:lvlText w:val="-"/>
      <w:lvlJc w:val="left"/>
      <w:pPr>
        <w:tabs>
          <w:tab w:val="num" w:pos="1080"/>
        </w:tabs>
        <w:ind w:left="1080" w:hanging="360"/>
      </w:pPr>
      <w:rPr>
        <w:rFonts w:ascii="Calisto MT" w:eastAsia="Calisto MT" w:hAnsi="Calisto MT" w:cs="Calisto MT"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0F64130F"/>
    <w:multiLevelType w:val="hybridMultilevel"/>
    <w:tmpl w:val="AA8E87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D328F4"/>
    <w:multiLevelType w:val="hybridMultilevel"/>
    <w:tmpl w:val="BE5207E4"/>
    <w:lvl w:ilvl="0" w:tplc="04090017">
      <w:start w:val="1"/>
      <w:numFmt w:val="lowerLetter"/>
      <w:lvlText w:val="%1)"/>
      <w:lvlJc w:val="left"/>
      <w:pPr>
        <w:ind w:left="700" w:hanging="360"/>
      </w:pPr>
      <w:rPr>
        <w:rFonts w:cs="Times New Roman"/>
      </w:rPr>
    </w:lvl>
    <w:lvl w:ilvl="1" w:tplc="04090019">
      <w:start w:val="1"/>
      <w:numFmt w:val="lowerLetter"/>
      <w:lvlText w:val="%2."/>
      <w:lvlJc w:val="left"/>
      <w:pPr>
        <w:ind w:left="1420" w:hanging="360"/>
      </w:pPr>
      <w:rPr>
        <w:rFonts w:cs="Times New Roman"/>
      </w:rPr>
    </w:lvl>
    <w:lvl w:ilvl="2" w:tplc="0409001B">
      <w:start w:val="1"/>
      <w:numFmt w:val="lowerRoman"/>
      <w:lvlText w:val="%3."/>
      <w:lvlJc w:val="right"/>
      <w:pPr>
        <w:ind w:left="2140" w:hanging="180"/>
      </w:pPr>
      <w:rPr>
        <w:rFonts w:cs="Times New Roman"/>
      </w:rPr>
    </w:lvl>
    <w:lvl w:ilvl="3" w:tplc="0409000F">
      <w:start w:val="1"/>
      <w:numFmt w:val="decimal"/>
      <w:lvlText w:val="%4."/>
      <w:lvlJc w:val="left"/>
      <w:pPr>
        <w:ind w:left="2860" w:hanging="360"/>
      </w:pPr>
      <w:rPr>
        <w:rFonts w:cs="Times New Roman"/>
      </w:rPr>
    </w:lvl>
    <w:lvl w:ilvl="4" w:tplc="04090019">
      <w:start w:val="1"/>
      <w:numFmt w:val="lowerLetter"/>
      <w:lvlText w:val="%5."/>
      <w:lvlJc w:val="left"/>
      <w:pPr>
        <w:ind w:left="3580" w:hanging="360"/>
      </w:pPr>
      <w:rPr>
        <w:rFonts w:cs="Times New Roman"/>
      </w:rPr>
    </w:lvl>
    <w:lvl w:ilvl="5" w:tplc="0409001B">
      <w:start w:val="1"/>
      <w:numFmt w:val="lowerRoman"/>
      <w:lvlText w:val="%6."/>
      <w:lvlJc w:val="right"/>
      <w:pPr>
        <w:ind w:left="4300" w:hanging="180"/>
      </w:pPr>
      <w:rPr>
        <w:rFonts w:cs="Times New Roman"/>
      </w:rPr>
    </w:lvl>
    <w:lvl w:ilvl="6" w:tplc="0409000F">
      <w:start w:val="1"/>
      <w:numFmt w:val="decimal"/>
      <w:lvlText w:val="%7."/>
      <w:lvlJc w:val="left"/>
      <w:pPr>
        <w:ind w:left="5020" w:hanging="360"/>
      </w:pPr>
      <w:rPr>
        <w:rFonts w:cs="Times New Roman"/>
      </w:rPr>
    </w:lvl>
    <w:lvl w:ilvl="7" w:tplc="04090019">
      <w:start w:val="1"/>
      <w:numFmt w:val="lowerLetter"/>
      <w:lvlText w:val="%8."/>
      <w:lvlJc w:val="left"/>
      <w:pPr>
        <w:ind w:left="5740" w:hanging="360"/>
      </w:pPr>
      <w:rPr>
        <w:rFonts w:cs="Times New Roman"/>
      </w:rPr>
    </w:lvl>
    <w:lvl w:ilvl="8" w:tplc="0409001B">
      <w:start w:val="1"/>
      <w:numFmt w:val="lowerRoman"/>
      <w:lvlText w:val="%9."/>
      <w:lvlJc w:val="right"/>
      <w:pPr>
        <w:ind w:left="6460" w:hanging="180"/>
      </w:pPr>
      <w:rPr>
        <w:rFonts w:cs="Times New Roman"/>
      </w:rPr>
    </w:lvl>
  </w:abstractNum>
  <w:abstractNum w:abstractNumId="20">
    <w:nsid w:val="11686B6B"/>
    <w:multiLevelType w:val="hybridMultilevel"/>
    <w:tmpl w:val="6664A47A"/>
    <w:lvl w:ilvl="0" w:tplc="D9CADA80">
      <w:start w:val="1"/>
      <w:numFmt w:val="lowerLetter"/>
      <w:lvlText w:val="%1)"/>
      <w:lvlJc w:val="left"/>
      <w:pPr>
        <w:ind w:left="701" w:hanging="360"/>
      </w:pPr>
      <w:rPr>
        <w:rFonts w:cs="Times New Roman"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21">
    <w:nsid w:val="11825FBD"/>
    <w:multiLevelType w:val="hybridMultilevel"/>
    <w:tmpl w:val="3D3C7F14"/>
    <w:lvl w:ilvl="0" w:tplc="D9CADA8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4359B9"/>
    <w:multiLevelType w:val="hybridMultilevel"/>
    <w:tmpl w:val="9DFA19F6"/>
    <w:lvl w:ilvl="0" w:tplc="0409000B">
      <w:start w:val="1"/>
      <w:numFmt w:val="bullet"/>
      <w:lvlText w:val=""/>
      <w:lvlJc w:val="left"/>
      <w:pPr>
        <w:tabs>
          <w:tab w:val="num" w:pos="720"/>
        </w:tabs>
        <w:ind w:left="720" w:hanging="360"/>
      </w:pPr>
      <w:rPr>
        <w:rFonts w:ascii="Wingdings" w:hAnsi="Wingdings" w:hint="default"/>
      </w:rPr>
    </w:lvl>
    <w:lvl w:ilvl="1" w:tplc="1FE0198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4A3789B"/>
    <w:multiLevelType w:val="hybridMultilevel"/>
    <w:tmpl w:val="43520F6C"/>
    <w:lvl w:ilvl="0" w:tplc="D9CADA80">
      <w:start w:val="1"/>
      <w:numFmt w:val="lowerLetter"/>
      <w:lvlText w:val="%1)"/>
      <w:lvlJc w:val="left"/>
      <w:pPr>
        <w:ind w:left="669" w:hanging="360"/>
      </w:pPr>
      <w:rPr>
        <w:rFonts w:cs="Times New Roman"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24">
    <w:nsid w:val="14DE30E9"/>
    <w:multiLevelType w:val="hybridMultilevel"/>
    <w:tmpl w:val="4C2EF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51D34F7"/>
    <w:multiLevelType w:val="hybridMultilevel"/>
    <w:tmpl w:val="620AB030"/>
    <w:lvl w:ilvl="0" w:tplc="1FE0198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54646C6"/>
    <w:multiLevelType w:val="hybridMultilevel"/>
    <w:tmpl w:val="BBAA057E"/>
    <w:lvl w:ilvl="0" w:tplc="0409000B">
      <w:start w:val="1"/>
      <w:numFmt w:val="bullet"/>
      <w:lvlText w:val=""/>
      <w:lvlJc w:val="left"/>
      <w:pPr>
        <w:tabs>
          <w:tab w:val="num" w:pos="720"/>
        </w:tabs>
        <w:ind w:left="720" w:hanging="360"/>
      </w:pPr>
      <w:rPr>
        <w:rFonts w:ascii="Wingdings" w:hAnsi="Wingdings" w:hint="default"/>
      </w:rPr>
    </w:lvl>
    <w:lvl w:ilvl="1" w:tplc="FFFFFFFF">
      <w:start w:val="9"/>
      <w:numFmt w:val="bullet"/>
      <w:lvlText w:val="-"/>
      <w:lvlJc w:val="left"/>
      <w:pPr>
        <w:tabs>
          <w:tab w:val="num" w:pos="1440"/>
        </w:tabs>
        <w:ind w:left="1440" w:hanging="360"/>
      </w:pPr>
      <w:rPr>
        <w:rFonts w:ascii="Calisto MT" w:eastAsia="Calisto MT" w:hAnsi="Calisto MT" w:cs="Calisto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5F4635E"/>
    <w:multiLevelType w:val="hybridMultilevel"/>
    <w:tmpl w:val="B3C07D98"/>
    <w:lvl w:ilvl="0" w:tplc="D9CADA8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6A0DA3"/>
    <w:multiLevelType w:val="hybridMultilevel"/>
    <w:tmpl w:val="AE34B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68A5CB5"/>
    <w:multiLevelType w:val="hybridMultilevel"/>
    <w:tmpl w:val="A5AA1D1C"/>
    <w:lvl w:ilvl="0" w:tplc="C9A8DB68">
      <w:start w:val="1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176D6FA7"/>
    <w:multiLevelType w:val="hybridMultilevel"/>
    <w:tmpl w:val="0340EA92"/>
    <w:lvl w:ilvl="0" w:tplc="F94C859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18356D1C"/>
    <w:multiLevelType w:val="hybridMultilevel"/>
    <w:tmpl w:val="4A74C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8B17ECC"/>
    <w:multiLevelType w:val="hybridMultilevel"/>
    <w:tmpl w:val="54D83DD0"/>
    <w:lvl w:ilvl="0" w:tplc="04090017">
      <w:start w:val="1"/>
      <w:numFmt w:val="lowerLetter"/>
      <w:lvlText w:val="%1)"/>
      <w:lvlJc w:val="left"/>
      <w:pPr>
        <w:ind w:left="700" w:hanging="360"/>
      </w:pPr>
      <w:rPr>
        <w:rFonts w:cs="Times New Roman"/>
      </w:rPr>
    </w:lvl>
    <w:lvl w:ilvl="1" w:tplc="04090019">
      <w:start w:val="1"/>
      <w:numFmt w:val="lowerLetter"/>
      <w:lvlText w:val="%2."/>
      <w:lvlJc w:val="left"/>
      <w:pPr>
        <w:ind w:left="1420" w:hanging="360"/>
      </w:pPr>
      <w:rPr>
        <w:rFonts w:cs="Times New Roman"/>
      </w:rPr>
    </w:lvl>
    <w:lvl w:ilvl="2" w:tplc="0409001B">
      <w:start w:val="1"/>
      <w:numFmt w:val="lowerRoman"/>
      <w:lvlText w:val="%3."/>
      <w:lvlJc w:val="right"/>
      <w:pPr>
        <w:ind w:left="2140" w:hanging="180"/>
      </w:pPr>
      <w:rPr>
        <w:rFonts w:cs="Times New Roman"/>
      </w:rPr>
    </w:lvl>
    <w:lvl w:ilvl="3" w:tplc="0409000F">
      <w:start w:val="1"/>
      <w:numFmt w:val="decimal"/>
      <w:lvlText w:val="%4."/>
      <w:lvlJc w:val="left"/>
      <w:pPr>
        <w:ind w:left="2860" w:hanging="360"/>
      </w:pPr>
      <w:rPr>
        <w:rFonts w:cs="Times New Roman"/>
      </w:rPr>
    </w:lvl>
    <w:lvl w:ilvl="4" w:tplc="04090019">
      <w:start w:val="1"/>
      <w:numFmt w:val="lowerLetter"/>
      <w:lvlText w:val="%5."/>
      <w:lvlJc w:val="left"/>
      <w:pPr>
        <w:ind w:left="3580" w:hanging="360"/>
      </w:pPr>
      <w:rPr>
        <w:rFonts w:cs="Times New Roman"/>
      </w:rPr>
    </w:lvl>
    <w:lvl w:ilvl="5" w:tplc="0409001B">
      <w:start w:val="1"/>
      <w:numFmt w:val="lowerRoman"/>
      <w:lvlText w:val="%6."/>
      <w:lvlJc w:val="right"/>
      <w:pPr>
        <w:ind w:left="4300" w:hanging="180"/>
      </w:pPr>
      <w:rPr>
        <w:rFonts w:cs="Times New Roman"/>
      </w:rPr>
    </w:lvl>
    <w:lvl w:ilvl="6" w:tplc="0409000F">
      <w:start w:val="1"/>
      <w:numFmt w:val="decimal"/>
      <w:lvlText w:val="%7."/>
      <w:lvlJc w:val="left"/>
      <w:pPr>
        <w:ind w:left="5020" w:hanging="360"/>
      </w:pPr>
      <w:rPr>
        <w:rFonts w:cs="Times New Roman"/>
      </w:rPr>
    </w:lvl>
    <w:lvl w:ilvl="7" w:tplc="04090019">
      <w:start w:val="1"/>
      <w:numFmt w:val="lowerLetter"/>
      <w:lvlText w:val="%8."/>
      <w:lvlJc w:val="left"/>
      <w:pPr>
        <w:ind w:left="5740" w:hanging="360"/>
      </w:pPr>
      <w:rPr>
        <w:rFonts w:cs="Times New Roman"/>
      </w:rPr>
    </w:lvl>
    <w:lvl w:ilvl="8" w:tplc="0409001B">
      <w:start w:val="1"/>
      <w:numFmt w:val="lowerRoman"/>
      <w:lvlText w:val="%9."/>
      <w:lvlJc w:val="right"/>
      <w:pPr>
        <w:ind w:left="6460" w:hanging="180"/>
      </w:pPr>
      <w:rPr>
        <w:rFonts w:cs="Times New Roman"/>
      </w:rPr>
    </w:lvl>
  </w:abstractNum>
  <w:abstractNum w:abstractNumId="33">
    <w:nsid w:val="18BF02F5"/>
    <w:multiLevelType w:val="hybridMultilevel"/>
    <w:tmpl w:val="56766440"/>
    <w:lvl w:ilvl="0" w:tplc="1FE0198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98A6902"/>
    <w:multiLevelType w:val="hybridMultilevel"/>
    <w:tmpl w:val="6A0E365E"/>
    <w:lvl w:ilvl="0" w:tplc="FFFFFFFF">
      <w:start w:val="9"/>
      <w:numFmt w:val="bullet"/>
      <w:lvlText w:val="-"/>
      <w:lvlJc w:val="left"/>
      <w:pPr>
        <w:tabs>
          <w:tab w:val="num" w:pos="360"/>
        </w:tabs>
        <w:ind w:left="360" w:hanging="360"/>
      </w:pPr>
      <w:rPr>
        <w:rFonts w:ascii="Calisto MT" w:eastAsia="Calisto MT" w:hAnsi="Calisto MT" w:cs="Calisto MT" w:hint="default"/>
      </w:rPr>
    </w:lvl>
    <w:lvl w:ilvl="1" w:tplc="04090003">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A8E6A4B"/>
    <w:multiLevelType w:val="hybridMultilevel"/>
    <w:tmpl w:val="082E414C"/>
    <w:lvl w:ilvl="0" w:tplc="D9CADA80">
      <w:start w:val="1"/>
      <w:numFmt w:val="lowerLetter"/>
      <w:lvlText w:val="%1)"/>
      <w:lvlJc w:val="left"/>
      <w:pPr>
        <w:ind w:left="661" w:hanging="360"/>
      </w:pPr>
      <w:rPr>
        <w:rFonts w:cs="Times New Roman" w:hint="default"/>
      </w:rPr>
    </w:lvl>
    <w:lvl w:ilvl="1" w:tplc="04090019" w:tentative="1">
      <w:start w:val="1"/>
      <w:numFmt w:val="lowerLetter"/>
      <w:lvlText w:val="%2."/>
      <w:lvlJc w:val="left"/>
      <w:pPr>
        <w:ind w:left="1381" w:hanging="360"/>
      </w:pPr>
    </w:lvl>
    <w:lvl w:ilvl="2" w:tplc="0409001B" w:tentative="1">
      <w:start w:val="1"/>
      <w:numFmt w:val="lowerRoman"/>
      <w:lvlText w:val="%3."/>
      <w:lvlJc w:val="right"/>
      <w:pPr>
        <w:ind w:left="2101" w:hanging="180"/>
      </w:pPr>
    </w:lvl>
    <w:lvl w:ilvl="3" w:tplc="0409000F" w:tentative="1">
      <w:start w:val="1"/>
      <w:numFmt w:val="decimal"/>
      <w:lvlText w:val="%4."/>
      <w:lvlJc w:val="left"/>
      <w:pPr>
        <w:ind w:left="2821" w:hanging="360"/>
      </w:pPr>
    </w:lvl>
    <w:lvl w:ilvl="4" w:tplc="04090019" w:tentative="1">
      <w:start w:val="1"/>
      <w:numFmt w:val="lowerLetter"/>
      <w:lvlText w:val="%5."/>
      <w:lvlJc w:val="left"/>
      <w:pPr>
        <w:ind w:left="3541" w:hanging="360"/>
      </w:pPr>
    </w:lvl>
    <w:lvl w:ilvl="5" w:tplc="0409001B" w:tentative="1">
      <w:start w:val="1"/>
      <w:numFmt w:val="lowerRoman"/>
      <w:lvlText w:val="%6."/>
      <w:lvlJc w:val="right"/>
      <w:pPr>
        <w:ind w:left="4261" w:hanging="180"/>
      </w:pPr>
    </w:lvl>
    <w:lvl w:ilvl="6" w:tplc="0409000F" w:tentative="1">
      <w:start w:val="1"/>
      <w:numFmt w:val="decimal"/>
      <w:lvlText w:val="%7."/>
      <w:lvlJc w:val="left"/>
      <w:pPr>
        <w:ind w:left="4981" w:hanging="360"/>
      </w:pPr>
    </w:lvl>
    <w:lvl w:ilvl="7" w:tplc="04090019" w:tentative="1">
      <w:start w:val="1"/>
      <w:numFmt w:val="lowerLetter"/>
      <w:lvlText w:val="%8."/>
      <w:lvlJc w:val="left"/>
      <w:pPr>
        <w:ind w:left="5701" w:hanging="360"/>
      </w:pPr>
    </w:lvl>
    <w:lvl w:ilvl="8" w:tplc="0409001B" w:tentative="1">
      <w:start w:val="1"/>
      <w:numFmt w:val="lowerRoman"/>
      <w:lvlText w:val="%9."/>
      <w:lvlJc w:val="right"/>
      <w:pPr>
        <w:ind w:left="6421" w:hanging="180"/>
      </w:pPr>
    </w:lvl>
  </w:abstractNum>
  <w:abstractNum w:abstractNumId="36">
    <w:nsid w:val="1BD72E3E"/>
    <w:multiLevelType w:val="hybridMultilevel"/>
    <w:tmpl w:val="764A7ED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1DAB5828"/>
    <w:multiLevelType w:val="hybridMultilevel"/>
    <w:tmpl w:val="075806D2"/>
    <w:lvl w:ilvl="0" w:tplc="04090017">
      <w:start w:val="1"/>
      <w:numFmt w:val="lowerLetter"/>
      <w:lvlText w:val="%1)"/>
      <w:lvlJc w:val="left"/>
      <w:pPr>
        <w:ind w:left="720" w:hanging="360"/>
      </w:pPr>
    </w:lvl>
    <w:lvl w:ilvl="1" w:tplc="24E263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314A4C"/>
    <w:multiLevelType w:val="hybridMultilevel"/>
    <w:tmpl w:val="2C1C88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FF93CD1"/>
    <w:multiLevelType w:val="hybridMultilevel"/>
    <w:tmpl w:val="DDE8ABFA"/>
    <w:lvl w:ilvl="0" w:tplc="CE4A9994">
      <w:start w:val="8"/>
      <w:numFmt w:val="bullet"/>
      <w:lvlText w:val="-"/>
      <w:lvlJc w:val="left"/>
      <w:pPr>
        <w:tabs>
          <w:tab w:val="num" w:pos="720"/>
        </w:tabs>
        <w:ind w:left="720" w:hanging="360"/>
      </w:pPr>
      <w:rPr>
        <w:rFonts w:ascii="Arial" w:eastAsia="Times New Roman" w:hAnsi="Arial" w:cs="Aria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0B31CB6"/>
    <w:multiLevelType w:val="hybridMultilevel"/>
    <w:tmpl w:val="E850DA60"/>
    <w:lvl w:ilvl="0" w:tplc="FFFFFFFF">
      <w:start w:val="9"/>
      <w:numFmt w:val="bullet"/>
      <w:lvlText w:val="-"/>
      <w:lvlJc w:val="left"/>
      <w:pPr>
        <w:tabs>
          <w:tab w:val="num" w:pos="372"/>
        </w:tabs>
        <w:ind w:left="372" w:hanging="360"/>
      </w:pPr>
      <w:rPr>
        <w:rFonts w:ascii="Calisto MT" w:eastAsia="Calisto MT" w:hAnsi="Calisto MT" w:cs="Calisto MT" w:hint="default"/>
      </w:rPr>
    </w:lvl>
    <w:lvl w:ilvl="1" w:tplc="04090003">
      <w:start w:val="1"/>
      <w:numFmt w:val="bullet"/>
      <w:lvlText w:val="o"/>
      <w:lvlJc w:val="left"/>
      <w:pPr>
        <w:tabs>
          <w:tab w:val="num" w:pos="1452"/>
        </w:tabs>
        <w:ind w:left="1452" w:hanging="360"/>
      </w:pPr>
      <w:rPr>
        <w:rFonts w:ascii="Courier New" w:hAnsi="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41">
    <w:nsid w:val="20C564D9"/>
    <w:multiLevelType w:val="hybridMultilevel"/>
    <w:tmpl w:val="3FC2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0C71898"/>
    <w:multiLevelType w:val="hybridMultilevel"/>
    <w:tmpl w:val="4798EA46"/>
    <w:lvl w:ilvl="0" w:tplc="D9CADA8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11A1E9C"/>
    <w:multiLevelType w:val="hybridMultilevel"/>
    <w:tmpl w:val="09F8C3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3151FD9"/>
    <w:multiLevelType w:val="hybridMultilevel"/>
    <w:tmpl w:val="8A9E3B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36B7B6E"/>
    <w:multiLevelType w:val="hybridMultilevel"/>
    <w:tmpl w:val="E3DAB1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3AC2E7F"/>
    <w:multiLevelType w:val="hybridMultilevel"/>
    <w:tmpl w:val="8B92F63A"/>
    <w:lvl w:ilvl="0" w:tplc="85582A32">
      <w:start w:val="11"/>
      <w:numFmt w:val="decimal"/>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47">
    <w:nsid w:val="23C56DDD"/>
    <w:multiLevelType w:val="hybridMultilevel"/>
    <w:tmpl w:val="68D8A6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430000C"/>
    <w:multiLevelType w:val="hybridMultilevel"/>
    <w:tmpl w:val="F704088E"/>
    <w:lvl w:ilvl="0" w:tplc="04090017">
      <w:start w:val="1"/>
      <w:numFmt w:val="lowerLetter"/>
      <w:lvlText w:val="%1)"/>
      <w:lvlJc w:val="left"/>
      <w:pPr>
        <w:ind w:left="691" w:hanging="360"/>
      </w:pPr>
      <w:rPr>
        <w:rFonts w:cs="Times New Roman"/>
      </w:rPr>
    </w:lvl>
    <w:lvl w:ilvl="1" w:tplc="04090019">
      <w:start w:val="1"/>
      <w:numFmt w:val="lowerLetter"/>
      <w:lvlText w:val="%2."/>
      <w:lvlJc w:val="left"/>
      <w:pPr>
        <w:ind w:left="1411" w:hanging="360"/>
      </w:pPr>
      <w:rPr>
        <w:rFonts w:cs="Times New Roman"/>
      </w:rPr>
    </w:lvl>
    <w:lvl w:ilvl="2" w:tplc="0409001B">
      <w:start w:val="1"/>
      <w:numFmt w:val="lowerRoman"/>
      <w:lvlText w:val="%3."/>
      <w:lvlJc w:val="right"/>
      <w:pPr>
        <w:ind w:left="2131" w:hanging="180"/>
      </w:pPr>
      <w:rPr>
        <w:rFonts w:cs="Times New Roman"/>
      </w:rPr>
    </w:lvl>
    <w:lvl w:ilvl="3" w:tplc="0409000F">
      <w:start w:val="1"/>
      <w:numFmt w:val="decimal"/>
      <w:lvlText w:val="%4."/>
      <w:lvlJc w:val="left"/>
      <w:pPr>
        <w:ind w:left="2851" w:hanging="360"/>
      </w:pPr>
      <w:rPr>
        <w:rFonts w:cs="Times New Roman"/>
      </w:rPr>
    </w:lvl>
    <w:lvl w:ilvl="4" w:tplc="04090019">
      <w:start w:val="1"/>
      <w:numFmt w:val="lowerLetter"/>
      <w:lvlText w:val="%5."/>
      <w:lvlJc w:val="left"/>
      <w:pPr>
        <w:ind w:left="3571" w:hanging="360"/>
      </w:pPr>
      <w:rPr>
        <w:rFonts w:cs="Times New Roman"/>
      </w:rPr>
    </w:lvl>
    <w:lvl w:ilvl="5" w:tplc="0409001B">
      <w:start w:val="1"/>
      <w:numFmt w:val="lowerRoman"/>
      <w:lvlText w:val="%6."/>
      <w:lvlJc w:val="right"/>
      <w:pPr>
        <w:ind w:left="4291" w:hanging="180"/>
      </w:pPr>
      <w:rPr>
        <w:rFonts w:cs="Times New Roman"/>
      </w:rPr>
    </w:lvl>
    <w:lvl w:ilvl="6" w:tplc="0409000F">
      <w:start w:val="1"/>
      <w:numFmt w:val="decimal"/>
      <w:lvlText w:val="%7."/>
      <w:lvlJc w:val="left"/>
      <w:pPr>
        <w:ind w:left="5011" w:hanging="360"/>
      </w:pPr>
      <w:rPr>
        <w:rFonts w:cs="Times New Roman"/>
      </w:rPr>
    </w:lvl>
    <w:lvl w:ilvl="7" w:tplc="04090019">
      <w:start w:val="1"/>
      <w:numFmt w:val="lowerLetter"/>
      <w:lvlText w:val="%8."/>
      <w:lvlJc w:val="left"/>
      <w:pPr>
        <w:ind w:left="5731" w:hanging="360"/>
      </w:pPr>
      <w:rPr>
        <w:rFonts w:cs="Times New Roman"/>
      </w:rPr>
    </w:lvl>
    <w:lvl w:ilvl="8" w:tplc="0409001B">
      <w:start w:val="1"/>
      <w:numFmt w:val="lowerRoman"/>
      <w:lvlText w:val="%9."/>
      <w:lvlJc w:val="right"/>
      <w:pPr>
        <w:ind w:left="6451" w:hanging="180"/>
      </w:pPr>
      <w:rPr>
        <w:rFonts w:cs="Times New Roman"/>
      </w:rPr>
    </w:lvl>
  </w:abstractNum>
  <w:abstractNum w:abstractNumId="49">
    <w:nsid w:val="247D05C4"/>
    <w:multiLevelType w:val="hybridMultilevel"/>
    <w:tmpl w:val="DDE2BC2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0">
    <w:nsid w:val="26E972F7"/>
    <w:multiLevelType w:val="hybridMultilevel"/>
    <w:tmpl w:val="715442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27412CF2"/>
    <w:multiLevelType w:val="hybridMultilevel"/>
    <w:tmpl w:val="35D458EA"/>
    <w:lvl w:ilvl="0" w:tplc="04090017">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2">
    <w:nsid w:val="27CB566D"/>
    <w:multiLevelType w:val="hybridMultilevel"/>
    <w:tmpl w:val="96A0079C"/>
    <w:lvl w:ilvl="0" w:tplc="D9CADA80">
      <w:start w:val="1"/>
      <w:numFmt w:val="lowerLetter"/>
      <w:lvlText w:val="%1)"/>
      <w:lvlJc w:val="left"/>
      <w:pPr>
        <w:ind w:left="687" w:hanging="360"/>
      </w:pPr>
      <w:rPr>
        <w:rFonts w:cs="Times New Roman"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nsid w:val="2A096569"/>
    <w:multiLevelType w:val="hybridMultilevel"/>
    <w:tmpl w:val="0ED8D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DC81B92"/>
    <w:multiLevelType w:val="hybridMultilevel"/>
    <w:tmpl w:val="CC9C2F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2E6B08F8"/>
    <w:multiLevelType w:val="hybridMultilevel"/>
    <w:tmpl w:val="227C5504"/>
    <w:lvl w:ilvl="0" w:tplc="EA10FAB4">
      <w:start w:val="3"/>
      <w:numFmt w:val="decimal"/>
      <w:lvlText w:val="%1."/>
      <w:lvlJc w:val="left"/>
      <w:pPr>
        <w:tabs>
          <w:tab w:val="num" w:pos="0"/>
        </w:tabs>
        <w:ind w:left="360" w:hanging="360"/>
      </w:pPr>
      <w:rPr>
        <w:rFonts w:ascii="Calibri" w:eastAsia="Times New Roman" w:hAnsi="Calibri"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ED2635F"/>
    <w:multiLevelType w:val="hybridMultilevel"/>
    <w:tmpl w:val="FDA2D20A"/>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2F784DF4"/>
    <w:multiLevelType w:val="hybridMultilevel"/>
    <w:tmpl w:val="C7CA03FE"/>
    <w:lvl w:ilvl="0" w:tplc="1DA24976">
      <w:start w:val="1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32AA64C4"/>
    <w:multiLevelType w:val="hybridMultilevel"/>
    <w:tmpl w:val="C2605ED2"/>
    <w:lvl w:ilvl="0" w:tplc="C20AB3FA">
      <w:start w:val="4"/>
      <w:numFmt w:val="decimal"/>
      <w:lvlText w:val="%1."/>
      <w:lvlJc w:val="left"/>
      <w:pPr>
        <w:tabs>
          <w:tab w:val="num" w:pos="0"/>
        </w:tabs>
        <w:ind w:left="360" w:hanging="360"/>
      </w:pPr>
      <w:rPr>
        <w:rFonts w:ascii="Calibri" w:eastAsia="Times New Roman" w:hAnsi="Calibri"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32DF432B"/>
    <w:multiLevelType w:val="hybridMultilevel"/>
    <w:tmpl w:val="16E483C6"/>
    <w:lvl w:ilvl="0" w:tplc="D9CADA80">
      <w:start w:val="1"/>
      <w:numFmt w:val="lowerLetter"/>
      <w:lvlText w:val="%1)"/>
      <w:lvlJc w:val="left"/>
      <w:pPr>
        <w:ind w:left="687" w:hanging="360"/>
      </w:pPr>
      <w:rPr>
        <w:rFonts w:cs="Times New Roman"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0">
    <w:nsid w:val="334220E9"/>
    <w:multiLevelType w:val="hybridMultilevel"/>
    <w:tmpl w:val="A98601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567458"/>
    <w:multiLevelType w:val="hybridMultilevel"/>
    <w:tmpl w:val="ECD8D876"/>
    <w:lvl w:ilvl="0" w:tplc="E3C456B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346005E5"/>
    <w:multiLevelType w:val="hybridMultilevel"/>
    <w:tmpl w:val="666011C0"/>
    <w:lvl w:ilvl="0" w:tplc="1BBA0E56">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3">
    <w:nsid w:val="34D753A5"/>
    <w:multiLevelType w:val="hybridMultilevel"/>
    <w:tmpl w:val="5DA61A40"/>
    <w:lvl w:ilvl="0" w:tplc="D9CADA8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50F3643"/>
    <w:multiLevelType w:val="hybridMultilevel"/>
    <w:tmpl w:val="A77CD2D4"/>
    <w:lvl w:ilvl="0" w:tplc="28D8541C">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35D44AFA"/>
    <w:multiLevelType w:val="hybridMultilevel"/>
    <w:tmpl w:val="14E4EAA6"/>
    <w:lvl w:ilvl="0" w:tplc="7D688C8A">
      <w:start w:val="9"/>
      <w:numFmt w:val="decimal"/>
      <w:lvlText w:val="%1."/>
      <w:lvlJc w:val="left"/>
      <w:pPr>
        <w:tabs>
          <w:tab w:val="num" w:pos="405"/>
        </w:tabs>
        <w:ind w:left="405" w:hanging="360"/>
      </w:pPr>
      <w:rPr>
        <w:rFonts w:hint="default"/>
        <w:sz w:val="16"/>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66">
    <w:nsid w:val="36192734"/>
    <w:multiLevelType w:val="hybridMultilevel"/>
    <w:tmpl w:val="61F08B26"/>
    <w:lvl w:ilvl="0" w:tplc="1FE0198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8171190"/>
    <w:multiLevelType w:val="hybridMultilevel"/>
    <w:tmpl w:val="D3785186"/>
    <w:lvl w:ilvl="0" w:tplc="D9CADA80">
      <w:start w:val="1"/>
      <w:numFmt w:val="lowerLetter"/>
      <w:lvlText w:val="%1)"/>
      <w:lvlJc w:val="left"/>
      <w:pPr>
        <w:ind w:left="669" w:hanging="360"/>
      </w:pPr>
      <w:rPr>
        <w:rFonts w:cs="Times New Roman"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68">
    <w:nsid w:val="38235709"/>
    <w:multiLevelType w:val="multilevel"/>
    <w:tmpl w:val="18C241E2"/>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38486E9B"/>
    <w:multiLevelType w:val="hybridMultilevel"/>
    <w:tmpl w:val="8C26F456"/>
    <w:lvl w:ilvl="0" w:tplc="9CCCBECC">
      <w:start w:val="1"/>
      <w:numFmt w:val="lowerLetter"/>
      <w:lvlText w:val="%1)"/>
      <w:lvlJc w:val="left"/>
      <w:pPr>
        <w:ind w:left="720" w:hanging="360"/>
      </w:pPr>
    </w:lvl>
    <w:lvl w:ilvl="1" w:tplc="4A4E0B1A" w:tentative="1">
      <w:start w:val="1"/>
      <w:numFmt w:val="lowerLetter"/>
      <w:lvlText w:val="%2."/>
      <w:lvlJc w:val="left"/>
      <w:pPr>
        <w:ind w:left="1440" w:hanging="360"/>
      </w:pPr>
    </w:lvl>
    <w:lvl w:ilvl="2" w:tplc="4CB053F0" w:tentative="1">
      <w:start w:val="1"/>
      <w:numFmt w:val="lowerRoman"/>
      <w:lvlText w:val="%3."/>
      <w:lvlJc w:val="right"/>
      <w:pPr>
        <w:ind w:left="2160" w:hanging="180"/>
      </w:pPr>
    </w:lvl>
    <w:lvl w:ilvl="3" w:tplc="73EA7C04" w:tentative="1">
      <w:start w:val="1"/>
      <w:numFmt w:val="decimal"/>
      <w:lvlText w:val="%4."/>
      <w:lvlJc w:val="left"/>
      <w:pPr>
        <w:ind w:left="2880" w:hanging="360"/>
      </w:pPr>
    </w:lvl>
    <w:lvl w:ilvl="4" w:tplc="2CFAEA70" w:tentative="1">
      <w:start w:val="1"/>
      <w:numFmt w:val="lowerLetter"/>
      <w:lvlText w:val="%5."/>
      <w:lvlJc w:val="left"/>
      <w:pPr>
        <w:ind w:left="3600" w:hanging="360"/>
      </w:pPr>
    </w:lvl>
    <w:lvl w:ilvl="5" w:tplc="65BA2822" w:tentative="1">
      <w:start w:val="1"/>
      <w:numFmt w:val="lowerRoman"/>
      <w:lvlText w:val="%6."/>
      <w:lvlJc w:val="right"/>
      <w:pPr>
        <w:ind w:left="4320" w:hanging="180"/>
      </w:pPr>
    </w:lvl>
    <w:lvl w:ilvl="6" w:tplc="14B0E72C" w:tentative="1">
      <w:start w:val="1"/>
      <w:numFmt w:val="decimal"/>
      <w:lvlText w:val="%7."/>
      <w:lvlJc w:val="left"/>
      <w:pPr>
        <w:ind w:left="5040" w:hanging="360"/>
      </w:pPr>
    </w:lvl>
    <w:lvl w:ilvl="7" w:tplc="258A6A54" w:tentative="1">
      <w:start w:val="1"/>
      <w:numFmt w:val="lowerLetter"/>
      <w:lvlText w:val="%8."/>
      <w:lvlJc w:val="left"/>
      <w:pPr>
        <w:ind w:left="5760" w:hanging="360"/>
      </w:pPr>
    </w:lvl>
    <w:lvl w:ilvl="8" w:tplc="9B1853E8" w:tentative="1">
      <w:start w:val="1"/>
      <w:numFmt w:val="lowerRoman"/>
      <w:lvlText w:val="%9."/>
      <w:lvlJc w:val="right"/>
      <w:pPr>
        <w:ind w:left="6480" w:hanging="180"/>
      </w:pPr>
    </w:lvl>
  </w:abstractNum>
  <w:abstractNum w:abstractNumId="70">
    <w:nsid w:val="38C87D1D"/>
    <w:multiLevelType w:val="hybridMultilevel"/>
    <w:tmpl w:val="9D38FBE0"/>
    <w:lvl w:ilvl="0" w:tplc="865CE1E4">
      <w:start w:val="15"/>
      <w:numFmt w:val="decimal"/>
      <w:lvlText w:val="%1."/>
      <w:lvlJc w:val="left"/>
      <w:pPr>
        <w:tabs>
          <w:tab w:val="num" w:pos="360"/>
        </w:tabs>
        <w:ind w:left="360" w:hanging="360"/>
      </w:pPr>
      <w:rPr>
        <w:rFonts w:hint="default"/>
        <w:sz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38F00CB7"/>
    <w:multiLevelType w:val="hybridMultilevel"/>
    <w:tmpl w:val="DABA8EF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39540574"/>
    <w:multiLevelType w:val="hybridMultilevel"/>
    <w:tmpl w:val="A6185C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39C74E53"/>
    <w:multiLevelType w:val="hybridMultilevel"/>
    <w:tmpl w:val="32566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A941031"/>
    <w:multiLevelType w:val="hybridMultilevel"/>
    <w:tmpl w:val="B420B7B2"/>
    <w:lvl w:ilvl="0" w:tplc="D9CADA80">
      <w:start w:val="1"/>
      <w:numFmt w:val="lowerLetter"/>
      <w:lvlText w:val="%1)"/>
      <w:lvlJc w:val="left"/>
      <w:pPr>
        <w:ind w:left="708" w:hanging="360"/>
      </w:pPr>
      <w:rPr>
        <w:rFonts w:cs="Times New Roman"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75">
    <w:nsid w:val="3AA20C98"/>
    <w:multiLevelType w:val="hybridMultilevel"/>
    <w:tmpl w:val="C2805368"/>
    <w:lvl w:ilvl="0" w:tplc="0409000B">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6">
    <w:nsid w:val="3B06108C"/>
    <w:multiLevelType w:val="hybridMultilevel"/>
    <w:tmpl w:val="15A23E08"/>
    <w:lvl w:ilvl="0" w:tplc="D9CADA80">
      <w:start w:val="1"/>
      <w:numFmt w:val="lowerLetter"/>
      <w:lvlText w:val="%1)"/>
      <w:lvlJc w:val="left"/>
      <w:pPr>
        <w:ind w:left="708" w:hanging="360"/>
      </w:pPr>
      <w:rPr>
        <w:rFonts w:cs="Times New Roman"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77">
    <w:nsid w:val="3BEB6747"/>
    <w:multiLevelType w:val="hybridMultilevel"/>
    <w:tmpl w:val="6D9EE8F2"/>
    <w:lvl w:ilvl="0" w:tplc="85582A32">
      <w:start w:val="10"/>
      <w:numFmt w:val="decimal"/>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78">
    <w:nsid w:val="3CA119D4"/>
    <w:multiLevelType w:val="hybridMultilevel"/>
    <w:tmpl w:val="2B745692"/>
    <w:lvl w:ilvl="0" w:tplc="04090017">
      <w:start w:val="1"/>
      <w:numFmt w:val="lowerLetter"/>
      <w:lvlText w:val="%1)"/>
      <w:lvlJc w:val="left"/>
      <w:pPr>
        <w:ind w:left="36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nsid w:val="3D9406B5"/>
    <w:multiLevelType w:val="hybridMultilevel"/>
    <w:tmpl w:val="8FE23696"/>
    <w:lvl w:ilvl="0" w:tplc="5156A8F0">
      <w:start w:val="7"/>
      <w:numFmt w:val="decimal"/>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80">
    <w:nsid w:val="411E563C"/>
    <w:multiLevelType w:val="hybridMultilevel"/>
    <w:tmpl w:val="20C0BAC6"/>
    <w:lvl w:ilvl="0" w:tplc="1F8C942A">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2AF693B"/>
    <w:multiLevelType w:val="hybridMultilevel"/>
    <w:tmpl w:val="B1C43232"/>
    <w:lvl w:ilvl="0" w:tplc="0409000B">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48C739D"/>
    <w:multiLevelType w:val="hybridMultilevel"/>
    <w:tmpl w:val="5D40D0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4DD0581"/>
    <w:multiLevelType w:val="hybridMultilevel"/>
    <w:tmpl w:val="B0AC3F22"/>
    <w:lvl w:ilvl="0" w:tplc="D9CADA80">
      <w:start w:val="1"/>
      <w:numFmt w:val="lowerLetter"/>
      <w:lvlText w:val="%1)"/>
      <w:lvlJc w:val="left"/>
      <w:pPr>
        <w:ind w:left="708" w:hanging="360"/>
      </w:pPr>
      <w:rPr>
        <w:rFonts w:cs="Times New Roman"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84">
    <w:nsid w:val="451A2655"/>
    <w:multiLevelType w:val="hybridMultilevel"/>
    <w:tmpl w:val="AE6CFF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nsid w:val="46340197"/>
    <w:multiLevelType w:val="hybridMultilevel"/>
    <w:tmpl w:val="738AE438"/>
    <w:lvl w:ilvl="0" w:tplc="0409000B">
      <w:start w:val="1"/>
      <w:numFmt w:val="bullet"/>
      <w:lvlText w:val=""/>
      <w:lvlJc w:val="left"/>
      <w:pPr>
        <w:ind w:left="720" w:hanging="360"/>
      </w:pPr>
      <w:rPr>
        <w:rFonts w:ascii="Wingdings" w:hAnsi="Wingdings" w:hint="default"/>
      </w:rPr>
    </w:lvl>
    <w:lvl w:ilvl="1" w:tplc="08090003">
      <w:start w:val="1"/>
      <w:numFmt w:val="bullet"/>
      <w:lvlText w:val=""/>
      <w:lvlJc w:val="left"/>
      <w:pPr>
        <w:ind w:left="1440" w:hanging="360"/>
      </w:pPr>
      <w:rPr>
        <w:rFonts w:ascii="Symbol" w:hAnsi="Symbol" w:cs="Symbol"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6">
    <w:nsid w:val="465A24A2"/>
    <w:multiLevelType w:val="hybridMultilevel"/>
    <w:tmpl w:val="1E24BD70"/>
    <w:lvl w:ilvl="0" w:tplc="5EC059A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7890513"/>
    <w:multiLevelType w:val="hybridMultilevel"/>
    <w:tmpl w:val="AB1A9E72"/>
    <w:lvl w:ilvl="0" w:tplc="A17A4F60">
      <w:start w:val="14"/>
      <w:numFmt w:val="decimal"/>
      <w:lvlText w:val="%1."/>
      <w:lvlJc w:val="left"/>
      <w:pPr>
        <w:tabs>
          <w:tab w:val="num" w:pos="360"/>
        </w:tabs>
        <w:ind w:left="360" w:hanging="360"/>
      </w:pPr>
      <w:rPr>
        <w:rFonts w:hint="default"/>
        <w:sz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8">
    <w:nsid w:val="4857672E"/>
    <w:multiLevelType w:val="hybridMultilevel"/>
    <w:tmpl w:val="4B6CED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92E292B"/>
    <w:multiLevelType w:val="hybridMultilevel"/>
    <w:tmpl w:val="3D66EFEE"/>
    <w:lvl w:ilvl="0" w:tplc="D9CADA80">
      <w:start w:val="1"/>
      <w:numFmt w:val="lowerLetter"/>
      <w:lvlText w:val="%1)"/>
      <w:lvlJc w:val="left"/>
      <w:pPr>
        <w:ind w:left="701" w:hanging="360"/>
      </w:pPr>
      <w:rPr>
        <w:rFonts w:cs="Times New Roman"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90">
    <w:nsid w:val="49465592"/>
    <w:multiLevelType w:val="hybridMultilevel"/>
    <w:tmpl w:val="1938E1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495B7D03"/>
    <w:multiLevelType w:val="hybridMultilevel"/>
    <w:tmpl w:val="3FD645AA"/>
    <w:lvl w:ilvl="0" w:tplc="04090017">
      <w:start w:val="1"/>
      <w:numFmt w:val="lowerLetter"/>
      <w:lvlText w:val="%1)"/>
      <w:lvlJc w:val="left"/>
      <w:pPr>
        <w:ind w:left="36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nsid w:val="49C37AA9"/>
    <w:multiLevelType w:val="hybridMultilevel"/>
    <w:tmpl w:val="244C00AA"/>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93">
    <w:nsid w:val="4B042EC2"/>
    <w:multiLevelType w:val="hybridMultilevel"/>
    <w:tmpl w:val="4B128014"/>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4">
    <w:nsid w:val="4B5E2BB1"/>
    <w:multiLevelType w:val="hybridMultilevel"/>
    <w:tmpl w:val="3B34ADA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95">
    <w:nsid w:val="4C15790F"/>
    <w:multiLevelType w:val="hybridMultilevel"/>
    <w:tmpl w:val="25C092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C650481"/>
    <w:multiLevelType w:val="hybridMultilevel"/>
    <w:tmpl w:val="6EBC9C50"/>
    <w:lvl w:ilvl="0" w:tplc="F4A4EB6E">
      <w:start w:val="16"/>
      <w:numFmt w:val="decimal"/>
      <w:lvlText w:val="%1."/>
      <w:lvlJc w:val="left"/>
      <w:pPr>
        <w:tabs>
          <w:tab w:val="num" w:pos="360"/>
        </w:tabs>
        <w:ind w:left="360" w:hanging="360"/>
      </w:pPr>
      <w:rPr>
        <w:rFonts w:hint="default"/>
        <w:sz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7">
    <w:nsid w:val="4C911815"/>
    <w:multiLevelType w:val="hybridMultilevel"/>
    <w:tmpl w:val="369C5BA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8">
    <w:nsid w:val="4CA04F1B"/>
    <w:multiLevelType w:val="hybridMultilevel"/>
    <w:tmpl w:val="E64CA634"/>
    <w:lvl w:ilvl="0" w:tplc="1DA24976">
      <w:start w:val="1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4CC5733A"/>
    <w:multiLevelType w:val="hybridMultilevel"/>
    <w:tmpl w:val="9CC82050"/>
    <w:lvl w:ilvl="0" w:tplc="D9CADA8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D730120"/>
    <w:multiLevelType w:val="hybridMultilevel"/>
    <w:tmpl w:val="C10A3C8A"/>
    <w:lvl w:ilvl="0" w:tplc="D9CADA80">
      <w:start w:val="1"/>
      <w:numFmt w:val="lowerLetter"/>
      <w:lvlText w:val="%1)"/>
      <w:lvlJc w:val="left"/>
      <w:pPr>
        <w:ind w:left="691" w:hanging="360"/>
      </w:pPr>
      <w:rPr>
        <w:rFonts w:cs="Times New Roman" w:hint="default"/>
      </w:rPr>
    </w:lvl>
    <w:lvl w:ilvl="1" w:tplc="04090019" w:tentative="1">
      <w:start w:val="1"/>
      <w:numFmt w:val="lowerLetter"/>
      <w:lvlText w:val="%2."/>
      <w:lvlJc w:val="left"/>
      <w:pPr>
        <w:ind w:left="1411" w:hanging="360"/>
      </w:pPr>
    </w:lvl>
    <w:lvl w:ilvl="2" w:tplc="0409001B" w:tentative="1">
      <w:start w:val="1"/>
      <w:numFmt w:val="lowerRoman"/>
      <w:lvlText w:val="%3."/>
      <w:lvlJc w:val="right"/>
      <w:pPr>
        <w:ind w:left="2131" w:hanging="180"/>
      </w:pPr>
    </w:lvl>
    <w:lvl w:ilvl="3" w:tplc="0409000F" w:tentative="1">
      <w:start w:val="1"/>
      <w:numFmt w:val="decimal"/>
      <w:lvlText w:val="%4."/>
      <w:lvlJc w:val="left"/>
      <w:pPr>
        <w:ind w:left="2851" w:hanging="360"/>
      </w:pPr>
    </w:lvl>
    <w:lvl w:ilvl="4" w:tplc="04090019" w:tentative="1">
      <w:start w:val="1"/>
      <w:numFmt w:val="lowerLetter"/>
      <w:lvlText w:val="%5."/>
      <w:lvlJc w:val="left"/>
      <w:pPr>
        <w:ind w:left="3571" w:hanging="360"/>
      </w:pPr>
    </w:lvl>
    <w:lvl w:ilvl="5" w:tplc="0409001B" w:tentative="1">
      <w:start w:val="1"/>
      <w:numFmt w:val="lowerRoman"/>
      <w:lvlText w:val="%6."/>
      <w:lvlJc w:val="right"/>
      <w:pPr>
        <w:ind w:left="4291" w:hanging="180"/>
      </w:pPr>
    </w:lvl>
    <w:lvl w:ilvl="6" w:tplc="0409000F" w:tentative="1">
      <w:start w:val="1"/>
      <w:numFmt w:val="decimal"/>
      <w:lvlText w:val="%7."/>
      <w:lvlJc w:val="left"/>
      <w:pPr>
        <w:ind w:left="5011" w:hanging="360"/>
      </w:pPr>
    </w:lvl>
    <w:lvl w:ilvl="7" w:tplc="04090019" w:tentative="1">
      <w:start w:val="1"/>
      <w:numFmt w:val="lowerLetter"/>
      <w:lvlText w:val="%8."/>
      <w:lvlJc w:val="left"/>
      <w:pPr>
        <w:ind w:left="5731" w:hanging="360"/>
      </w:pPr>
    </w:lvl>
    <w:lvl w:ilvl="8" w:tplc="0409001B" w:tentative="1">
      <w:start w:val="1"/>
      <w:numFmt w:val="lowerRoman"/>
      <w:lvlText w:val="%9."/>
      <w:lvlJc w:val="right"/>
      <w:pPr>
        <w:ind w:left="6451" w:hanging="180"/>
      </w:pPr>
    </w:lvl>
  </w:abstractNum>
  <w:abstractNum w:abstractNumId="101">
    <w:nsid w:val="4F982F75"/>
    <w:multiLevelType w:val="hybridMultilevel"/>
    <w:tmpl w:val="66009F02"/>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5087228C"/>
    <w:multiLevelType w:val="hybridMultilevel"/>
    <w:tmpl w:val="25DA84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509F3644"/>
    <w:multiLevelType w:val="hybridMultilevel"/>
    <w:tmpl w:val="11D430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22478EF"/>
    <w:multiLevelType w:val="hybridMultilevel"/>
    <w:tmpl w:val="C8CE1FAA"/>
    <w:lvl w:ilvl="0" w:tplc="FB7EC9BC">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53800D5C"/>
    <w:multiLevelType w:val="hybridMultilevel"/>
    <w:tmpl w:val="7B364F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6D9791E"/>
    <w:multiLevelType w:val="hybridMultilevel"/>
    <w:tmpl w:val="86421C28"/>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nsid w:val="574F2EEA"/>
    <w:multiLevelType w:val="hybridMultilevel"/>
    <w:tmpl w:val="23A6D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57AF191A"/>
    <w:multiLevelType w:val="hybridMultilevel"/>
    <w:tmpl w:val="49827D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594E3F6E"/>
    <w:multiLevelType w:val="hybridMultilevel"/>
    <w:tmpl w:val="4ACE478E"/>
    <w:lvl w:ilvl="0" w:tplc="B7048E82">
      <w:start w:val="1"/>
      <w:numFmt w:val="lowerLetter"/>
      <w:lvlText w:val="%1)"/>
      <w:lvlJc w:val="left"/>
      <w:pPr>
        <w:ind w:left="68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10">
    <w:nsid w:val="5AD74695"/>
    <w:multiLevelType w:val="hybridMultilevel"/>
    <w:tmpl w:val="0B8C5D4A"/>
    <w:lvl w:ilvl="0" w:tplc="D9CADA8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B4A79F4"/>
    <w:multiLevelType w:val="hybridMultilevel"/>
    <w:tmpl w:val="6C72D666"/>
    <w:lvl w:ilvl="0" w:tplc="6C5449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CD05C07"/>
    <w:multiLevelType w:val="hybridMultilevel"/>
    <w:tmpl w:val="6368FCDC"/>
    <w:lvl w:ilvl="0" w:tplc="D9CADA80">
      <w:start w:val="1"/>
      <w:numFmt w:val="lowerLetter"/>
      <w:lvlText w:val="%1)"/>
      <w:lvlJc w:val="left"/>
      <w:pPr>
        <w:ind w:left="708" w:hanging="360"/>
      </w:pPr>
      <w:rPr>
        <w:rFonts w:cs="Times New Roman"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13">
    <w:nsid w:val="5D2C1941"/>
    <w:multiLevelType w:val="hybridMultilevel"/>
    <w:tmpl w:val="019E4E6C"/>
    <w:lvl w:ilvl="0" w:tplc="D9CADA80">
      <w:start w:val="1"/>
      <w:numFmt w:val="lowerLetter"/>
      <w:lvlText w:val="%1)"/>
      <w:lvlJc w:val="left"/>
      <w:pPr>
        <w:ind w:left="708" w:hanging="360"/>
      </w:pPr>
      <w:rPr>
        <w:rFonts w:cs="Times New Roman"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14">
    <w:nsid w:val="5E2D2A04"/>
    <w:multiLevelType w:val="hybridMultilevel"/>
    <w:tmpl w:val="4296C3D0"/>
    <w:lvl w:ilvl="0" w:tplc="FFFFFFFF">
      <w:start w:val="9"/>
      <w:numFmt w:val="bullet"/>
      <w:lvlText w:val="-"/>
      <w:lvlJc w:val="left"/>
      <w:pPr>
        <w:tabs>
          <w:tab w:val="num" w:pos="290"/>
        </w:tabs>
        <w:ind w:left="290" w:hanging="360"/>
      </w:pPr>
      <w:rPr>
        <w:rFonts w:ascii="Calisto MT" w:eastAsia="Calisto MT" w:hAnsi="Calisto MT" w:cs="Calisto MT" w:hint="default"/>
      </w:rPr>
    </w:lvl>
    <w:lvl w:ilvl="1" w:tplc="04090003" w:tentative="1">
      <w:start w:val="1"/>
      <w:numFmt w:val="bullet"/>
      <w:lvlText w:val="o"/>
      <w:lvlJc w:val="left"/>
      <w:pPr>
        <w:tabs>
          <w:tab w:val="num" w:pos="1370"/>
        </w:tabs>
        <w:ind w:left="1370" w:hanging="360"/>
      </w:pPr>
      <w:rPr>
        <w:rFonts w:ascii="Courier New" w:hAnsi="Courier New" w:hint="default"/>
      </w:rPr>
    </w:lvl>
    <w:lvl w:ilvl="2" w:tplc="04090005" w:tentative="1">
      <w:start w:val="1"/>
      <w:numFmt w:val="bullet"/>
      <w:lvlText w:val=""/>
      <w:lvlJc w:val="left"/>
      <w:pPr>
        <w:tabs>
          <w:tab w:val="num" w:pos="2090"/>
        </w:tabs>
        <w:ind w:left="2090" w:hanging="360"/>
      </w:pPr>
      <w:rPr>
        <w:rFonts w:ascii="Wingdings" w:hAnsi="Wingdings" w:hint="default"/>
      </w:rPr>
    </w:lvl>
    <w:lvl w:ilvl="3" w:tplc="04090001" w:tentative="1">
      <w:start w:val="1"/>
      <w:numFmt w:val="bullet"/>
      <w:lvlText w:val=""/>
      <w:lvlJc w:val="left"/>
      <w:pPr>
        <w:tabs>
          <w:tab w:val="num" w:pos="2810"/>
        </w:tabs>
        <w:ind w:left="2810" w:hanging="360"/>
      </w:pPr>
      <w:rPr>
        <w:rFonts w:ascii="Symbol" w:hAnsi="Symbol" w:hint="default"/>
      </w:rPr>
    </w:lvl>
    <w:lvl w:ilvl="4" w:tplc="04090003" w:tentative="1">
      <w:start w:val="1"/>
      <w:numFmt w:val="bullet"/>
      <w:lvlText w:val="o"/>
      <w:lvlJc w:val="left"/>
      <w:pPr>
        <w:tabs>
          <w:tab w:val="num" w:pos="3530"/>
        </w:tabs>
        <w:ind w:left="3530" w:hanging="360"/>
      </w:pPr>
      <w:rPr>
        <w:rFonts w:ascii="Courier New" w:hAnsi="Courier New" w:hint="default"/>
      </w:rPr>
    </w:lvl>
    <w:lvl w:ilvl="5" w:tplc="04090005" w:tentative="1">
      <w:start w:val="1"/>
      <w:numFmt w:val="bullet"/>
      <w:lvlText w:val=""/>
      <w:lvlJc w:val="left"/>
      <w:pPr>
        <w:tabs>
          <w:tab w:val="num" w:pos="4250"/>
        </w:tabs>
        <w:ind w:left="4250" w:hanging="360"/>
      </w:pPr>
      <w:rPr>
        <w:rFonts w:ascii="Wingdings" w:hAnsi="Wingdings" w:hint="default"/>
      </w:rPr>
    </w:lvl>
    <w:lvl w:ilvl="6" w:tplc="04090001" w:tentative="1">
      <w:start w:val="1"/>
      <w:numFmt w:val="bullet"/>
      <w:lvlText w:val=""/>
      <w:lvlJc w:val="left"/>
      <w:pPr>
        <w:tabs>
          <w:tab w:val="num" w:pos="4970"/>
        </w:tabs>
        <w:ind w:left="4970" w:hanging="360"/>
      </w:pPr>
      <w:rPr>
        <w:rFonts w:ascii="Symbol" w:hAnsi="Symbol" w:hint="default"/>
      </w:rPr>
    </w:lvl>
    <w:lvl w:ilvl="7" w:tplc="04090003" w:tentative="1">
      <w:start w:val="1"/>
      <w:numFmt w:val="bullet"/>
      <w:lvlText w:val="o"/>
      <w:lvlJc w:val="left"/>
      <w:pPr>
        <w:tabs>
          <w:tab w:val="num" w:pos="5690"/>
        </w:tabs>
        <w:ind w:left="5690" w:hanging="360"/>
      </w:pPr>
      <w:rPr>
        <w:rFonts w:ascii="Courier New" w:hAnsi="Courier New" w:hint="default"/>
      </w:rPr>
    </w:lvl>
    <w:lvl w:ilvl="8" w:tplc="04090005" w:tentative="1">
      <w:start w:val="1"/>
      <w:numFmt w:val="bullet"/>
      <w:lvlText w:val=""/>
      <w:lvlJc w:val="left"/>
      <w:pPr>
        <w:tabs>
          <w:tab w:val="num" w:pos="6410"/>
        </w:tabs>
        <w:ind w:left="6410" w:hanging="360"/>
      </w:pPr>
      <w:rPr>
        <w:rFonts w:ascii="Wingdings" w:hAnsi="Wingdings" w:hint="default"/>
      </w:rPr>
    </w:lvl>
  </w:abstractNum>
  <w:abstractNum w:abstractNumId="115">
    <w:nsid w:val="5E361841"/>
    <w:multiLevelType w:val="hybridMultilevel"/>
    <w:tmpl w:val="826E189A"/>
    <w:lvl w:ilvl="0" w:tplc="A38A7BA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E901173"/>
    <w:multiLevelType w:val="hybridMultilevel"/>
    <w:tmpl w:val="5BF4324E"/>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5ED60644"/>
    <w:multiLevelType w:val="hybridMultilevel"/>
    <w:tmpl w:val="296C64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5EDE3816"/>
    <w:multiLevelType w:val="hybridMultilevel"/>
    <w:tmpl w:val="8C26F456"/>
    <w:lvl w:ilvl="0" w:tplc="D44E3252">
      <w:start w:val="1"/>
      <w:numFmt w:val="lowerLetter"/>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19">
    <w:nsid w:val="5F4C3B58"/>
    <w:multiLevelType w:val="hybridMultilevel"/>
    <w:tmpl w:val="E8A0D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5F9364C8"/>
    <w:multiLevelType w:val="multilevel"/>
    <w:tmpl w:val="9E84ACAE"/>
    <w:styleLink w:val="Style1"/>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61B10B17"/>
    <w:multiLevelType w:val="hybridMultilevel"/>
    <w:tmpl w:val="5F2E03E2"/>
    <w:lvl w:ilvl="0" w:tplc="D9CADA8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20F215D"/>
    <w:multiLevelType w:val="hybridMultilevel"/>
    <w:tmpl w:val="52669A2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3">
    <w:nsid w:val="621A4C2F"/>
    <w:multiLevelType w:val="hybridMultilevel"/>
    <w:tmpl w:val="8C26F456"/>
    <w:lvl w:ilvl="0" w:tplc="F8BAA2A6">
      <w:start w:val="1"/>
      <w:numFmt w:val="lowerLetter"/>
      <w:lvlText w:val="%1)"/>
      <w:lvlJc w:val="left"/>
      <w:pPr>
        <w:ind w:left="720" w:hanging="360"/>
      </w:pPr>
    </w:lvl>
    <w:lvl w:ilvl="1" w:tplc="2592C886" w:tentative="1">
      <w:start w:val="1"/>
      <w:numFmt w:val="lowerLetter"/>
      <w:lvlText w:val="%2."/>
      <w:lvlJc w:val="left"/>
      <w:pPr>
        <w:ind w:left="1440" w:hanging="360"/>
      </w:pPr>
    </w:lvl>
    <w:lvl w:ilvl="2" w:tplc="40C079B8" w:tentative="1">
      <w:start w:val="1"/>
      <w:numFmt w:val="lowerRoman"/>
      <w:lvlText w:val="%3."/>
      <w:lvlJc w:val="right"/>
      <w:pPr>
        <w:ind w:left="2160" w:hanging="180"/>
      </w:pPr>
    </w:lvl>
    <w:lvl w:ilvl="3" w:tplc="FA60EF08" w:tentative="1">
      <w:start w:val="1"/>
      <w:numFmt w:val="decimal"/>
      <w:lvlText w:val="%4."/>
      <w:lvlJc w:val="left"/>
      <w:pPr>
        <w:ind w:left="2880" w:hanging="360"/>
      </w:pPr>
    </w:lvl>
    <w:lvl w:ilvl="4" w:tplc="C7801740" w:tentative="1">
      <w:start w:val="1"/>
      <w:numFmt w:val="lowerLetter"/>
      <w:lvlText w:val="%5."/>
      <w:lvlJc w:val="left"/>
      <w:pPr>
        <w:ind w:left="3600" w:hanging="360"/>
      </w:pPr>
    </w:lvl>
    <w:lvl w:ilvl="5" w:tplc="32B820F4" w:tentative="1">
      <w:start w:val="1"/>
      <w:numFmt w:val="lowerRoman"/>
      <w:lvlText w:val="%6."/>
      <w:lvlJc w:val="right"/>
      <w:pPr>
        <w:ind w:left="4320" w:hanging="180"/>
      </w:pPr>
    </w:lvl>
    <w:lvl w:ilvl="6" w:tplc="A4A623E8" w:tentative="1">
      <w:start w:val="1"/>
      <w:numFmt w:val="decimal"/>
      <w:lvlText w:val="%7."/>
      <w:lvlJc w:val="left"/>
      <w:pPr>
        <w:ind w:left="5040" w:hanging="360"/>
      </w:pPr>
    </w:lvl>
    <w:lvl w:ilvl="7" w:tplc="D542F7DC" w:tentative="1">
      <w:start w:val="1"/>
      <w:numFmt w:val="lowerLetter"/>
      <w:lvlText w:val="%8."/>
      <w:lvlJc w:val="left"/>
      <w:pPr>
        <w:ind w:left="5760" w:hanging="360"/>
      </w:pPr>
    </w:lvl>
    <w:lvl w:ilvl="8" w:tplc="420AC3EC" w:tentative="1">
      <w:start w:val="1"/>
      <w:numFmt w:val="lowerRoman"/>
      <w:lvlText w:val="%9."/>
      <w:lvlJc w:val="right"/>
      <w:pPr>
        <w:ind w:left="6480" w:hanging="180"/>
      </w:pPr>
    </w:lvl>
  </w:abstractNum>
  <w:abstractNum w:abstractNumId="124">
    <w:nsid w:val="62866C08"/>
    <w:multiLevelType w:val="hybridMultilevel"/>
    <w:tmpl w:val="59EE6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2F9436C"/>
    <w:multiLevelType w:val="hybridMultilevel"/>
    <w:tmpl w:val="7AAA4A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6">
    <w:nsid w:val="632143C9"/>
    <w:multiLevelType w:val="hybridMultilevel"/>
    <w:tmpl w:val="6DC239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43A63C8"/>
    <w:multiLevelType w:val="hybridMultilevel"/>
    <w:tmpl w:val="58D410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448759D"/>
    <w:multiLevelType w:val="hybridMultilevel"/>
    <w:tmpl w:val="9C481672"/>
    <w:lvl w:ilvl="0" w:tplc="08090017">
      <w:numFmt w:val="bullet"/>
      <w:lvlText w:val="-"/>
      <w:lvlJc w:val="left"/>
      <w:pPr>
        <w:tabs>
          <w:tab w:val="num" w:pos="720"/>
        </w:tabs>
        <w:ind w:left="720" w:hanging="360"/>
      </w:pPr>
      <w:rPr>
        <w:rFonts w:ascii="Times New Roman" w:eastAsia="Times New Roman" w:hAnsi="Times New Roman" w:cs="Times New Roman"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29">
    <w:nsid w:val="648F16A9"/>
    <w:multiLevelType w:val="hybridMultilevel"/>
    <w:tmpl w:val="1F7E8B20"/>
    <w:lvl w:ilvl="0" w:tplc="DE1C7162">
      <w:start w:val="12"/>
      <w:numFmt w:val="decimal"/>
      <w:lvlText w:val="%1."/>
      <w:lvlJc w:val="left"/>
      <w:pPr>
        <w:tabs>
          <w:tab w:val="num" w:pos="360"/>
        </w:tabs>
        <w:ind w:left="360" w:hanging="360"/>
      </w:pPr>
      <w:rPr>
        <w:rFonts w:hint="default"/>
        <w:sz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0">
    <w:nsid w:val="654A0BBC"/>
    <w:multiLevelType w:val="hybridMultilevel"/>
    <w:tmpl w:val="C308A90E"/>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6571778A"/>
    <w:multiLevelType w:val="hybridMultilevel"/>
    <w:tmpl w:val="6F1AC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65913462"/>
    <w:multiLevelType w:val="hybridMultilevel"/>
    <w:tmpl w:val="AB881040"/>
    <w:lvl w:ilvl="0" w:tplc="D9CADA80">
      <w:start w:val="1"/>
      <w:numFmt w:val="lowerLetter"/>
      <w:lvlText w:val="%1)"/>
      <w:lvlJc w:val="left"/>
      <w:pPr>
        <w:ind w:left="661" w:hanging="360"/>
      </w:pPr>
      <w:rPr>
        <w:rFonts w:cs="Times New Roman" w:hint="default"/>
      </w:rPr>
    </w:lvl>
    <w:lvl w:ilvl="1" w:tplc="04090019" w:tentative="1">
      <w:start w:val="1"/>
      <w:numFmt w:val="lowerLetter"/>
      <w:lvlText w:val="%2."/>
      <w:lvlJc w:val="left"/>
      <w:pPr>
        <w:ind w:left="1381" w:hanging="360"/>
      </w:pPr>
    </w:lvl>
    <w:lvl w:ilvl="2" w:tplc="0409001B" w:tentative="1">
      <w:start w:val="1"/>
      <w:numFmt w:val="lowerRoman"/>
      <w:lvlText w:val="%3."/>
      <w:lvlJc w:val="right"/>
      <w:pPr>
        <w:ind w:left="2101" w:hanging="180"/>
      </w:pPr>
    </w:lvl>
    <w:lvl w:ilvl="3" w:tplc="0409000F" w:tentative="1">
      <w:start w:val="1"/>
      <w:numFmt w:val="decimal"/>
      <w:lvlText w:val="%4."/>
      <w:lvlJc w:val="left"/>
      <w:pPr>
        <w:ind w:left="2821" w:hanging="360"/>
      </w:pPr>
    </w:lvl>
    <w:lvl w:ilvl="4" w:tplc="04090019" w:tentative="1">
      <w:start w:val="1"/>
      <w:numFmt w:val="lowerLetter"/>
      <w:lvlText w:val="%5."/>
      <w:lvlJc w:val="left"/>
      <w:pPr>
        <w:ind w:left="3541" w:hanging="360"/>
      </w:pPr>
    </w:lvl>
    <w:lvl w:ilvl="5" w:tplc="0409001B" w:tentative="1">
      <w:start w:val="1"/>
      <w:numFmt w:val="lowerRoman"/>
      <w:lvlText w:val="%6."/>
      <w:lvlJc w:val="right"/>
      <w:pPr>
        <w:ind w:left="4261" w:hanging="180"/>
      </w:pPr>
    </w:lvl>
    <w:lvl w:ilvl="6" w:tplc="0409000F" w:tentative="1">
      <w:start w:val="1"/>
      <w:numFmt w:val="decimal"/>
      <w:lvlText w:val="%7."/>
      <w:lvlJc w:val="left"/>
      <w:pPr>
        <w:ind w:left="4981" w:hanging="360"/>
      </w:pPr>
    </w:lvl>
    <w:lvl w:ilvl="7" w:tplc="04090019" w:tentative="1">
      <w:start w:val="1"/>
      <w:numFmt w:val="lowerLetter"/>
      <w:lvlText w:val="%8."/>
      <w:lvlJc w:val="left"/>
      <w:pPr>
        <w:ind w:left="5701" w:hanging="360"/>
      </w:pPr>
    </w:lvl>
    <w:lvl w:ilvl="8" w:tplc="0409001B" w:tentative="1">
      <w:start w:val="1"/>
      <w:numFmt w:val="lowerRoman"/>
      <w:lvlText w:val="%9."/>
      <w:lvlJc w:val="right"/>
      <w:pPr>
        <w:ind w:left="6421" w:hanging="180"/>
      </w:pPr>
    </w:lvl>
  </w:abstractNum>
  <w:abstractNum w:abstractNumId="133">
    <w:nsid w:val="664E02D9"/>
    <w:multiLevelType w:val="hybridMultilevel"/>
    <w:tmpl w:val="C69CEFBE"/>
    <w:lvl w:ilvl="0" w:tplc="0409000B">
      <w:start w:val="1"/>
      <w:numFmt w:val="bullet"/>
      <w:lvlText w:val=""/>
      <w:lvlJc w:val="left"/>
      <w:pPr>
        <w:tabs>
          <w:tab w:val="num" w:pos="720"/>
        </w:tabs>
        <w:ind w:left="720" w:hanging="360"/>
      </w:pPr>
      <w:rPr>
        <w:rFonts w:ascii="Wingdings" w:hAnsi="Wingdings" w:hint="default"/>
      </w:rPr>
    </w:lvl>
    <w:lvl w:ilvl="1" w:tplc="1FE0198E">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6734024E"/>
    <w:multiLevelType w:val="hybridMultilevel"/>
    <w:tmpl w:val="B4022F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68EB4C6B"/>
    <w:multiLevelType w:val="hybridMultilevel"/>
    <w:tmpl w:val="D2F8EBB0"/>
    <w:lvl w:ilvl="0" w:tplc="D9CADA80">
      <w:start w:val="1"/>
      <w:numFmt w:val="lowerLetter"/>
      <w:lvlText w:val="%1)"/>
      <w:lvlJc w:val="left"/>
      <w:pPr>
        <w:ind w:left="669" w:hanging="360"/>
      </w:pPr>
      <w:rPr>
        <w:rFonts w:cs="Times New Roman"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136">
    <w:nsid w:val="69B62A9D"/>
    <w:multiLevelType w:val="hybridMultilevel"/>
    <w:tmpl w:val="8C26F456"/>
    <w:lvl w:ilvl="0" w:tplc="9C0ACC32">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7">
    <w:nsid w:val="6BCD6101"/>
    <w:multiLevelType w:val="hybridMultilevel"/>
    <w:tmpl w:val="5FEE8B1C"/>
    <w:lvl w:ilvl="0" w:tplc="D9CADA80">
      <w:start w:val="1"/>
      <w:numFmt w:val="lowerLetter"/>
      <w:lvlText w:val="%1)"/>
      <w:lvlJc w:val="left"/>
      <w:pPr>
        <w:ind w:left="701" w:hanging="360"/>
      </w:pPr>
      <w:rPr>
        <w:rFonts w:cs="Times New Roman"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138">
    <w:nsid w:val="71E1156C"/>
    <w:multiLevelType w:val="hybridMultilevel"/>
    <w:tmpl w:val="0284BE76"/>
    <w:lvl w:ilvl="0" w:tplc="0409000B">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9">
    <w:nsid w:val="745819FC"/>
    <w:multiLevelType w:val="hybridMultilevel"/>
    <w:tmpl w:val="0518B0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67A6656"/>
    <w:multiLevelType w:val="hybridMultilevel"/>
    <w:tmpl w:val="610450D6"/>
    <w:lvl w:ilvl="0" w:tplc="0409000B">
      <w:start w:val="1"/>
      <w:numFmt w:val="bullet"/>
      <w:lvlText w:val=""/>
      <w:lvlJc w:val="left"/>
      <w:pPr>
        <w:tabs>
          <w:tab w:val="num" w:pos="720"/>
        </w:tabs>
        <w:ind w:left="720"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1">
    <w:nsid w:val="769334ED"/>
    <w:multiLevelType w:val="hybridMultilevel"/>
    <w:tmpl w:val="4B8EE3D0"/>
    <w:lvl w:ilvl="0" w:tplc="D9CADA80">
      <w:start w:val="1"/>
      <w:numFmt w:val="lowerLetter"/>
      <w:lvlText w:val="%1)"/>
      <w:lvlJc w:val="left"/>
      <w:pPr>
        <w:ind w:left="701" w:hanging="360"/>
      </w:pPr>
      <w:rPr>
        <w:rFonts w:cs="Times New Roman"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142">
    <w:nsid w:val="77D87716"/>
    <w:multiLevelType w:val="hybridMultilevel"/>
    <w:tmpl w:val="AE2A2D8C"/>
    <w:lvl w:ilvl="0" w:tplc="6E8C54EA">
      <w:start w:val="1"/>
      <w:numFmt w:val="decimal"/>
      <w:lvlText w:val="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8383F42"/>
    <w:multiLevelType w:val="hybridMultilevel"/>
    <w:tmpl w:val="0510B926"/>
    <w:lvl w:ilvl="0" w:tplc="0409000B">
      <w:start w:val="1"/>
      <w:numFmt w:val="bullet"/>
      <w:lvlText w:val=""/>
      <w:lvlJc w:val="left"/>
      <w:pPr>
        <w:tabs>
          <w:tab w:val="num" w:pos="720"/>
        </w:tabs>
        <w:ind w:left="72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44">
    <w:nsid w:val="7A3C14DD"/>
    <w:multiLevelType w:val="hybridMultilevel"/>
    <w:tmpl w:val="1CDA535C"/>
    <w:lvl w:ilvl="0" w:tplc="08090017">
      <w:start w:val="1"/>
      <w:numFmt w:val="lowerLetter"/>
      <w:lvlText w:val="%1)"/>
      <w:lvlJc w:val="left"/>
      <w:pPr>
        <w:ind w:left="720" w:hanging="360"/>
      </w:pPr>
      <w:rPr>
        <w:rFonts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5">
    <w:nsid w:val="7C2D1EDF"/>
    <w:multiLevelType w:val="hybridMultilevel"/>
    <w:tmpl w:val="F0BE5B0E"/>
    <w:lvl w:ilvl="0" w:tplc="D9CADA80">
      <w:start w:val="1"/>
      <w:numFmt w:val="lowerLetter"/>
      <w:lvlText w:val="%1)"/>
      <w:lvlJc w:val="left"/>
      <w:pPr>
        <w:ind w:left="701" w:hanging="360"/>
      </w:pPr>
      <w:rPr>
        <w:rFonts w:cs="Times New Roman"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146">
    <w:nsid w:val="7C8D6E8E"/>
    <w:multiLevelType w:val="multilevel"/>
    <w:tmpl w:val="12F0D16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7">
    <w:nsid w:val="7CE64C33"/>
    <w:multiLevelType w:val="hybridMultilevel"/>
    <w:tmpl w:val="27C88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DDF23E0"/>
    <w:multiLevelType w:val="hybridMultilevel"/>
    <w:tmpl w:val="00CA836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9">
    <w:nsid w:val="7ED3417D"/>
    <w:multiLevelType w:val="hybridMultilevel"/>
    <w:tmpl w:val="158AD7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7F4A17A8"/>
    <w:multiLevelType w:val="hybridMultilevel"/>
    <w:tmpl w:val="7094782E"/>
    <w:lvl w:ilvl="0" w:tplc="D9CADA8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F7C1318"/>
    <w:multiLevelType w:val="hybridMultilevel"/>
    <w:tmpl w:val="13F2828E"/>
    <w:lvl w:ilvl="0" w:tplc="7D688C8A">
      <w:start w:val="8"/>
      <w:numFmt w:val="decimal"/>
      <w:lvlText w:val="%1."/>
      <w:lvlJc w:val="left"/>
      <w:pPr>
        <w:tabs>
          <w:tab w:val="num" w:pos="405"/>
        </w:tabs>
        <w:ind w:left="405" w:hanging="360"/>
      </w:pPr>
      <w:rPr>
        <w:rFonts w:hint="default"/>
        <w:sz w:val="16"/>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52">
    <w:nsid w:val="7FAD68F8"/>
    <w:multiLevelType w:val="hybridMultilevel"/>
    <w:tmpl w:val="A518F39A"/>
    <w:lvl w:ilvl="0" w:tplc="D9CADA80">
      <w:start w:val="1"/>
      <w:numFmt w:val="lowerLetter"/>
      <w:lvlText w:val="%1)"/>
      <w:lvlJc w:val="left"/>
      <w:pPr>
        <w:ind w:left="701" w:hanging="360"/>
      </w:pPr>
      <w:rPr>
        <w:rFonts w:cs="Times New Roman"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num w:numId="1">
    <w:abstractNumId w:val="7"/>
  </w:num>
  <w:num w:numId="2">
    <w:abstractNumId w:val="144"/>
  </w:num>
  <w:num w:numId="3">
    <w:abstractNumId w:val="12"/>
  </w:num>
  <w:num w:numId="4">
    <w:abstractNumId w:val="41"/>
  </w:num>
  <w:num w:numId="5">
    <w:abstractNumId w:val="123"/>
  </w:num>
  <w:num w:numId="6">
    <w:abstractNumId w:val="136"/>
  </w:num>
  <w:num w:numId="7">
    <w:abstractNumId w:val="118"/>
  </w:num>
  <w:num w:numId="8">
    <w:abstractNumId w:val="69"/>
  </w:num>
  <w:num w:numId="9">
    <w:abstractNumId w:val="128"/>
  </w:num>
  <w:num w:numId="10">
    <w:abstractNumId w:val="114"/>
  </w:num>
  <w:num w:numId="11">
    <w:abstractNumId w:val="101"/>
  </w:num>
  <w:num w:numId="12">
    <w:abstractNumId w:val="40"/>
  </w:num>
  <w:num w:numId="13">
    <w:abstractNumId w:val="17"/>
  </w:num>
  <w:num w:numId="14">
    <w:abstractNumId w:val="34"/>
  </w:num>
  <w:num w:numId="15">
    <w:abstractNumId w:val="33"/>
  </w:num>
  <w:num w:numId="16">
    <w:abstractNumId w:val="66"/>
  </w:num>
  <w:num w:numId="17">
    <w:abstractNumId w:val="25"/>
  </w:num>
  <w:num w:numId="18">
    <w:abstractNumId w:val="64"/>
  </w:num>
  <w:num w:numId="19">
    <w:abstractNumId w:val="125"/>
  </w:num>
  <w:num w:numId="20">
    <w:abstractNumId w:val="51"/>
  </w:num>
  <w:num w:numId="21">
    <w:abstractNumId w:val="78"/>
  </w:num>
  <w:num w:numId="22">
    <w:abstractNumId w:val="8"/>
  </w:num>
  <w:num w:numId="23">
    <w:abstractNumId w:val="91"/>
  </w:num>
  <w:num w:numId="24">
    <w:abstractNumId w:val="149"/>
  </w:num>
  <w:num w:numId="25">
    <w:abstractNumId w:val="131"/>
  </w:num>
  <w:num w:numId="26">
    <w:abstractNumId w:val="28"/>
  </w:num>
  <w:num w:numId="27">
    <w:abstractNumId w:val="49"/>
  </w:num>
  <w:num w:numId="28">
    <w:abstractNumId w:val="62"/>
  </w:num>
  <w:num w:numId="29">
    <w:abstractNumId w:val="14"/>
  </w:num>
  <w:num w:numId="30">
    <w:abstractNumId w:val="94"/>
  </w:num>
  <w:num w:numId="31">
    <w:abstractNumId w:val="92"/>
  </w:num>
  <w:num w:numId="32">
    <w:abstractNumId w:val="120"/>
  </w:num>
  <w:num w:numId="33">
    <w:abstractNumId w:val="143"/>
  </w:num>
  <w:num w:numId="34">
    <w:abstractNumId w:val="84"/>
  </w:num>
  <w:num w:numId="35">
    <w:abstractNumId w:val="117"/>
  </w:num>
  <w:num w:numId="36">
    <w:abstractNumId w:val="50"/>
  </w:num>
  <w:num w:numId="37">
    <w:abstractNumId w:val="9"/>
  </w:num>
  <w:num w:numId="38">
    <w:abstractNumId w:val="75"/>
  </w:num>
  <w:num w:numId="39">
    <w:abstractNumId w:val="148"/>
  </w:num>
  <w:num w:numId="40">
    <w:abstractNumId w:val="97"/>
  </w:num>
  <w:num w:numId="41">
    <w:abstractNumId w:val="90"/>
  </w:num>
  <w:num w:numId="42">
    <w:abstractNumId w:val="22"/>
  </w:num>
  <w:num w:numId="43">
    <w:abstractNumId w:val="81"/>
  </w:num>
  <w:num w:numId="44">
    <w:abstractNumId w:val="116"/>
  </w:num>
  <w:num w:numId="45">
    <w:abstractNumId w:val="133"/>
  </w:num>
  <w:num w:numId="46">
    <w:abstractNumId w:val="130"/>
  </w:num>
  <w:num w:numId="47">
    <w:abstractNumId w:val="26"/>
  </w:num>
  <w:num w:numId="48">
    <w:abstractNumId w:val="68"/>
  </w:num>
  <w:num w:numId="49">
    <w:abstractNumId w:val="122"/>
  </w:num>
  <w:num w:numId="50">
    <w:abstractNumId w:val="38"/>
  </w:num>
  <w:num w:numId="51">
    <w:abstractNumId w:val="138"/>
  </w:num>
  <w:num w:numId="52">
    <w:abstractNumId w:val="39"/>
  </w:num>
  <w:num w:numId="53">
    <w:abstractNumId w:val="10"/>
  </w:num>
  <w:num w:numId="54">
    <w:abstractNumId w:val="106"/>
  </w:num>
  <w:num w:numId="55">
    <w:abstractNumId w:val="115"/>
  </w:num>
  <w:num w:numId="56">
    <w:abstractNumId w:val="44"/>
  </w:num>
  <w:num w:numId="57">
    <w:abstractNumId w:val="24"/>
  </w:num>
  <w:num w:numId="58">
    <w:abstractNumId w:val="31"/>
  </w:num>
  <w:num w:numId="59">
    <w:abstractNumId w:val="107"/>
  </w:num>
  <w:num w:numId="60">
    <w:abstractNumId w:val="119"/>
  </w:num>
  <w:num w:numId="61">
    <w:abstractNumId w:val="139"/>
  </w:num>
  <w:num w:numId="62">
    <w:abstractNumId w:val="72"/>
  </w:num>
  <w:num w:numId="63">
    <w:abstractNumId w:val="82"/>
  </w:num>
  <w:num w:numId="64">
    <w:abstractNumId w:val="127"/>
  </w:num>
  <w:num w:numId="65">
    <w:abstractNumId w:val="126"/>
  </w:num>
  <w:num w:numId="66">
    <w:abstractNumId w:val="147"/>
  </w:num>
  <w:num w:numId="67">
    <w:abstractNumId w:val="54"/>
  </w:num>
  <w:num w:numId="68">
    <w:abstractNumId w:val="37"/>
  </w:num>
  <w:num w:numId="69">
    <w:abstractNumId w:val="45"/>
  </w:num>
  <w:num w:numId="70">
    <w:abstractNumId w:val="105"/>
  </w:num>
  <w:num w:numId="71">
    <w:abstractNumId w:val="88"/>
  </w:num>
  <w:num w:numId="72">
    <w:abstractNumId w:val="95"/>
  </w:num>
  <w:num w:numId="73">
    <w:abstractNumId w:val="73"/>
  </w:num>
  <w:num w:numId="74">
    <w:abstractNumId w:val="134"/>
  </w:num>
  <w:num w:numId="75">
    <w:abstractNumId w:val="47"/>
  </w:num>
  <w:num w:numId="76">
    <w:abstractNumId w:val="71"/>
  </w:num>
  <w:num w:numId="77">
    <w:abstractNumId w:val="6"/>
  </w:num>
  <w:num w:numId="78">
    <w:abstractNumId w:val="58"/>
  </w:num>
  <w:num w:numId="79">
    <w:abstractNumId w:val="55"/>
  </w:num>
  <w:num w:numId="80">
    <w:abstractNumId w:val="36"/>
  </w:num>
  <w:num w:numId="81">
    <w:abstractNumId w:val="61"/>
  </w:num>
  <w:num w:numId="82">
    <w:abstractNumId w:val="30"/>
  </w:num>
  <w:num w:numId="83">
    <w:abstractNumId w:val="79"/>
  </w:num>
  <w:num w:numId="84">
    <w:abstractNumId w:val="151"/>
  </w:num>
  <w:num w:numId="85">
    <w:abstractNumId w:val="65"/>
  </w:num>
  <w:num w:numId="86">
    <w:abstractNumId w:val="77"/>
  </w:num>
  <w:num w:numId="87">
    <w:abstractNumId w:val="46"/>
  </w:num>
  <w:num w:numId="88">
    <w:abstractNumId w:val="129"/>
  </w:num>
  <w:num w:numId="89">
    <w:abstractNumId w:val="57"/>
  </w:num>
  <w:num w:numId="90">
    <w:abstractNumId w:val="98"/>
  </w:num>
  <w:num w:numId="91">
    <w:abstractNumId w:val="87"/>
  </w:num>
  <w:num w:numId="92">
    <w:abstractNumId w:val="70"/>
  </w:num>
  <w:num w:numId="93">
    <w:abstractNumId w:val="96"/>
  </w:num>
  <w:num w:numId="94">
    <w:abstractNumId w:val="29"/>
  </w:num>
  <w:num w:numId="95">
    <w:abstractNumId w:val="104"/>
  </w:num>
  <w:num w:numId="96">
    <w:abstractNumId w:val="56"/>
  </w:num>
  <w:num w:numId="97">
    <w:abstractNumId w:val="146"/>
  </w:num>
  <w:num w:numId="98">
    <w:abstractNumId w:val="4"/>
  </w:num>
  <w:num w:numId="99">
    <w:abstractNumId w:val="3"/>
  </w:num>
  <w:num w:numId="100">
    <w:abstractNumId w:val="2"/>
  </w:num>
  <w:num w:numId="101">
    <w:abstractNumId w:val="1"/>
  </w:num>
  <w:num w:numId="102">
    <w:abstractNumId w:val="0"/>
  </w:num>
  <w:num w:numId="103">
    <w:abstractNumId w:val="18"/>
  </w:num>
  <w:num w:numId="104">
    <w:abstractNumId w:val="93"/>
  </w:num>
  <w:num w:numId="105">
    <w:abstractNumId w:val="19"/>
  </w:num>
  <w:num w:numId="106">
    <w:abstractNumId w:val="32"/>
  </w:num>
  <w:num w:numId="107">
    <w:abstractNumId w:val="48"/>
  </w:num>
  <w:num w:numId="108">
    <w:abstractNumId w:val="142"/>
  </w:num>
  <w:num w:numId="109">
    <w:abstractNumId w:val="111"/>
  </w:num>
  <w:num w:numId="110">
    <w:abstractNumId w:val="140"/>
  </w:num>
  <w:num w:numId="111">
    <w:abstractNumId w:val="102"/>
  </w:num>
  <w:num w:numId="112">
    <w:abstractNumId w:val="5"/>
  </w:num>
  <w:num w:numId="113">
    <w:abstractNumId w:val="85"/>
  </w:num>
  <w:num w:numId="114">
    <w:abstractNumId w:val="103"/>
  </w:num>
  <w:num w:numId="115">
    <w:abstractNumId w:val="43"/>
  </w:num>
  <w:num w:numId="116">
    <w:abstractNumId w:val="60"/>
  </w:num>
  <w:num w:numId="117">
    <w:abstractNumId w:val="86"/>
  </w:num>
  <w:num w:numId="118">
    <w:abstractNumId w:val="108"/>
  </w:num>
  <w:num w:numId="119">
    <w:abstractNumId w:val="124"/>
  </w:num>
  <w:num w:numId="120">
    <w:abstractNumId w:val="42"/>
  </w:num>
  <w:num w:numId="121">
    <w:abstractNumId w:val="109"/>
  </w:num>
  <w:num w:numId="122">
    <w:abstractNumId w:val="13"/>
  </w:num>
  <w:num w:numId="123">
    <w:abstractNumId w:val="80"/>
  </w:num>
  <w:num w:numId="124">
    <w:abstractNumId w:val="15"/>
  </w:num>
  <w:num w:numId="125">
    <w:abstractNumId w:val="27"/>
  </w:num>
  <w:num w:numId="126">
    <w:abstractNumId w:val="132"/>
  </w:num>
  <w:num w:numId="127">
    <w:abstractNumId w:val="67"/>
  </w:num>
  <w:num w:numId="128">
    <w:abstractNumId w:val="35"/>
  </w:num>
  <w:num w:numId="129">
    <w:abstractNumId w:val="135"/>
  </w:num>
  <w:num w:numId="130">
    <w:abstractNumId w:val="76"/>
  </w:num>
  <w:num w:numId="131">
    <w:abstractNumId w:val="52"/>
  </w:num>
  <w:num w:numId="132">
    <w:abstractNumId w:val="59"/>
  </w:num>
  <w:num w:numId="133">
    <w:abstractNumId w:val="110"/>
  </w:num>
  <w:num w:numId="134">
    <w:abstractNumId w:val="150"/>
  </w:num>
  <w:num w:numId="135">
    <w:abstractNumId w:val="20"/>
  </w:num>
  <w:num w:numId="136">
    <w:abstractNumId w:val="145"/>
  </w:num>
  <w:num w:numId="137">
    <w:abstractNumId w:val="100"/>
  </w:num>
  <w:num w:numId="138">
    <w:abstractNumId w:val="11"/>
  </w:num>
  <w:num w:numId="139">
    <w:abstractNumId w:val="21"/>
  </w:num>
  <w:num w:numId="140">
    <w:abstractNumId w:val="63"/>
  </w:num>
  <w:num w:numId="141">
    <w:abstractNumId w:val="112"/>
  </w:num>
  <w:num w:numId="142">
    <w:abstractNumId w:val="23"/>
  </w:num>
  <w:num w:numId="143">
    <w:abstractNumId w:val="113"/>
  </w:num>
  <w:num w:numId="144">
    <w:abstractNumId w:val="83"/>
  </w:num>
  <w:num w:numId="145">
    <w:abstractNumId w:val="99"/>
  </w:num>
  <w:num w:numId="146">
    <w:abstractNumId w:val="121"/>
  </w:num>
  <w:num w:numId="147">
    <w:abstractNumId w:val="137"/>
  </w:num>
  <w:num w:numId="148">
    <w:abstractNumId w:val="74"/>
  </w:num>
  <w:num w:numId="149">
    <w:abstractNumId w:val="141"/>
  </w:num>
  <w:num w:numId="150">
    <w:abstractNumId w:val="89"/>
  </w:num>
  <w:num w:numId="151">
    <w:abstractNumId w:val="152"/>
  </w:num>
  <w:num w:numId="152">
    <w:abstractNumId w:val="16"/>
  </w:num>
  <w:num w:numId="153">
    <w:abstractNumId w:val="53"/>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20"/>
  <w:drawingGridHorizontalSpacing w:val="110"/>
  <w:displayHorizontalDrawingGridEvery w:val="2"/>
  <w:characterSpacingControl w:val="doNotCompress"/>
  <w:hdrShapeDefaults>
    <o:shapedefaults v:ext="edit" spidmax="101378" fillcolor="black">
      <v:fill color="black"/>
      <v:stroke weight="31e-5mm"/>
      <o:colormenu v:ext="edit" fillcolor="none [660]" strokecolor="none" shadowcolor="none [1940]"/>
    </o:shapedefaults>
  </w:hdrShapeDefaults>
  <w:footnotePr>
    <w:footnote w:id="-1"/>
    <w:footnote w:id="0"/>
  </w:footnotePr>
  <w:endnotePr>
    <w:endnote w:id="-1"/>
    <w:endnote w:id="0"/>
  </w:endnotePr>
  <w:compat/>
  <w:rsids>
    <w:rsidRoot w:val="004B38FA"/>
    <w:rsid w:val="000114EF"/>
    <w:rsid w:val="00016400"/>
    <w:rsid w:val="000209A9"/>
    <w:rsid w:val="000216E6"/>
    <w:rsid w:val="00023868"/>
    <w:rsid w:val="00024727"/>
    <w:rsid w:val="0003235B"/>
    <w:rsid w:val="00034B8C"/>
    <w:rsid w:val="00040670"/>
    <w:rsid w:val="00041D59"/>
    <w:rsid w:val="00046554"/>
    <w:rsid w:val="00046EE2"/>
    <w:rsid w:val="0005533D"/>
    <w:rsid w:val="0006154E"/>
    <w:rsid w:val="000711A6"/>
    <w:rsid w:val="0007324F"/>
    <w:rsid w:val="000756F3"/>
    <w:rsid w:val="00077097"/>
    <w:rsid w:val="00082615"/>
    <w:rsid w:val="00092927"/>
    <w:rsid w:val="00095758"/>
    <w:rsid w:val="00095CDA"/>
    <w:rsid w:val="000A0838"/>
    <w:rsid w:val="000A0EF6"/>
    <w:rsid w:val="000A16F4"/>
    <w:rsid w:val="000A1885"/>
    <w:rsid w:val="000A7465"/>
    <w:rsid w:val="000B15C8"/>
    <w:rsid w:val="000B3E9D"/>
    <w:rsid w:val="000B5CE9"/>
    <w:rsid w:val="000C3D1B"/>
    <w:rsid w:val="000C6371"/>
    <w:rsid w:val="000C7F22"/>
    <w:rsid w:val="000D04D0"/>
    <w:rsid w:val="000D131E"/>
    <w:rsid w:val="000D2322"/>
    <w:rsid w:val="000D63B0"/>
    <w:rsid w:val="000D756D"/>
    <w:rsid w:val="000D7D36"/>
    <w:rsid w:val="000E4D0F"/>
    <w:rsid w:val="000E5668"/>
    <w:rsid w:val="000F0314"/>
    <w:rsid w:val="000F0982"/>
    <w:rsid w:val="00103E2D"/>
    <w:rsid w:val="00104230"/>
    <w:rsid w:val="0010613D"/>
    <w:rsid w:val="00110303"/>
    <w:rsid w:val="001114A5"/>
    <w:rsid w:val="001221D7"/>
    <w:rsid w:val="00123DF4"/>
    <w:rsid w:val="001240B9"/>
    <w:rsid w:val="001358CE"/>
    <w:rsid w:val="00141E8B"/>
    <w:rsid w:val="00141EF9"/>
    <w:rsid w:val="00143CBC"/>
    <w:rsid w:val="001508A1"/>
    <w:rsid w:val="0016233C"/>
    <w:rsid w:val="00170177"/>
    <w:rsid w:val="00170221"/>
    <w:rsid w:val="00177382"/>
    <w:rsid w:val="00177F3C"/>
    <w:rsid w:val="00180C42"/>
    <w:rsid w:val="0018210F"/>
    <w:rsid w:val="001825CC"/>
    <w:rsid w:val="00194C3C"/>
    <w:rsid w:val="00196C8E"/>
    <w:rsid w:val="001A3900"/>
    <w:rsid w:val="001A3B80"/>
    <w:rsid w:val="001A3BC8"/>
    <w:rsid w:val="001A3F68"/>
    <w:rsid w:val="001B3718"/>
    <w:rsid w:val="001B4575"/>
    <w:rsid w:val="001B6D90"/>
    <w:rsid w:val="001B6DDC"/>
    <w:rsid w:val="001B73EC"/>
    <w:rsid w:val="001C1177"/>
    <w:rsid w:val="001C22A4"/>
    <w:rsid w:val="001C44EA"/>
    <w:rsid w:val="001C5441"/>
    <w:rsid w:val="001D1D80"/>
    <w:rsid w:val="001D3AF1"/>
    <w:rsid w:val="001E108A"/>
    <w:rsid w:val="001F17B5"/>
    <w:rsid w:val="001F7314"/>
    <w:rsid w:val="0020363F"/>
    <w:rsid w:val="0020373A"/>
    <w:rsid w:val="00204A09"/>
    <w:rsid w:val="0020723B"/>
    <w:rsid w:val="00207F23"/>
    <w:rsid w:val="00213097"/>
    <w:rsid w:val="00217255"/>
    <w:rsid w:val="00222E45"/>
    <w:rsid w:val="00224D1A"/>
    <w:rsid w:val="00233101"/>
    <w:rsid w:val="00243C52"/>
    <w:rsid w:val="00243DE3"/>
    <w:rsid w:val="00246293"/>
    <w:rsid w:val="00252FD2"/>
    <w:rsid w:val="002650E9"/>
    <w:rsid w:val="00267325"/>
    <w:rsid w:val="002728EE"/>
    <w:rsid w:val="00273EA4"/>
    <w:rsid w:val="00275FBB"/>
    <w:rsid w:val="00282637"/>
    <w:rsid w:val="00284D0F"/>
    <w:rsid w:val="00286A5F"/>
    <w:rsid w:val="00294372"/>
    <w:rsid w:val="002A11F8"/>
    <w:rsid w:val="002A2CCC"/>
    <w:rsid w:val="002B04AE"/>
    <w:rsid w:val="002B10F6"/>
    <w:rsid w:val="002C2779"/>
    <w:rsid w:val="002C3EE4"/>
    <w:rsid w:val="002D076B"/>
    <w:rsid w:val="002D0F33"/>
    <w:rsid w:val="002D27C3"/>
    <w:rsid w:val="002E119F"/>
    <w:rsid w:val="002E1792"/>
    <w:rsid w:val="002F7F55"/>
    <w:rsid w:val="00300BD2"/>
    <w:rsid w:val="003036E8"/>
    <w:rsid w:val="003063AE"/>
    <w:rsid w:val="0032318C"/>
    <w:rsid w:val="00325464"/>
    <w:rsid w:val="00327378"/>
    <w:rsid w:val="00330885"/>
    <w:rsid w:val="003355E8"/>
    <w:rsid w:val="00340F56"/>
    <w:rsid w:val="00350EDD"/>
    <w:rsid w:val="00351F2C"/>
    <w:rsid w:val="003561C4"/>
    <w:rsid w:val="00363051"/>
    <w:rsid w:val="00373943"/>
    <w:rsid w:val="00375121"/>
    <w:rsid w:val="00383FD7"/>
    <w:rsid w:val="00385DF1"/>
    <w:rsid w:val="00386425"/>
    <w:rsid w:val="00396068"/>
    <w:rsid w:val="00396DD5"/>
    <w:rsid w:val="003A18BB"/>
    <w:rsid w:val="003A1EA6"/>
    <w:rsid w:val="003A3ACF"/>
    <w:rsid w:val="003A6A8D"/>
    <w:rsid w:val="003B6403"/>
    <w:rsid w:val="003B7440"/>
    <w:rsid w:val="003C1CE8"/>
    <w:rsid w:val="003C38DF"/>
    <w:rsid w:val="003D13CE"/>
    <w:rsid w:val="003D2B4C"/>
    <w:rsid w:val="003D6C74"/>
    <w:rsid w:val="003E299A"/>
    <w:rsid w:val="003E3CBA"/>
    <w:rsid w:val="003E47B3"/>
    <w:rsid w:val="003F6D88"/>
    <w:rsid w:val="00401B95"/>
    <w:rsid w:val="00410E31"/>
    <w:rsid w:val="00414454"/>
    <w:rsid w:val="0041445F"/>
    <w:rsid w:val="00415366"/>
    <w:rsid w:val="004238E6"/>
    <w:rsid w:val="00445F77"/>
    <w:rsid w:val="00446231"/>
    <w:rsid w:val="00450945"/>
    <w:rsid w:val="00454E4B"/>
    <w:rsid w:val="00457D5C"/>
    <w:rsid w:val="0046208F"/>
    <w:rsid w:val="00462AF4"/>
    <w:rsid w:val="00463DC3"/>
    <w:rsid w:val="00466944"/>
    <w:rsid w:val="00470483"/>
    <w:rsid w:val="00480D3D"/>
    <w:rsid w:val="0048131C"/>
    <w:rsid w:val="004832F0"/>
    <w:rsid w:val="004871B2"/>
    <w:rsid w:val="00492B2F"/>
    <w:rsid w:val="004B0F46"/>
    <w:rsid w:val="004B38FA"/>
    <w:rsid w:val="004B6CE6"/>
    <w:rsid w:val="004B74B4"/>
    <w:rsid w:val="004B753A"/>
    <w:rsid w:val="004C4106"/>
    <w:rsid w:val="004C481E"/>
    <w:rsid w:val="004C7E6C"/>
    <w:rsid w:val="004D4055"/>
    <w:rsid w:val="004D47BB"/>
    <w:rsid w:val="004D5210"/>
    <w:rsid w:val="004E5341"/>
    <w:rsid w:val="004E6232"/>
    <w:rsid w:val="004F4457"/>
    <w:rsid w:val="004F54FE"/>
    <w:rsid w:val="00502B65"/>
    <w:rsid w:val="00511476"/>
    <w:rsid w:val="00513A9F"/>
    <w:rsid w:val="00514E4D"/>
    <w:rsid w:val="00522091"/>
    <w:rsid w:val="00522F5C"/>
    <w:rsid w:val="00523762"/>
    <w:rsid w:val="005338EA"/>
    <w:rsid w:val="0054432C"/>
    <w:rsid w:val="00546F0D"/>
    <w:rsid w:val="0055505A"/>
    <w:rsid w:val="00556B4E"/>
    <w:rsid w:val="00566CF3"/>
    <w:rsid w:val="0056739A"/>
    <w:rsid w:val="005841A7"/>
    <w:rsid w:val="005845D0"/>
    <w:rsid w:val="005847E0"/>
    <w:rsid w:val="005870D7"/>
    <w:rsid w:val="0058768B"/>
    <w:rsid w:val="005B01DD"/>
    <w:rsid w:val="005B3101"/>
    <w:rsid w:val="005B3882"/>
    <w:rsid w:val="005C050E"/>
    <w:rsid w:val="005C0D57"/>
    <w:rsid w:val="005C35DD"/>
    <w:rsid w:val="005C4628"/>
    <w:rsid w:val="005C65BC"/>
    <w:rsid w:val="005D0252"/>
    <w:rsid w:val="005D4CA4"/>
    <w:rsid w:val="005E0DD3"/>
    <w:rsid w:val="005E48D9"/>
    <w:rsid w:val="005E68F8"/>
    <w:rsid w:val="005F38F2"/>
    <w:rsid w:val="005F41CA"/>
    <w:rsid w:val="00603A24"/>
    <w:rsid w:val="00605C77"/>
    <w:rsid w:val="00607B96"/>
    <w:rsid w:val="00611AA2"/>
    <w:rsid w:val="0061530E"/>
    <w:rsid w:val="006177DB"/>
    <w:rsid w:val="006205FA"/>
    <w:rsid w:val="00622736"/>
    <w:rsid w:val="00622B26"/>
    <w:rsid w:val="00626D30"/>
    <w:rsid w:val="006349D7"/>
    <w:rsid w:val="00635639"/>
    <w:rsid w:val="006367E3"/>
    <w:rsid w:val="00636CC9"/>
    <w:rsid w:val="006407C4"/>
    <w:rsid w:val="00642D01"/>
    <w:rsid w:val="00647853"/>
    <w:rsid w:val="00650E83"/>
    <w:rsid w:val="00654325"/>
    <w:rsid w:val="00671FA2"/>
    <w:rsid w:val="006730F6"/>
    <w:rsid w:val="006772CC"/>
    <w:rsid w:val="006779DE"/>
    <w:rsid w:val="00681AF1"/>
    <w:rsid w:val="00684E25"/>
    <w:rsid w:val="00685DE3"/>
    <w:rsid w:val="006A0DD4"/>
    <w:rsid w:val="006A0F05"/>
    <w:rsid w:val="006A2BBD"/>
    <w:rsid w:val="006B55D5"/>
    <w:rsid w:val="006C2023"/>
    <w:rsid w:val="006C6ED0"/>
    <w:rsid w:val="006E5F52"/>
    <w:rsid w:val="006E73F4"/>
    <w:rsid w:val="006F1A03"/>
    <w:rsid w:val="006F5809"/>
    <w:rsid w:val="007030BA"/>
    <w:rsid w:val="00706502"/>
    <w:rsid w:val="007141C6"/>
    <w:rsid w:val="0072117E"/>
    <w:rsid w:val="00721A39"/>
    <w:rsid w:val="007223AA"/>
    <w:rsid w:val="00725B7B"/>
    <w:rsid w:val="0073569B"/>
    <w:rsid w:val="00746B10"/>
    <w:rsid w:val="0074733F"/>
    <w:rsid w:val="007521E9"/>
    <w:rsid w:val="007536A1"/>
    <w:rsid w:val="007541B8"/>
    <w:rsid w:val="0075586A"/>
    <w:rsid w:val="00765C66"/>
    <w:rsid w:val="00773801"/>
    <w:rsid w:val="00780E3E"/>
    <w:rsid w:val="00787CA6"/>
    <w:rsid w:val="00793C47"/>
    <w:rsid w:val="00795634"/>
    <w:rsid w:val="007A3B98"/>
    <w:rsid w:val="007A43CB"/>
    <w:rsid w:val="007A4682"/>
    <w:rsid w:val="007B3714"/>
    <w:rsid w:val="007C38DB"/>
    <w:rsid w:val="007C40E1"/>
    <w:rsid w:val="007C6046"/>
    <w:rsid w:val="007C7BD8"/>
    <w:rsid w:val="007D25F2"/>
    <w:rsid w:val="007D7463"/>
    <w:rsid w:val="007D7495"/>
    <w:rsid w:val="007E4659"/>
    <w:rsid w:val="007F74BE"/>
    <w:rsid w:val="008060B0"/>
    <w:rsid w:val="00810947"/>
    <w:rsid w:val="0082155C"/>
    <w:rsid w:val="008227FD"/>
    <w:rsid w:val="00830DCC"/>
    <w:rsid w:val="00832CBF"/>
    <w:rsid w:val="008413AB"/>
    <w:rsid w:val="00847917"/>
    <w:rsid w:val="00853F93"/>
    <w:rsid w:val="00864C0B"/>
    <w:rsid w:val="0087086B"/>
    <w:rsid w:val="00871D12"/>
    <w:rsid w:val="00872579"/>
    <w:rsid w:val="0088380A"/>
    <w:rsid w:val="008841B9"/>
    <w:rsid w:val="00894B32"/>
    <w:rsid w:val="00896FCD"/>
    <w:rsid w:val="008A5A3E"/>
    <w:rsid w:val="008B3164"/>
    <w:rsid w:val="008B5210"/>
    <w:rsid w:val="008C6D32"/>
    <w:rsid w:val="008C7C7F"/>
    <w:rsid w:val="008D2A97"/>
    <w:rsid w:val="008D4D41"/>
    <w:rsid w:val="008E44BB"/>
    <w:rsid w:val="008E7F87"/>
    <w:rsid w:val="008F14B4"/>
    <w:rsid w:val="008F5BC5"/>
    <w:rsid w:val="008F6D17"/>
    <w:rsid w:val="0090295C"/>
    <w:rsid w:val="00903E2A"/>
    <w:rsid w:val="00906BC0"/>
    <w:rsid w:val="00907D5A"/>
    <w:rsid w:val="00913707"/>
    <w:rsid w:val="00914B4D"/>
    <w:rsid w:val="00915D2B"/>
    <w:rsid w:val="0092792E"/>
    <w:rsid w:val="0093262E"/>
    <w:rsid w:val="00942BB8"/>
    <w:rsid w:val="0094547D"/>
    <w:rsid w:val="0094625E"/>
    <w:rsid w:val="00953717"/>
    <w:rsid w:val="00960D53"/>
    <w:rsid w:val="00962830"/>
    <w:rsid w:val="009639CF"/>
    <w:rsid w:val="0096579B"/>
    <w:rsid w:val="009704D7"/>
    <w:rsid w:val="009717CF"/>
    <w:rsid w:val="009823A1"/>
    <w:rsid w:val="009850EE"/>
    <w:rsid w:val="009945FF"/>
    <w:rsid w:val="00996D80"/>
    <w:rsid w:val="00997B67"/>
    <w:rsid w:val="009B54BA"/>
    <w:rsid w:val="009B66B1"/>
    <w:rsid w:val="009B72A7"/>
    <w:rsid w:val="009B7899"/>
    <w:rsid w:val="009C0796"/>
    <w:rsid w:val="009C52FC"/>
    <w:rsid w:val="009C5521"/>
    <w:rsid w:val="009C66B5"/>
    <w:rsid w:val="009D0993"/>
    <w:rsid w:val="009E015C"/>
    <w:rsid w:val="009E09C3"/>
    <w:rsid w:val="009E4F43"/>
    <w:rsid w:val="009F174B"/>
    <w:rsid w:val="009F6771"/>
    <w:rsid w:val="00A05AC6"/>
    <w:rsid w:val="00A0738C"/>
    <w:rsid w:val="00A15687"/>
    <w:rsid w:val="00A256CB"/>
    <w:rsid w:val="00A31E60"/>
    <w:rsid w:val="00A327BF"/>
    <w:rsid w:val="00A37267"/>
    <w:rsid w:val="00A44702"/>
    <w:rsid w:val="00A46183"/>
    <w:rsid w:val="00A50925"/>
    <w:rsid w:val="00A52584"/>
    <w:rsid w:val="00A54A61"/>
    <w:rsid w:val="00A55380"/>
    <w:rsid w:val="00A605C9"/>
    <w:rsid w:val="00A70ACB"/>
    <w:rsid w:val="00A72981"/>
    <w:rsid w:val="00A8663C"/>
    <w:rsid w:val="00A8755D"/>
    <w:rsid w:val="00A96975"/>
    <w:rsid w:val="00A96C4E"/>
    <w:rsid w:val="00A97DE1"/>
    <w:rsid w:val="00AB780E"/>
    <w:rsid w:val="00AC12C1"/>
    <w:rsid w:val="00AC32DB"/>
    <w:rsid w:val="00AC59E8"/>
    <w:rsid w:val="00AD2B5E"/>
    <w:rsid w:val="00AD77E6"/>
    <w:rsid w:val="00AE1EA2"/>
    <w:rsid w:val="00AE3A58"/>
    <w:rsid w:val="00AE4C86"/>
    <w:rsid w:val="00AE527F"/>
    <w:rsid w:val="00B01B38"/>
    <w:rsid w:val="00B04B5B"/>
    <w:rsid w:val="00B1049B"/>
    <w:rsid w:val="00B13EE6"/>
    <w:rsid w:val="00B2648D"/>
    <w:rsid w:val="00B33929"/>
    <w:rsid w:val="00B41AE4"/>
    <w:rsid w:val="00B4351F"/>
    <w:rsid w:val="00B4562C"/>
    <w:rsid w:val="00B5359F"/>
    <w:rsid w:val="00B54274"/>
    <w:rsid w:val="00B56CEE"/>
    <w:rsid w:val="00B641CE"/>
    <w:rsid w:val="00B67A54"/>
    <w:rsid w:val="00B77313"/>
    <w:rsid w:val="00B77F01"/>
    <w:rsid w:val="00B871DD"/>
    <w:rsid w:val="00B90816"/>
    <w:rsid w:val="00B95E94"/>
    <w:rsid w:val="00BA0AFE"/>
    <w:rsid w:val="00BA3DC6"/>
    <w:rsid w:val="00BB08A8"/>
    <w:rsid w:val="00BB34F8"/>
    <w:rsid w:val="00BC266C"/>
    <w:rsid w:val="00BC7367"/>
    <w:rsid w:val="00BD3193"/>
    <w:rsid w:val="00BE2D42"/>
    <w:rsid w:val="00BE3A9B"/>
    <w:rsid w:val="00BE6436"/>
    <w:rsid w:val="00BF2908"/>
    <w:rsid w:val="00C014AF"/>
    <w:rsid w:val="00C02AF6"/>
    <w:rsid w:val="00C03D5F"/>
    <w:rsid w:val="00C117E4"/>
    <w:rsid w:val="00C15459"/>
    <w:rsid w:val="00C24B52"/>
    <w:rsid w:val="00C25F71"/>
    <w:rsid w:val="00C315EA"/>
    <w:rsid w:val="00C360D5"/>
    <w:rsid w:val="00C37D36"/>
    <w:rsid w:val="00C42AD8"/>
    <w:rsid w:val="00C47C3B"/>
    <w:rsid w:val="00C5273C"/>
    <w:rsid w:val="00C564DF"/>
    <w:rsid w:val="00C5689C"/>
    <w:rsid w:val="00C5782C"/>
    <w:rsid w:val="00C6015B"/>
    <w:rsid w:val="00C64F92"/>
    <w:rsid w:val="00C67F5D"/>
    <w:rsid w:val="00C705F8"/>
    <w:rsid w:val="00C724C9"/>
    <w:rsid w:val="00C74EF8"/>
    <w:rsid w:val="00C87270"/>
    <w:rsid w:val="00C93AFE"/>
    <w:rsid w:val="00C93DB5"/>
    <w:rsid w:val="00C95C17"/>
    <w:rsid w:val="00CA0B32"/>
    <w:rsid w:val="00CA51F9"/>
    <w:rsid w:val="00CB053D"/>
    <w:rsid w:val="00CB7E26"/>
    <w:rsid w:val="00CC0EBF"/>
    <w:rsid w:val="00CC6495"/>
    <w:rsid w:val="00CD03F2"/>
    <w:rsid w:val="00CD094C"/>
    <w:rsid w:val="00CD3BF0"/>
    <w:rsid w:val="00CE62A6"/>
    <w:rsid w:val="00CE6A20"/>
    <w:rsid w:val="00CF152A"/>
    <w:rsid w:val="00CF2F9D"/>
    <w:rsid w:val="00CF3366"/>
    <w:rsid w:val="00CF684F"/>
    <w:rsid w:val="00D007B8"/>
    <w:rsid w:val="00D01A86"/>
    <w:rsid w:val="00D040D2"/>
    <w:rsid w:val="00D04217"/>
    <w:rsid w:val="00D053A8"/>
    <w:rsid w:val="00D05E81"/>
    <w:rsid w:val="00D15846"/>
    <w:rsid w:val="00D213B1"/>
    <w:rsid w:val="00D2286B"/>
    <w:rsid w:val="00D3039D"/>
    <w:rsid w:val="00D3070E"/>
    <w:rsid w:val="00D34071"/>
    <w:rsid w:val="00D57FCD"/>
    <w:rsid w:val="00D64DB3"/>
    <w:rsid w:val="00D7117B"/>
    <w:rsid w:val="00D715D7"/>
    <w:rsid w:val="00D847A1"/>
    <w:rsid w:val="00D85893"/>
    <w:rsid w:val="00D96A0B"/>
    <w:rsid w:val="00D96D40"/>
    <w:rsid w:val="00DA070F"/>
    <w:rsid w:val="00DA207C"/>
    <w:rsid w:val="00DA3114"/>
    <w:rsid w:val="00DA3405"/>
    <w:rsid w:val="00DA3F29"/>
    <w:rsid w:val="00DB5820"/>
    <w:rsid w:val="00DC2120"/>
    <w:rsid w:val="00DC6A2F"/>
    <w:rsid w:val="00DE6C91"/>
    <w:rsid w:val="00DE7817"/>
    <w:rsid w:val="00E07AB9"/>
    <w:rsid w:val="00E117A2"/>
    <w:rsid w:val="00E215C8"/>
    <w:rsid w:val="00E221CB"/>
    <w:rsid w:val="00E35A6F"/>
    <w:rsid w:val="00E407D6"/>
    <w:rsid w:val="00E56A48"/>
    <w:rsid w:val="00E56D91"/>
    <w:rsid w:val="00E61053"/>
    <w:rsid w:val="00E63DF9"/>
    <w:rsid w:val="00E67B7E"/>
    <w:rsid w:val="00E7048D"/>
    <w:rsid w:val="00E8255B"/>
    <w:rsid w:val="00E835CD"/>
    <w:rsid w:val="00E83FF4"/>
    <w:rsid w:val="00E900C1"/>
    <w:rsid w:val="00E90339"/>
    <w:rsid w:val="00E9730A"/>
    <w:rsid w:val="00EA72C4"/>
    <w:rsid w:val="00EB50C4"/>
    <w:rsid w:val="00EC1298"/>
    <w:rsid w:val="00EC2CF8"/>
    <w:rsid w:val="00ED3E8E"/>
    <w:rsid w:val="00ED6514"/>
    <w:rsid w:val="00ED7108"/>
    <w:rsid w:val="00EE23E3"/>
    <w:rsid w:val="00EE40C3"/>
    <w:rsid w:val="00F05F95"/>
    <w:rsid w:val="00F12DE0"/>
    <w:rsid w:val="00F1466C"/>
    <w:rsid w:val="00F20628"/>
    <w:rsid w:val="00F23434"/>
    <w:rsid w:val="00F24BFD"/>
    <w:rsid w:val="00F33018"/>
    <w:rsid w:val="00F36F80"/>
    <w:rsid w:val="00F3770A"/>
    <w:rsid w:val="00F46B19"/>
    <w:rsid w:val="00F524A3"/>
    <w:rsid w:val="00F532E1"/>
    <w:rsid w:val="00F5648E"/>
    <w:rsid w:val="00F61D4E"/>
    <w:rsid w:val="00F65E5C"/>
    <w:rsid w:val="00F74E45"/>
    <w:rsid w:val="00F80BA4"/>
    <w:rsid w:val="00F82223"/>
    <w:rsid w:val="00F84901"/>
    <w:rsid w:val="00F84D09"/>
    <w:rsid w:val="00F90425"/>
    <w:rsid w:val="00F91BF2"/>
    <w:rsid w:val="00F92998"/>
    <w:rsid w:val="00F9380F"/>
    <w:rsid w:val="00F96C90"/>
    <w:rsid w:val="00FA39B0"/>
    <w:rsid w:val="00FA4E83"/>
    <w:rsid w:val="00FB3FE4"/>
    <w:rsid w:val="00FB753B"/>
    <w:rsid w:val="00FD375A"/>
    <w:rsid w:val="00FD7E4C"/>
    <w:rsid w:val="00FE38DF"/>
    <w:rsid w:val="00FE4A6C"/>
    <w:rsid w:val="00FF0053"/>
    <w:rsid w:val="00FF24E4"/>
    <w:rsid w:val="00FF2B22"/>
    <w:rsid w:val="00FF5365"/>
    <w:rsid w:val="00FF75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country-region"/>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hapeDefaults>
    <o:shapedefaults v:ext="edit" spidmax="101378" fillcolor="black">
      <v:fill color="black"/>
      <v:stroke weight="31e-5mm"/>
      <o:colormenu v:ext="edit" fillcolor="none [660]" strokecolor="none" shadowcolor="none [1940]"/>
    </o:shapedefaults>
    <o:shapelayout v:ext="edit">
      <o:idmap v:ext="edit" data="1"/>
      <o:rules v:ext="edit">
        <o:r id="V:Rule4" type="connector" idref="#_x0000_s1917"/>
        <o:r id="V:Rule5" type="connector" idref="#_x0000_s1916"/>
        <o:r id="V:Rule6" type="connector" idref="#_x0000_s173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0"/>
    <w:lsdException w:name="caption" w:semiHidden="0" w:uiPriority="35"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40"/>
    <w:lsdException w:name="FollowedHyperlink" w:uiPriority="0"/>
    <w:lsdException w:name="Strong" w:semiHidden="0" w:uiPriority="0" w:unhideWhenUsed="0" w:qFormat="1"/>
    <w:lsdException w:name="Emphasis" w:semiHidden="0" w:uiPriority="0" w:unhideWhenUsed="0" w:qFormat="1"/>
    <w:lsdException w:name="Normal (Web)"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62830"/>
    <w:pPr>
      <w:spacing w:after="200" w:line="276" w:lineRule="auto"/>
    </w:pPr>
    <w:rPr>
      <w:sz w:val="22"/>
      <w:szCs w:val="22"/>
      <w:lang w:val="en-GB"/>
    </w:rPr>
  </w:style>
  <w:style w:type="paragraph" w:styleId="Heading1">
    <w:name w:val="heading 1"/>
    <w:basedOn w:val="Heading2"/>
    <w:next w:val="Normal"/>
    <w:link w:val="Heading1Char"/>
    <w:autoRedefine/>
    <w:qFormat/>
    <w:rsid w:val="002D0F33"/>
    <w:pPr>
      <w:tabs>
        <w:tab w:val="left" w:pos="567"/>
      </w:tabs>
      <w:spacing w:before="0"/>
      <w:ind w:left="360"/>
      <w:jc w:val="center"/>
      <w:outlineLvl w:val="0"/>
    </w:pPr>
    <w:rPr>
      <w:rFonts w:ascii="Arial" w:hAnsi="Arial" w:cs="Arial"/>
      <w:b/>
    </w:rPr>
  </w:style>
  <w:style w:type="paragraph" w:styleId="Heading2">
    <w:name w:val="heading 2"/>
    <w:basedOn w:val="Normal"/>
    <w:next w:val="Normal"/>
    <w:link w:val="Heading2Char"/>
    <w:qFormat/>
    <w:rsid w:val="00246293"/>
    <w:pPr>
      <w:keepNext/>
      <w:keepLines/>
      <w:spacing w:before="100" w:after="100" w:line="300" w:lineRule="atLeast"/>
      <w:outlineLvl w:val="1"/>
    </w:pPr>
    <w:rPr>
      <w:rFonts w:ascii="Cambria" w:eastAsia="Times New Roman" w:hAnsi="Cambria"/>
      <w:bCs/>
      <w:color w:val="1F497D"/>
      <w:sz w:val="28"/>
      <w:szCs w:val="28"/>
    </w:rPr>
  </w:style>
  <w:style w:type="paragraph" w:styleId="Heading3">
    <w:name w:val="heading 3"/>
    <w:basedOn w:val="Normal"/>
    <w:next w:val="Normal"/>
    <w:link w:val="Heading3Char"/>
    <w:qFormat/>
    <w:rsid w:val="00246293"/>
    <w:pPr>
      <w:keepNext/>
      <w:keepLines/>
      <w:spacing w:before="100" w:after="100" w:line="300" w:lineRule="atLeast"/>
      <w:outlineLvl w:val="2"/>
    </w:pPr>
    <w:rPr>
      <w:rFonts w:ascii="Cambria" w:eastAsia="Times New Roman" w:hAnsi="Cambria"/>
      <w:bCs/>
      <w:i/>
      <w:color w:val="1F497D"/>
      <w:sz w:val="24"/>
      <w:szCs w:val="24"/>
    </w:rPr>
  </w:style>
  <w:style w:type="paragraph" w:styleId="Heading4">
    <w:name w:val="heading 4"/>
    <w:basedOn w:val="Normal"/>
    <w:next w:val="Normal"/>
    <w:link w:val="Heading4Char"/>
    <w:qFormat/>
    <w:rsid w:val="00246293"/>
    <w:pPr>
      <w:keepNext/>
      <w:keepLines/>
      <w:spacing w:before="200" w:after="0" w:line="300" w:lineRule="atLeast"/>
      <w:jc w:val="both"/>
      <w:outlineLvl w:val="3"/>
    </w:pPr>
    <w:rPr>
      <w:rFonts w:ascii="Cambria" w:eastAsia="Times New Roman" w:hAnsi="Cambria"/>
      <w:b/>
      <w:bCs/>
      <w:i/>
      <w:iCs/>
      <w:color w:val="4F81BD"/>
      <w:sz w:val="20"/>
    </w:rPr>
  </w:style>
  <w:style w:type="paragraph" w:styleId="Heading5">
    <w:name w:val="heading 5"/>
    <w:basedOn w:val="Normal"/>
    <w:next w:val="Normal"/>
    <w:link w:val="Heading5Char"/>
    <w:qFormat/>
    <w:rsid w:val="004D47BB"/>
    <w:pPr>
      <w:tabs>
        <w:tab w:val="num" w:pos="1008"/>
      </w:tabs>
      <w:spacing w:before="240" w:after="60" w:line="240" w:lineRule="auto"/>
      <w:ind w:left="1008" w:hanging="1008"/>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4D47BB"/>
    <w:pPr>
      <w:tabs>
        <w:tab w:val="num" w:pos="1152"/>
      </w:tabs>
      <w:spacing w:before="240" w:after="60" w:line="240" w:lineRule="auto"/>
      <w:ind w:left="1152" w:hanging="1152"/>
      <w:outlineLvl w:val="5"/>
    </w:pPr>
    <w:rPr>
      <w:rFonts w:ascii="Times New Roman" w:eastAsia="Times New Roman" w:hAnsi="Times New Roman"/>
      <w:b/>
      <w:bCs/>
    </w:rPr>
  </w:style>
  <w:style w:type="paragraph" w:styleId="Heading7">
    <w:name w:val="heading 7"/>
    <w:basedOn w:val="Normal"/>
    <w:next w:val="Normal"/>
    <w:link w:val="Heading7Char"/>
    <w:qFormat/>
    <w:rsid w:val="004D47BB"/>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4D47BB"/>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4D47BB"/>
    <w:pPr>
      <w:tabs>
        <w:tab w:val="num" w:pos="1584"/>
      </w:tabs>
      <w:spacing w:before="240" w:after="60" w:line="240" w:lineRule="auto"/>
      <w:ind w:left="1584" w:hanging="1584"/>
      <w:outlineLvl w:val="8"/>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46293"/>
    <w:rPr>
      <w:rFonts w:ascii="Cambria" w:eastAsia="Times New Roman" w:hAnsi="Cambria" w:cs="Times New Roman"/>
      <w:bCs/>
      <w:color w:val="1F497D"/>
      <w:sz w:val="28"/>
      <w:szCs w:val="28"/>
      <w:lang w:val="en-GB"/>
    </w:rPr>
  </w:style>
  <w:style w:type="character" w:customStyle="1" w:styleId="Heading1Char">
    <w:name w:val="Heading 1 Char"/>
    <w:basedOn w:val="DefaultParagraphFont"/>
    <w:link w:val="Heading1"/>
    <w:rsid w:val="002D0F33"/>
    <w:rPr>
      <w:rFonts w:ascii="Arial" w:eastAsia="Times New Roman" w:hAnsi="Arial" w:cs="Arial"/>
      <w:b/>
      <w:bCs/>
      <w:color w:val="1F497D"/>
      <w:sz w:val="28"/>
      <w:szCs w:val="28"/>
      <w:lang w:val="en-GB"/>
    </w:rPr>
  </w:style>
  <w:style w:type="character" w:customStyle="1" w:styleId="Heading3Char">
    <w:name w:val="Heading 3 Char"/>
    <w:basedOn w:val="DefaultParagraphFont"/>
    <w:link w:val="Heading3"/>
    <w:rsid w:val="00246293"/>
    <w:rPr>
      <w:rFonts w:ascii="Cambria" w:eastAsia="Times New Roman" w:hAnsi="Cambria" w:cs="Times New Roman"/>
      <w:bCs/>
      <w:i/>
      <w:color w:val="1F497D"/>
      <w:sz w:val="24"/>
      <w:szCs w:val="24"/>
      <w:lang w:val="en-GB"/>
    </w:rPr>
  </w:style>
  <w:style w:type="character" w:customStyle="1" w:styleId="Heading4Char">
    <w:name w:val="Heading 4 Char"/>
    <w:basedOn w:val="DefaultParagraphFont"/>
    <w:link w:val="Heading4"/>
    <w:uiPriority w:val="9"/>
    <w:rsid w:val="00246293"/>
    <w:rPr>
      <w:rFonts w:ascii="Cambria" w:eastAsia="Times New Roman" w:hAnsi="Cambria" w:cs="Times New Roman"/>
      <w:b/>
      <w:bCs/>
      <w:i/>
      <w:iCs/>
      <w:color w:val="4F81BD"/>
      <w:szCs w:val="22"/>
      <w:lang w:val="en-GB"/>
    </w:rPr>
  </w:style>
  <w:style w:type="character" w:customStyle="1" w:styleId="Heading5Char">
    <w:name w:val="Heading 5 Char"/>
    <w:basedOn w:val="DefaultParagraphFont"/>
    <w:link w:val="Heading5"/>
    <w:rsid w:val="004D47BB"/>
    <w:rPr>
      <w:rFonts w:ascii="Times New Roman" w:eastAsia="Times New Roman" w:hAnsi="Times New Roman"/>
      <w:b/>
      <w:bCs/>
      <w:i/>
      <w:iCs/>
      <w:sz w:val="26"/>
      <w:szCs w:val="26"/>
      <w:lang w:val="en-GB"/>
    </w:rPr>
  </w:style>
  <w:style w:type="character" w:customStyle="1" w:styleId="Heading6Char">
    <w:name w:val="Heading 6 Char"/>
    <w:basedOn w:val="DefaultParagraphFont"/>
    <w:link w:val="Heading6"/>
    <w:rsid w:val="004D47BB"/>
    <w:rPr>
      <w:rFonts w:ascii="Times New Roman" w:eastAsia="Times New Roman" w:hAnsi="Times New Roman"/>
      <w:b/>
      <w:bCs/>
      <w:sz w:val="22"/>
      <w:szCs w:val="22"/>
      <w:lang w:val="en-GB"/>
    </w:rPr>
  </w:style>
  <w:style w:type="character" w:customStyle="1" w:styleId="Heading7Char">
    <w:name w:val="Heading 7 Char"/>
    <w:basedOn w:val="DefaultParagraphFont"/>
    <w:link w:val="Heading7"/>
    <w:rsid w:val="004D47BB"/>
    <w:rPr>
      <w:rFonts w:ascii="Times New Roman" w:eastAsia="Times New Roman" w:hAnsi="Times New Roman"/>
      <w:sz w:val="24"/>
      <w:szCs w:val="24"/>
      <w:lang w:val="en-GB"/>
    </w:rPr>
  </w:style>
  <w:style w:type="character" w:customStyle="1" w:styleId="Heading8Char">
    <w:name w:val="Heading 8 Char"/>
    <w:basedOn w:val="DefaultParagraphFont"/>
    <w:link w:val="Heading8"/>
    <w:rsid w:val="004D47BB"/>
    <w:rPr>
      <w:rFonts w:ascii="Times New Roman" w:eastAsia="Times New Roman" w:hAnsi="Times New Roman"/>
      <w:i/>
      <w:iCs/>
      <w:sz w:val="24"/>
      <w:szCs w:val="24"/>
      <w:lang w:val="en-GB"/>
    </w:rPr>
  </w:style>
  <w:style w:type="character" w:customStyle="1" w:styleId="Heading9Char">
    <w:name w:val="Heading 9 Char"/>
    <w:basedOn w:val="DefaultParagraphFont"/>
    <w:link w:val="Heading9"/>
    <w:rsid w:val="004D47BB"/>
    <w:rPr>
      <w:rFonts w:ascii="Arial" w:eastAsia="Times New Roman" w:hAnsi="Arial"/>
      <w:sz w:val="22"/>
      <w:szCs w:val="22"/>
      <w:lang w:val="en-GB"/>
    </w:rPr>
  </w:style>
  <w:style w:type="paragraph" w:styleId="Header">
    <w:name w:val="header"/>
    <w:basedOn w:val="Normal"/>
    <w:link w:val="HeaderChar"/>
    <w:uiPriority w:val="99"/>
    <w:unhideWhenUsed/>
    <w:rsid w:val="004B3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8FA"/>
  </w:style>
  <w:style w:type="paragraph" w:styleId="Footer">
    <w:name w:val="footer"/>
    <w:basedOn w:val="Normal"/>
    <w:link w:val="FooterChar"/>
    <w:uiPriority w:val="99"/>
    <w:unhideWhenUsed/>
    <w:rsid w:val="004B3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8FA"/>
  </w:style>
  <w:style w:type="paragraph" w:styleId="BalloonText">
    <w:name w:val="Balloon Text"/>
    <w:basedOn w:val="Normal"/>
    <w:link w:val="BalloonTextChar"/>
    <w:semiHidden/>
    <w:unhideWhenUsed/>
    <w:rsid w:val="004B3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B38FA"/>
    <w:rPr>
      <w:rFonts w:ascii="Tahoma" w:hAnsi="Tahoma" w:cs="Tahoma"/>
      <w:sz w:val="16"/>
      <w:szCs w:val="16"/>
    </w:rPr>
  </w:style>
  <w:style w:type="paragraph" w:styleId="Title">
    <w:name w:val="Title"/>
    <w:basedOn w:val="Normal"/>
    <w:next w:val="Normal"/>
    <w:link w:val="TitleChar"/>
    <w:qFormat/>
    <w:rsid w:val="004B38F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4B38FA"/>
    <w:rPr>
      <w:rFonts w:ascii="Cambria" w:eastAsia="Times New Roman" w:hAnsi="Cambria" w:cs="Times New Roman"/>
      <w:color w:val="17365D"/>
      <w:spacing w:val="5"/>
      <w:kern w:val="28"/>
      <w:sz w:val="52"/>
      <w:szCs w:val="52"/>
    </w:rPr>
  </w:style>
  <w:style w:type="character" w:styleId="Hyperlink">
    <w:name w:val="Hyperlink"/>
    <w:basedOn w:val="DefaultParagraphFont"/>
    <w:uiPriority w:val="99"/>
    <w:unhideWhenUsed/>
    <w:rsid w:val="0020723B"/>
    <w:rPr>
      <w:color w:val="0000FF"/>
      <w:u w:val="single"/>
    </w:rPr>
  </w:style>
  <w:style w:type="paragraph" w:styleId="NoSpacing">
    <w:name w:val="No Spacing"/>
    <w:link w:val="NoSpacingChar"/>
    <w:qFormat/>
    <w:rsid w:val="009F6771"/>
    <w:rPr>
      <w:rFonts w:eastAsia="Times New Roman"/>
      <w:sz w:val="22"/>
      <w:szCs w:val="22"/>
    </w:rPr>
  </w:style>
  <w:style w:type="character" w:customStyle="1" w:styleId="NoSpacingChar">
    <w:name w:val="No Spacing Char"/>
    <w:basedOn w:val="DefaultParagraphFont"/>
    <w:link w:val="NoSpacing"/>
    <w:rsid w:val="009F6771"/>
    <w:rPr>
      <w:rFonts w:eastAsia="Times New Roman"/>
      <w:sz w:val="22"/>
      <w:szCs w:val="22"/>
      <w:lang w:val="en-US" w:eastAsia="en-US" w:bidi="ar-SA"/>
    </w:rPr>
  </w:style>
  <w:style w:type="table" w:customStyle="1" w:styleId="LightShading-Accent11">
    <w:name w:val="Light Shading - Accent 11"/>
    <w:basedOn w:val="TableNormal"/>
    <w:rsid w:val="00B2648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2-Accent1">
    <w:name w:val="Medium Grid 2 Accent 1"/>
    <w:basedOn w:val="TableNormal"/>
    <w:uiPriority w:val="68"/>
    <w:rsid w:val="00B2648D"/>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ListParagraph">
    <w:name w:val="List Paragraph"/>
    <w:basedOn w:val="Normal"/>
    <w:uiPriority w:val="34"/>
    <w:qFormat/>
    <w:rsid w:val="00685DE3"/>
    <w:pPr>
      <w:ind w:left="720"/>
      <w:contextualSpacing/>
    </w:pPr>
    <w:rPr>
      <w:lang w:val="en-US"/>
    </w:rPr>
  </w:style>
  <w:style w:type="table" w:styleId="TableGrid">
    <w:name w:val="Table Grid"/>
    <w:basedOn w:val="TableNormal"/>
    <w:rsid w:val="00E903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CC0EBF"/>
    <w:rPr>
      <w:sz w:val="16"/>
      <w:szCs w:val="16"/>
    </w:rPr>
  </w:style>
  <w:style w:type="paragraph" w:styleId="CommentText">
    <w:name w:val="annotation text"/>
    <w:basedOn w:val="Normal"/>
    <w:link w:val="CommentTextChar"/>
    <w:semiHidden/>
    <w:unhideWhenUsed/>
    <w:rsid w:val="00CC0EBF"/>
    <w:rPr>
      <w:sz w:val="20"/>
      <w:szCs w:val="20"/>
    </w:rPr>
  </w:style>
  <w:style w:type="character" w:customStyle="1" w:styleId="CommentTextChar">
    <w:name w:val="Comment Text Char"/>
    <w:basedOn w:val="DefaultParagraphFont"/>
    <w:link w:val="CommentText"/>
    <w:semiHidden/>
    <w:rsid w:val="00CC0EBF"/>
    <w:rPr>
      <w:lang w:val="en-GB"/>
    </w:rPr>
  </w:style>
  <w:style w:type="paragraph" w:styleId="CommentSubject">
    <w:name w:val="annotation subject"/>
    <w:basedOn w:val="CommentText"/>
    <w:next w:val="CommentText"/>
    <w:link w:val="CommentSubjectChar"/>
    <w:semiHidden/>
    <w:unhideWhenUsed/>
    <w:rsid w:val="00CC0EBF"/>
    <w:rPr>
      <w:b/>
      <w:bCs/>
    </w:rPr>
  </w:style>
  <w:style w:type="character" w:customStyle="1" w:styleId="CommentSubjectChar">
    <w:name w:val="Comment Subject Char"/>
    <w:basedOn w:val="CommentTextChar"/>
    <w:link w:val="CommentSubject"/>
    <w:semiHidden/>
    <w:rsid w:val="00CC0EBF"/>
    <w:rPr>
      <w:b/>
      <w:bCs/>
    </w:rPr>
  </w:style>
  <w:style w:type="paragraph" w:styleId="Caption">
    <w:name w:val="caption"/>
    <w:basedOn w:val="Normal"/>
    <w:next w:val="Normal"/>
    <w:uiPriority w:val="35"/>
    <w:qFormat/>
    <w:rsid w:val="001C5441"/>
    <w:rPr>
      <w:b/>
      <w:bCs/>
      <w:sz w:val="20"/>
      <w:szCs w:val="20"/>
    </w:rPr>
  </w:style>
  <w:style w:type="paragraph" w:styleId="NormalWeb">
    <w:name w:val="Normal (Web)"/>
    <w:basedOn w:val="Normal"/>
    <w:unhideWhenUsed/>
    <w:rsid w:val="001C1177"/>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qFormat/>
    <w:rsid w:val="008A5A3E"/>
    <w:rPr>
      <w:b/>
      <w:bCs/>
      <w:i w:val="0"/>
      <w:iCs w:val="0"/>
    </w:rPr>
  </w:style>
  <w:style w:type="paragraph" w:styleId="FootnoteText">
    <w:name w:val="footnote text"/>
    <w:aliases w:val="Footnote Text Char2 Char,Char Char Char,Char CarNum-Doc Paragraph Char Char,Footnote Text Char1 Char Char,Footnote Text Char Char Char Char,Fo Char Char Char Char,Fotnot Char Char Char Char,Footnote Text Char Char1 Char,Char, Char1"/>
    <w:basedOn w:val="Normal"/>
    <w:link w:val="FootnoteTextChar"/>
    <w:uiPriority w:val="99"/>
    <w:unhideWhenUsed/>
    <w:qFormat/>
    <w:rsid w:val="00C64F92"/>
    <w:pPr>
      <w:spacing w:after="0" w:line="240" w:lineRule="auto"/>
    </w:pPr>
    <w:rPr>
      <w:sz w:val="20"/>
      <w:szCs w:val="20"/>
    </w:rPr>
  </w:style>
  <w:style w:type="character" w:customStyle="1" w:styleId="FootnoteTextChar">
    <w:name w:val="Footnote Text Char"/>
    <w:aliases w:val="Footnote Text Char2 Char Char,Char Char Char Char,Char CarNum-Doc Paragraph Char Char Char,Footnote Text Char1 Char Char Char,Footnote Text Char Char Char Char Char,Fo Char Char Char Char Char,Fotnot Char Char Char Char Char,Char Char"/>
    <w:basedOn w:val="DefaultParagraphFont"/>
    <w:link w:val="FootnoteText"/>
    <w:uiPriority w:val="99"/>
    <w:rsid w:val="00C64F92"/>
    <w:rPr>
      <w:lang w:val="en-GB"/>
    </w:rPr>
  </w:style>
  <w:style w:type="character" w:styleId="FootnoteReference">
    <w:name w:val="footnote reference"/>
    <w:aliases w:val="E FNZ,-E Fußnotenzeichen,Footnote#"/>
    <w:basedOn w:val="DefaultParagraphFont"/>
    <w:semiHidden/>
    <w:unhideWhenUsed/>
    <w:rsid w:val="00C64F92"/>
    <w:rPr>
      <w:vertAlign w:val="superscript"/>
    </w:rPr>
  </w:style>
  <w:style w:type="paragraph" w:customStyle="1" w:styleId="Default">
    <w:name w:val="Default"/>
    <w:link w:val="DefaultChar"/>
    <w:rsid w:val="003B7440"/>
    <w:pPr>
      <w:autoSpaceDE w:val="0"/>
      <w:autoSpaceDN w:val="0"/>
      <w:adjustRightInd w:val="0"/>
    </w:pPr>
    <w:rPr>
      <w:rFonts w:ascii="Times New Roman" w:hAnsi="Times New Roman"/>
      <w:color w:val="000000"/>
      <w:sz w:val="24"/>
      <w:szCs w:val="24"/>
    </w:rPr>
  </w:style>
  <w:style w:type="character" w:customStyle="1" w:styleId="DefaultChar">
    <w:name w:val="Default Char"/>
    <w:basedOn w:val="DefaultParagraphFont"/>
    <w:link w:val="Default"/>
    <w:locked/>
    <w:rsid w:val="003B7440"/>
    <w:rPr>
      <w:rFonts w:ascii="Times New Roman" w:hAnsi="Times New Roman"/>
      <w:color w:val="000000"/>
      <w:sz w:val="24"/>
      <w:szCs w:val="24"/>
      <w:lang w:val="en-US" w:eastAsia="en-US" w:bidi="ar-SA"/>
    </w:rPr>
  </w:style>
  <w:style w:type="character" w:styleId="Strong">
    <w:name w:val="Strong"/>
    <w:basedOn w:val="DefaultParagraphFont"/>
    <w:qFormat/>
    <w:rsid w:val="003B7440"/>
    <w:rPr>
      <w:b/>
      <w:bCs/>
    </w:rPr>
  </w:style>
  <w:style w:type="character" w:styleId="FollowedHyperlink">
    <w:name w:val="FollowedHyperlink"/>
    <w:basedOn w:val="DefaultParagraphFont"/>
    <w:semiHidden/>
    <w:unhideWhenUsed/>
    <w:rsid w:val="003B7440"/>
    <w:rPr>
      <w:color w:val="800080"/>
      <w:u w:val="single"/>
    </w:rPr>
  </w:style>
  <w:style w:type="character" w:styleId="HTMLCite">
    <w:name w:val="HTML Cite"/>
    <w:basedOn w:val="DefaultParagraphFont"/>
    <w:semiHidden/>
    <w:unhideWhenUsed/>
    <w:rsid w:val="00DA3114"/>
    <w:rPr>
      <w:i/>
      <w:iCs/>
    </w:rPr>
  </w:style>
  <w:style w:type="paragraph" w:customStyle="1" w:styleId="Bullets">
    <w:name w:val="Bullets"/>
    <w:basedOn w:val="Normal"/>
    <w:link w:val="BulletsChar"/>
    <w:qFormat/>
    <w:rsid w:val="00246293"/>
    <w:pPr>
      <w:spacing w:before="100" w:after="0" w:line="300" w:lineRule="atLeast"/>
      <w:ind w:left="720" w:hanging="360"/>
      <w:jc w:val="both"/>
    </w:pPr>
    <w:rPr>
      <w:rFonts w:ascii="Arial" w:hAnsi="Arial"/>
      <w:sz w:val="20"/>
    </w:rPr>
  </w:style>
  <w:style w:type="character" w:customStyle="1" w:styleId="BulletsChar">
    <w:name w:val="Bullets Char"/>
    <w:basedOn w:val="DefaultParagraphFont"/>
    <w:link w:val="Bullets"/>
    <w:rsid w:val="00246293"/>
    <w:rPr>
      <w:rFonts w:ascii="Arial" w:hAnsi="Arial"/>
      <w:szCs w:val="22"/>
      <w:lang w:val="en-GB"/>
    </w:rPr>
  </w:style>
  <w:style w:type="paragraph" w:customStyle="1" w:styleId="Bulletnormal">
    <w:name w:val="Bullet normal"/>
    <w:basedOn w:val="Normal"/>
    <w:autoRedefine/>
    <w:rsid w:val="00246293"/>
    <w:pPr>
      <w:tabs>
        <w:tab w:val="num" w:pos="170"/>
        <w:tab w:val="left" w:pos="1100"/>
      </w:tabs>
      <w:spacing w:after="0" w:line="280" w:lineRule="exact"/>
      <w:ind w:left="170" w:right="415" w:hanging="170"/>
    </w:pPr>
    <w:rPr>
      <w:rFonts w:ascii="Times New Roman" w:eastAsia="Times New Roman" w:hAnsi="Times New Roman" w:cs="Arial"/>
      <w:bCs/>
      <w:iCs/>
      <w:color w:val="000000"/>
      <w:sz w:val="24"/>
      <w:szCs w:val="24"/>
      <w:lang w:val="en-US"/>
    </w:rPr>
  </w:style>
  <w:style w:type="paragraph" w:styleId="Subtitle">
    <w:name w:val="Subtitle"/>
    <w:basedOn w:val="Normal"/>
    <w:link w:val="SubtitleChar"/>
    <w:autoRedefine/>
    <w:qFormat/>
    <w:rsid w:val="00246293"/>
    <w:pPr>
      <w:spacing w:after="60" w:line="320" w:lineRule="exact"/>
      <w:ind w:right="415"/>
      <w:jc w:val="center"/>
      <w:outlineLvl w:val="1"/>
    </w:pPr>
    <w:rPr>
      <w:rFonts w:ascii="Times New Roman" w:eastAsia="Times New Roman" w:hAnsi="Times New Roman"/>
      <w:b/>
      <w:color w:val="000080"/>
      <w:sz w:val="32"/>
      <w:szCs w:val="24"/>
      <w:lang w:val="en-US"/>
    </w:rPr>
  </w:style>
  <w:style w:type="character" w:customStyle="1" w:styleId="SubtitleChar">
    <w:name w:val="Subtitle Char"/>
    <w:basedOn w:val="DefaultParagraphFont"/>
    <w:link w:val="Subtitle"/>
    <w:rsid w:val="00246293"/>
    <w:rPr>
      <w:rFonts w:ascii="Times New Roman" w:eastAsia="Times New Roman" w:hAnsi="Times New Roman"/>
      <w:b/>
      <w:color w:val="000080"/>
      <w:sz w:val="32"/>
      <w:szCs w:val="24"/>
    </w:rPr>
  </w:style>
  <w:style w:type="paragraph" w:customStyle="1" w:styleId="Normalcentrebold">
    <w:name w:val="Normal centre bold"/>
    <w:basedOn w:val="Normal"/>
    <w:autoRedefine/>
    <w:rsid w:val="00246293"/>
    <w:pPr>
      <w:spacing w:after="0" w:line="240" w:lineRule="auto"/>
      <w:ind w:right="415"/>
      <w:jc w:val="center"/>
    </w:pPr>
    <w:rPr>
      <w:rFonts w:ascii="Times New Roman" w:eastAsia="Times New Roman" w:hAnsi="Times New Roman"/>
      <w:b/>
      <w:sz w:val="24"/>
      <w:szCs w:val="24"/>
      <w:lang w:val="en-US"/>
    </w:rPr>
  </w:style>
  <w:style w:type="paragraph" w:customStyle="1" w:styleId="Normalcentre">
    <w:name w:val="Normal centre"/>
    <w:basedOn w:val="Normal"/>
    <w:autoRedefine/>
    <w:rsid w:val="00246293"/>
    <w:pPr>
      <w:spacing w:after="0" w:line="240" w:lineRule="auto"/>
      <w:ind w:right="415"/>
      <w:jc w:val="center"/>
    </w:pPr>
    <w:rPr>
      <w:rFonts w:ascii="Times New Roman" w:eastAsia="Times New Roman" w:hAnsi="Times New Roman"/>
      <w:sz w:val="24"/>
      <w:szCs w:val="24"/>
      <w:lang w:val="en-US"/>
    </w:rPr>
  </w:style>
  <w:style w:type="character" w:customStyle="1" w:styleId="FootnoteTextChar1">
    <w:name w:val="Footnote Text Char1"/>
    <w:aliases w:val="Footnote Text Char2 Char Char1,Char Char Char Char1,Char CarNum-Doc Paragraph Char Char Char1,Footnote Text Char1 Char Char Char1,Footnote Text Char Char Char Char Char1,Fo Char Char Char Char Char1,Fotnot Char Char Char Char Char1"/>
    <w:basedOn w:val="DefaultParagraphFont"/>
    <w:locked/>
    <w:rsid w:val="00246293"/>
    <w:rPr>
      <w:rFonts w:eastAsia="Times New Roman"/>
      <w:sz w:val="20"/>
      <w:szCs w:val="20"/>
      <w:lang w:val="nb-NO" w:eastAsia="nb-NO"/>
    </w:rPr>
  </w:style>
  <w:style w:type="paragraph" w:customStyle="1" w:styleId="Pa4">
    <w:name w:val="Pa4"/>
    <w:basedOn w:val="Default"/>
    <w:next w:val="Default"/>
    <w:rsid w:val="00246293"/>
    <w:pPr>
      <w:spacing w:line="561" w:lineRule="atLeast"/>
    </w:pPr>
    <w:rPr>
      <w:rFonts w:ascii="MetaBold-Roman" w:eastAsia="Times New Roman" w:hAnsi="MetaBold-Roman"/>
      <w:color w:val="auto"/>
      <w:lang w:val="en-GB"/>
    </w:rPr>
  </w:style>
  <w:style w:type="character" w:customStyle="1" w:styleId="A4">
    <w:name w:val="A4"/>
    <w:rsid w:val="00246293"/>
    <w:rPr>
      <w:rFonts w:cs="MetaBold-Roman"/>
      <w:color w:val="000000"/>
      <w:sz w:val="60"/>
      <w:szCs w:val="60"/>
    </w:rPr>
  </w:style>
  <w:style w:type="paragraph" w:customStyle="1" w:styleId="Pa15">
    <w:name w:val="Pa15"/>
    <w:basedOn w:val="Default"/>
    <w:next w:val="Default"/>
    <w:rsid w:val="00246293"/>
    <w:pPr>
      <w:spacing w:line="189" w:lineRule="atLeast"/>
    </w:pPr>
    <w:rPr>
      <w:rFonts w:ascii="MetaNormal-Roman" w:eastAsia="Times New Roman" w:hAnsi="MetaNormal-Roman"/>
      <w:color w:val="auto"/>
      <w:lang w:val="en-GB"/>
    </w:rPr>
  </w:style>
  <w:style w:type="paragraph" w:customStyle="1" w:styleId="Pa17">
    <w:name w:val="Pa17"/>
    <w:basedOn w:val="Default"/>
    <w:next w:val="Default"/>
    <w:rsid w:val="00246293"/>
    <w:pPr>
      <w:spacing w:line="189" w:lineRule="atLeast"/>
    </w:pPr>
    <w:rPr>
      <w:rFonts w:ascii="MetaNormal-Roman" w:eastAsia="Times New Roman" w:hAnsi="MetaNormal-Roman"/>
      <w:color w:val="auto"/>
      <w:lang w:val="en-GB"/>
    </w:rPr>
  </w:style>
  <w:style w:type="paragraph" w:styleId="TOC1">
    <w:name w:val="toc 1"/>
    <w:basedOn w:val="Normal"/>
    <w:next w:val="Normal"/>
    <w:autoRedefine/>
    <w:uiPriority w:val="39"/>
    <w:unhideWhenUsed/>
    <w:qFormat/>
    <w:rsid w:val="00CA51F9"/>
    <w:pPr>
      <w:spacing w:before="120" w:after="120"/>
    </w:pPr>
    <w:rPr>
      <w:b/>
      <w:bCs/>
      <w:caps/>
      <w:sz w:val="20"/>
      <w:szCs w:val="24"/>
    </w:rPr>
  </w:style>
  <w:style w:type="paragraph" w:styleId="TOC2">
    <w:name w:val="toc 2"/>
    <w:basedOn w:val="Normal"/>
    <w:next w:val="Normal"/>
    <w:autoRedefine/>
    <w:uiPriority w:val="39"/>
    <w:unhideWhenUsed/>
    <w:qFormat/>
    <w:rsid w:val="000D131E"/>
    <w:pPr>
      <w:spacing w:after="0"/>
      <w:ind w:left="220"/>
    </w:pPr>
    <w:rPr>
      <w:smallCaps/>
      <w:sz w:val="20"/>
      <w:szCs w:val="24"/>
    </w:rPr>
  </w:style>
  <w:style w:type="character" w:customStyle="1" w:styleId="name">
    <w:name w:val="name"/>
    <w:basedOn w:val="DefaultParagraphFont"/>
    <w:rsid w:val="00246293"/>
  </w:style>
  <w:style w:type="character" w:customStyle="1" w:styleId="xref-sep">
    <w:name w:val="xref-sep"/>
    <w:basedOn w:val="DefaultParagraphFont"/>
    <w:rsid w:val="00246293"/>
  </w:style>
  <w:style w:type="paragraph" w:styleId="TOC3">
    <w:name w:val="toc 3"/>
    <w:basedOn w:val="Normal"/>
    <w:next w:val="Normal"/>
    <w:autoRedefine/>
    <w:uiPriority w:val="39"/>
    <w:unhideWhenUsed/>
    <w:qFormat/>
    <w:rsid w:val="00CA51F9"/>
    <w:pPr>
      <w:spacing w:after="0"/>
      <w:ind w:left="440"/>
    </w:pPr>
    <w:rPr>
      <w:i/>
      <w:iCs/>
      <w:sz w:val="20"/>
      <w:szCs w:val="24"/>
    </w:rPr>
  </w:style>
  <w:style w:type="paragraph" w:styleId="TableofFigures">
    <w:name w:val="table of figures"/>
    <w:basedOn w:val="Normal"/>
    <w:next w:val="Normal"/>
    <w:unhideWhenUsed/>
    <w:rsid w:val="00246293"/>
    <w:pPr>
      <w:spacing w:after="0" w:line="300" w:lineRule="atLeast"/>
    </w:pPr>
    <w:rPr>
      <w:rFonts w:ascii="Arial" w:hAnsi="Arial"/>
      <w:sz w:val="20"/>
    </w:rPr>
  </w:style>
  <w:style w:type="paragraph" w:customStyle="1" w:styleId="Char1">
    <w:name w:val="Char1"/>
    <w:basedOn w:val="Normal"/>
    <w:rsid w:val="00246293"/>
    <w:pPr>
      <w:spacing w:after="160" w:line="240" w:lineRule="exact"/>
    </w:pPr>
    <w:rPr>
      <w:rFonts w:ascii="Verdana" w:eastAsia="Times New Roman" w:hAnsi="Verdana"/>
      <w:sz w:val="20"/>
      <w:szCs w:val="20"/>
      <w:lang w:val="en-US"/>
    </w:rPr>
  </w:style>
  <w:style w:type="paragraph" w:styleId="BodyText">
    <w:name w:val="Body Text"/>
    <w:basedOn w:val="Normal"/>
    <w:link w:val="BodyTextChar"/>
    <w:rsid w:val="00246293"/>
    <w:pPr>
      <w:overflowPunct w:val="0"/>
      <w:autoSpaceDE w:val="0"/>
      <w:autoSpaceDN w:val="0"/>
      <w:adjustRightInd w:val="0"/>
      <w:spacing w:after="0" w:line="240" w:lineRule="auto"/>
      <w:jc w:val="center"/>
      <w:textAlignment w:val="baseline"/>
    </w:pPr>
    <w:rPr>
      <w:rFonts w:ascii="Arial" w:eastAsia="Times New Roman" w:hAnsi="Arial"/>
      <w:b/>
      <w:bCs/>
      <w:sz w:val="28"/>
      <w:szCs w:val="20"/>
      <w:lang w:eastAsia="de-DE"/>
    </w:rPr>
  </w:style>
  <w:style w:type="character" w:customStyle="1" w:styleId="BodyTextChar">
    <w:name w:val="Body Text Char"/>
    <w:basedOn w:val="DefaultParagraphFont"/>
    <w:link w:val="BodyText"/>
    <w:rsid w:val="00246293"/>
    <w:rPr>
      <w:rFonts w:ascii="Arial" w:eastAsia="Times New Roman" w:hAnsi="Arial"/>
      <w:b/>
      <w:bCs/>
      <w:sz w:val="28"/>
      <w:lang w:val="en-GB" w:eastAsia="de-DE"/>
    </w:rPr>
  </w:style>
  <w:style w:type="character" w:customStyle="1" w:styleId="EndnoteTextChar">
    <w:name w:val="Endnote Text Char"/>
    <w:aliases w:val=" Char Char"/>
    <w:basedOn w:val="DefaultParagraphFont"/>
    <w:link w:val="EndnoteText"/>
    <w:semiHidden/>
    <w:rsid w:val="00246293"/>
    <w:rPr>
      <w:rFonts w:ascii="Arial" w:eastAsia="Times New Roman" w:hAnsi="Arial"/>
      <w:lang w:val="en-GB" w:eastAsia="en-GB"/>
    </w:rPr>
  </w:style>
  <w:style w:type="paragraph" w:styleId="EndnoteText">
    <w:name w:val="endnote text"/>
    <w:aliases w:val=" Char"/>
    <w:basedOn w:val="Normal"/>
    <w:link w:val="EndnoteTextChar"/>
    <w:semiHidden/>
    <w:rsid w:val="00246293"/>
    <w:pPr>
      <w:spacing w:after="0" w:line="300" w:lineRule="atLeast"/>
      <w:jc w:val="both"/>
    </w:pPr>
    <w:rPr>
      <w:rFonts w:ascii="Arial" w:eastAsia="Times New Roman" w:hAnsi="Arial"/>
      <w:sz w:val="20"/>
      <w:szCs w:val="20"/>
      <w:lang w:eastAsia="en-GB"/>
    </w:rPr>
  </w:style>
  <w:style w:type="character" w:customStyle="1" w:styleId="newstitle1">
    <w:name w:val="newstitle1"/>
    <w:basedOn w:val="DefaultParagraphFont"/>
    <w:rsid w:val="00246293"/>
    <w:rPr>
      <w:rFonts w:ascii="Arial" w:hAnsi="Arial" w:cs="Arial" w:hint="default"/>
      <w:b w:val="0"/>
      <w:bCs w:val="0"/>
      <w:color w:val="336666"/>
      <w:sz w:val="18"/>
      <w:szCs w:val="18"/>
    </w:rPr>
  </w:style>
  <w:style w:type="character" w:customStyle="1" w:styleId="intro1">
    <w:name w:val="intro1"/>
    <w:basedOn w:val="DefaultParagraphFont"/>
    <w:rsid w:val="00246293"/>
  </w:style>
  <w:style w:type="character" w:customStyle="1" w:styleId="text">
    <w:name w:val="text"/>
    <w:basedOn w:val="DefaultParagraphFont"/>
    <w:rsid w:val="00246293"/>
  </w:style>
  <w:style w:type="paragraph" w:customStyle="1" w:styleId="Char11">
    <w:name w:val="Char11"/>
    <w:basedOn w:val="Normal"/>
    <w:rsid w:val="00246293"/>
    <w:pPr>
      <w:spacing w:after="160" w:line="240" w:lineRule="exact"/>
    </w:pPr>
    <w:rPr>
      <w:rFonts w:ascii="Verdana" w:eastAsia="Times New Roman" w:hAnsi="Verdana"/>
      <w:sz w:val="20"/>
      <w:szCs w:val="20"/>
      <w:lang w:val="en-US"/>
    </w:rPr>
  </w:style>
  <w:style w:type="paragraph" w:customStyle="1" w:styleId="Normal3">
    <w:name w:val="Normal+3"/>
    <w:basedOn w:val="Default"/>
    <w:next w:val="Default"/>
    <w:rsid w:val="00246293"/>
    <w:rPr>
      <w:rFonts w:ascii="Tahoma" w:hAnsi="Tahoma" w:cs="Tahoma"/>
      <w:color w:val="auto"/>
      <w:lang w:val="id-ID"/>
    </w:rPr>
  </w:style>
  <w:style w:type="paragraph" w:customStyle="1" w:styleId="xdefault">
    <w:name w:val="x_default"/>
    <w:basedOn w:val="Normal"/>
    <w:rsid w:val="004D47BB"/>
    <w:pPr>
      <w:spacing w:before="100" w:beforeAutospacing="1" w:after="100" w:afterAutospacing="1" w:line="240" w:lineRule="auto"/>
    </w:pPr>
    <w:rPr>
      <w:rFonts w:ascii="Times New Roman" w:eastAsia="Times New Roman" w:hAnsi="Times New Roman"/>
      <w:sz w:val="24"/>
      <w:szCs w:val="24"/>
      <w:lang w:val="en-US"/>
    </w:rPr>
  </w:style>
  <w:style w:type="paragraph" w:styleId="BodyTextIndent2">
    <w:name w:val="Body Text Indent 2"/>
    <w:basedOn w:val="Normal"/>
    <w:link w:val="BodyTextIndent2Char"/>
    <w:rsid w:val="004D47BB"/>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4D47BB"/>
    <w:rPr>
      <w:rFonts w:ascii="Times New Roman" w:eastAsia="Times New Roman" w:hAnsi="Times New Roman"/>
      <w:sz w:val="24"/>
      <w:szCs w:val="24"/>
      <w:lang w:val="en-GB"/>
    </w:rPr>
  </w:style>
  <w:style w:type="paragraph" w:styleId="BodyTextIndent3">
    <w:name w:val="Body Text Indent 3"/>
    <w:basedOn w:val="Normal"/>
    <w:link w:val="BodyTextIndent3Char"/>
    <w:rsid w:val="004D47BB"/>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4D47BB"/>
    <w:rPr>
      <w:rFonts w:ascii="Times New Roman" w:eastAsia="Times New Roman" w:hAnsi="Times New Roman"/>
      <w:sz w:val="16"/>
      <w:szCs w:val="16"/>
      <w:lang w:val="en-GB"/>
    </w:rPr>
  </w:style>
  <w:style w:type="paragraph" w:styleId="BodyText2">
    <w:name w:val="Body Text 2"/>
    <w:basedOn w:val="Normal"/>
    <w:link w:val="BodyText2Char"/>
    <w:rsid w:val="004D47BB"/>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rsid w:val="004D47BB"/>
    <w:rPr>
      <w:rFonts w:ascii="Times New Roman" w:eastAsia="Times New Roman" w:hAnsi="Times New Roman"/>
      <w:sz w:val="24"/>
      <w:szCs w:val="24"/>
      <w:lang w:val="en-GB"/>
    </w:rPr>
  </w:style>
  <w:style w:type="paragraph" w:customStyle="1" w:styleId="StyleHeading3NotLatinItalic">
    <w:name w:val="Style Heading 3 + Not (Latin) Italic"/>
    <w:basedOn w:val="Heading3"/>
    <w:rsid w:val="004D47BB"/>
    <w:pPr>
      <w:keepLines w:val="0"/>
      <w:spacing w:before="240" w:after="60" w:line="240" w:lineRule="auto"/>
    </w:pPr>
    <w:rPr>
      <w:rFonts w:ascii="Times New Roman" w:hAnsi="Times New Roman"/>
      <w:b/>
      <w:color w:val="auto"/>
      <w:szCs w:val="26"/>
    </w:rPr>
  </w:style>
  <w:style w:type="character" w:styleId="PageNumber">
    <w:name w:val="page number"/>
    <w:basedOn w:val="DefaultParagraphFont"/>
    <w:rsid w:val="004D47BB"/>
  </w:style>
  <w:style w:type="paragraph" w:styleId="PlainText">
    <w:name w:val="Plain Text"/>
    <w:basedOn w:val="Normal"/>
    <w:link w:val="PlainTextChar"/>
    <w:uiPriority w:val="99"/>
    <w:unhideWhenUsed/>
    <w:rsid w:val="001B4575"/>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1B4575"/>
    <w:rPr>
      <w:rFonts w:ascii="Consolas" w:hAnsi="Consolas"/>
      <w:sz w:val="21"/>
      <w:szCs w:val="21"/>
    </w:rPr>
  </w:style>
  <w:style w:type="numbering" w:customStyle="1" w:styleId="Style1">
    <w:name w:val="Style1"/>
    <w:rsid w:val="001B4575"/>
    <w:pPr>
      <w:numPr>
        <w:numId w:val="32"/>
      </w:numPr>
    </w:pPr>
  </w:style>
  <w:style w:type="paragraph" w:styleId="TOCHeading">
    <w:name w:val="TOC Heading"/>
    <w:basedOn w:val="Heading1"/>
    <w:next w:val="Normal"/>
    <w:uiPriority w:val="39"/>
    <w:qFormat/>
    <w:rsid w:val="009945FF"/>
    <w:pPr>
      <w:spacing w:before="480" w:line="276" w:lineRule="auto"/>
      <w:outlineLvl w:val="9"/>
    </w:pPr>
    <w:rPr>
      <w:color w:val="365F91"/>
      <w:lang w:val="en-US"/>
    </w:rPr>
  </w:style>
  <w:style w:type="paragraph" w:customStyle="1" w:styleId="Normal1">
    <w:name w:val="Normal1"/>
    <w:basedOn w:val="Normal"/>
    <w:next w:val="Normal"/>
    <w:autoRedefine/>
    <w:semiHidden/>
    <w:rsid w:val="00F84D09"/>
    <w:pPr>
      <w:spacing w:after="160" w:line="240" w:lineRule="exact"/>
    </w:pPr>
    <w:rPr>
      <w:rFonts w:ascii="Times New Roman" w:eastAsia="Times New Roman" w:hAnsi="Times New Roman"/>
      <w:color w:val="000000"/>
      <w:sz w:val="28"/>
      <w:lang w:val="en-US"/>
    </w:rPr>
  </w:style>
  <w:style w:type="character" w:customStyle="1" w:styleId="FootnoteCharacters">
    <w:name w:val="Footnote Characters"/>
    <w:basedOn w:val="DefaultParagraphFont"/>
    <w:qFormat/>
    <w:rsid w:val="00E83FF4"/>
    <w:rPr>
      <w:rFonts w:cs="Times New Roman"/>
      <w:sz w:val="16"/>
      <w:szCs w:val="16"/>
    </w:rPr>
  </w:style>
  <w:style w:type="paragraph" w:styleId="Quote">
    <w:name w:val="Quote"/>
    <w:basedOn w:val="Normal"/>
    <w:next w:val="Normal"/>
    <w:link w:val="QuoteChar"/>
    <w:qFormat/>
    <w:rsid w:val="00E83FF4"/>
    <w:pPr>
      <w:spacing w:before="120" w:after="0" w:line="240" w:lineRule="auto"/>
      <w:ind w:left="720"/>
      <w:jc w:val="both"/>
    </w:pPr>
    <w:rPr>
      <w:rFonts w:ascii="Verdana" w:eastAsia="Times New Roman" w:hAnsi="Verdana"/>
      <w:iCs/>
      <w:color w:val="000000"/>
      <w:sz w:val="18"/>
      <w:szCs w:val="18"/>
      <w:lang w:val="sv-SE" w:eastAsia="zh-CN"/>
    </w:rPr>
  </w:style>
  <w:style w:type="character" w:customStyle="1" w:styleId="QuoteChar">
    <w:name w:val="Quote Char"/>
    <w:basedOn w:val="DefaultParagraphFont"/>
    <w:link w:val="Quote"/>
    <w:rsid w:val="00E83FF4"/>
    <w:rPr>
      <w:rFonts w:ascii="Verdana" w:eastAsia="Times New Roman" w:hAnsi="Verdana"/>
      <w:iCs/>
      <w:color w:val="000000"/>
      <w:sz w:val="18"/>
      <w:szCs w:val="18"/>
      <w:lang w:val="sv-SE" w:eastAsia="zh-CN"/>
    </w:rPr>
  </w:style>
  <w:style w:type="table" w:customStyle="1" w:styleId="MediumGrid2-Accent11">
    <w:name w:val="Medium Grid 2 - Accent 11"/>
    <w:rsid w:val="00351F2C"/>
    <w:rPr>
      <w:rFonts w:ascii="Cambria"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FootnoteTextChar2">
    <w:name w:val="Footnote Text Char2"/>
    <w:aliases w:val="Footnote Text Char2 Char Char2,Char Char Char Char2,Char CarNum-Doc Paragraph Char Char Char2,Footnote Text Char1 Char Char Char2,Footnote Text Char Char Char Char Char2,Fo Char Char Char Char Char2,Fotnot Char Char Char Char Char2"/>
    <w:basedOn w:val="DefaultParagraphFont"/>
    <w:locked/>
    <w:rsid w:val="00351F2C"/>
    <w:rPr>
      <w:rFonts w:cs="Times New Roman"/>
      <w:lang w:val="en-GB"/>
    </w:rPr>
  </w:style>
  <w:style w:type="character" w:customStyle="1" w:styleId="EndnoteTextChar1">
    <w:name w:val="Endnote Text Char1"/>
    <w:basedOn w:val="DefaultParagraphFont"/>
    <w:semiHidden/>
    <w:locked/>
    <w:rsid w:val="00351F2C"/>
    <w:rPr>
      <w:rFonts w:cs="Calibri"/>
      <w:sz w:val="20"/>
      <w:szCs w:val="20"/>
      <w:lang w:val="en-GB"/>
    </w:rPr>
  </w:style>
  <w:style w:type="character" w:customStyle="1" w:styleId="FootnoteTextChar2Char1">
    <w:name w:val="Footnote Text Char2 Char1"/>
    <w:aliases w:val="Char Char Char1,Char CarNum-Doc Paragraph Char Char1,Footnote Text Char1 Char Char1,Footnote Text Char Char Char Char1,Fo Char Char Char Char1,Fotnot Char Char Char Char1,Footnote Text Char Char1 Char1,Char2,Char1 Char"/>
    <w:basedOn w:val="DefaultParagraphFont"/>
    <w:locked/>
    <w:rsid w:val="00351F2C"/>
    <w:rPr>
      <w:rFonts w:cs="Times New Roman"/>
      <w:lang w:val="en-GB"/>
    </w:rPr>
  </w:style>
  <w:style w:type="paragraph" w:styleId="BlockText">
    <w:name w:val="Block Text"/>
    <w:aliases w:val="Block Quote"/>
    <w:uiPriority w:val="40"/>
    <w:rsid w:val="00351F2C"/>
    <w:pPr>
      <w:pBdr>
        <w:top w:val="single" w:sz="2" w:space="10" w:color="95B3D7"/>
        <w:bottom w:val="single" w:sz="24" w:space="10" w:color="95B3D7"/>
      </w:pBdr>
      <w:spacing w:after="280"/>
      <w:ind w:left="1440" w:right="1440"/>
      <w:jc w:val="both"/>
    </w:pPr>
    <w:rPr>
      <w:rFonts w:eastAsia="Times New Roman"/>
      <w:color w:val="7F7F7F"/>
      <w:sz w:val="28"/>
      <w:szCs w:val="28"/>
      <w:lang w:eastAsia="ko-KR" w:bidi="hi-IN"/>
    </w:rPr>
  </w:style>
  <w:style w:type="character" w:styleId="BookTitle">
    <w:name w:val="Book Title"/>
    <w:basedOn w:val="DefaultParagraphFont"/>
    <w:uiPriority w:val="33"/>
    <w:qFormat/>
    <w:rsid w:val="00351F2C"/>
    <w:rPr>
      <w:rFonts w:ascii="Cambria" w:hAnsi="Cambria" w:cs="Times New Roman"/>
      <w:i/>
      <w:color w:val="F79646"/>
      <w:sz w:val="20"/>
      <w:szCs w:val="20"/>
    </w:rPr>
  </w:style>
  <w:style w:type="character" w:styleId="IntenseEmphasis">
    <w:name w:val="Intense Emphasis"/>
    <w:basedOn w:val="DefaultParagraphFont"/>
    <w:uiPriority w:val="21"/>
    <w:qFormat/>
    <w:rsid w:val="00351F2C"/>
    <w:rPr>
      <w:rFonts w:ascii="Calibri" w:hAnsi="Calibri" w:cs="Times New Roman"/>
      <w:b/>
      <w:i/>
      <w:smallCaps/>
      <w:color w:val="C0504D"/>
      <w:spacing w:val="2"/>
      <w:w w:val="100"/>
      <w:sz w:val="20"/>
      <w:szCs w:val="20"/>
    </w:rPr>
  </w:style>
  <w:style w:type="paragraph" w:styleId="IntenseQuote">
    <w:name w:val="Intense Quote"/>
    <w:basedOn w:val="Normal"/>
    <w:link w:val="IntenseQuoteChar"/>
    <w:uiPriority w:val="30"/>
    <w:qFormat/>
    <w:rsid w:val="00351F2C"/>
    <w:pPr>
      <w:pBdr>
        <w:top w:val="single" w:sz="36" w:space="10" w:color="95B3D7"/>
        <w:left w:val="single" w:sz="24" w:space="10" w:color="4F81BD"/>
        <w:bottom w:val="single" w:sz="36" w:space="10" w:color="9BBB59"/>
        <w:right w:val="single" w:sz="24" w:space="10" w:color="4F81BD"/>
      </w:pBdr>
      <w:shd w:val="clear" w:color="auto" w:fill="4F81BD"/>
      <w:spacing w:after="160"/>
      <w:ind w:left="1440" w:right="1440"/>
      <w:jc w:val="center"/>
    </w:pPr>
    <w:rPr>
      <w:rFonts w:ascii="Cambria" w:hAnsi="Cambria"/>
      <w:i/>
      <w:color w:val="FFFFFF"/>
      <w:sz w:val="32"/>
      <w:szCs w:val="20"/>
      <w:lang w:val="en-US"/>
    </w:rPr>
  </w:style>
  <w:style w:type="character" w:customStyle="1" w:styleId="IntenseQuoteChar">
    <w:name w:val="Intense Quote Char"/>
    <w:basedOn w:val="DefaultParagraphFont"/>
    <w:link w:val="IntenseQuote"/>
    <w:uiPriority w:val="30"/>
    <w:rsid w:val="00351F2C"/>
    <w:rPr>
      <w:rFonts w:ascii="Cambria" w:eastAsia="Calibri" w:hAnsi="Cambria"/>
      <w:i/>
      <w:color w:val="FFFFFF"/>
      <w:sz w:val="32"/>
      <w:shd w:val="clear" w:color="auto" w:fill="4F81BD"/>
    </w:rPr>
  </w:style>
  <w:style w:type="character" w:styleId="IntenseReference">
    <w:name w:val="Intense Reference"/>
    <w:basedOn w:val="DefaultParagraphFont"/>
    <w:uiPriority w:val="32"/>
    <w:qFormat/>
    <w:rsid w:val="00351F2C"/>
    <w:rPr>
      <w:rFonts w:cs="Times New Roman"/>
      <w:b/>
      <w:color w:val="4F81BD"/>
      <w:sz w:val="22"/>
      <w:szCs w:val="20"/>
      <w:u w:val="single"/>
    </w:rPr>
  </w:style>
  <w:style w:type="paragraph" w:styleId="ListBullet">
    <w:name w:val="List Bullet"/>
    <w:basedOn w:val="Normal"/>
    <w:uiPriority w:val="36"/>
    <w:unhideWhenUsed/>
    <w:qFormat/>
    <w:rsid w:val="00351F2C"/>
    <w:pPr>
      <w:numPr>
        <w:numId w:val="98"/>
      </w:numPr>
      <w:spacing w:after="0"/>
      <w:contextualSpacing/>
    </w:pPr>
    <w:rPr>
      <w:color w:val="000000"/>
      <w:szCs w:val="20"/>
      <w:lang w:val="en-US"/>
    </w:rPr>
  </w:style>
  <w:style w:type="paragraph" w:styleId="ListBullet2">
    <w:name w:val="List Bullet 2"/>
    <w:basedOn w:val="Normal"/>
    <w:uiPriority w:val="36"/>
    <w:unhideWhenUsed/>
    <w:qFormat/>
    <w:rsid w:val="00351F2C"/>
    <w:pPr>
      <w:numPr>
        <w:numId w:val="99"/>
      </w:numPr>
      <w:spacing w:after="0"/>
    </w:pPr>
    <w:rPr>
      <w:color w:val="000000"/>
      <w:szCs w:val="20"/>
      <w:lang w:val="en-US"/>
    </w:rPr>
  </w:style>
  <w:style w:type="paragraph" w:styleId="ListBullet3">
    <w:name w:val="List Bullet 3"/>
    <w:basedOn w:val="Normal"/>
    <w:uiPriority w:val="36"/>
    <w:unhideWhenUsed/>
    <w:qFormat/>
    <w:rsid w:val="00351F2C"/>
    <w:pPr>
      <w:numPr>
        <w:numId w:val="100"/>
      </w:numPr>
      <w:spacing w:after="0"/>
    </w:pPr>
    <w:rPr>
      <w:color w:val="000000"/>
      <w:szCs w:val="20"/>
      <w:lang w:val="en-US"/>
    </w:rPr>
  </w:style>
  <w:style w:type="paragraph" w:styleId="ListBullet4">
    <w:name w:val="List Bullet 4"/>
    <w:basedOn w:val="Normal"/>
    <w:uiPriority w:val="36"/>
    <w:unhideWhenUsed/>
    <w:qFormat/>
    <w:rsid w:val="00351F2C"/>
    <w:pPr>
      <w:numPr>
        <w:numId w:val="101"/>
      </w:numPr>
      <w:spacing w:after="0"/>
    </w:pPr>
    <w:rPr>
      <w:color w:val="000000"/>
      <w:szCs w:val="20"/>
      <w:lang w:val="en-US"/>
    </w:rPr>
  </w:style>
  <w:style w:type="paragraph" w:styleId="ListBullet5">
    <w:name w:val="List Bullet 5"/>
    <w:basedOn w:val="Normal"/>
    <w:uiPriority w:val="36"/>
    <w:unhideWhenUsed/>
    <w:qFormat/>
    <w:rsid w:val="00351F2C"/>
    <w:pPr>
      <w:numPr>
        <w:numId w:val="102"/>
      </w:numPr>
      <w:spacing w:after="0"/>
    </w:pPr>
    <w:rPr>
      <w:color w:val="000000"/>
      <w:szCs w:val="20"/>
      <w:lang w:val="en-US"/>
    </w:rPr>
  </w:style>
  <w:style w:type="character" w:styleId="PlaceholderText">
    <w:name w:val="Placeholder Text"/>
    <w:basedOn w:val="DefaultParagraphFont"/>
    <w:uiPriority w:val="99"/>
    <w:semiHidden/>
    <w:rsid w:val="00351F2C"/>
    <w:rPr>
      <w:color w:val="808080"/>
    </w:rPr>
  </w:style>
  <w:style w:type="character" w:styleId="SubtleEmphasis">
    <w:name w:val="Subtle Emphasis"/>
    <w:basedOn w:val="DefaultParagraphFont"/>
    <w:uiPriority w:val="19"/>
    <w:qFormat/>
    <w:rsid w:val="00351F2C"/>
    <w:rPr>
      <w:rFonts w:ascii="Calibri" w:hAnsi="Calibri" w:cs="Times New Roman"/>
      <w:i/>
      <w:color w:val="737373"/>
      <w:spacing w:val="2"/>
      <w:w w:val="100"/>
      <w:kern w:val="0"/>
      <w:sz w:val="22"/>
      <w:szCs w:val="24"/>
    </w:rPr>
  </w:style>
  <w:style w:type="character" w:styleId="SubtleReference">
    <w:name w:val="Subtle Reference"/>
    <w:basedOn w:val="DefaultParagraphFont"/>
    <w:uiPriority w:val="31"/>
    <w:qFormat/>
    <w:rsid w:val="00351F2C"/>
    <w:rPr>
      <w:rFonts w:cs="Times New Roman"/>
      <w:color w:val="737373"/>
      <w:sz w:val="22"/>
      <w:szCs w:val="20"/>
      <w:u w:val="single"/>
    </w:rPr>
  </w:style>
  <w:style w:type="paragraph" w:styleId="TOC4">
    <w:name w:val="toc 4"/>
    <w:basedOn w:val="Normal"/>
    <w:next w:val="Normal"/>
    <w:autoRedefine/>
    <w:uiPriority w:val="39"/>
    <w:unhideWhenUsed/>
    <w:qFormat/>
    <w:rsid w:val="00351F2C"/>
    <w:pPr>
      <w:spacing w:after="0"/>
      <w:ind w:left="660"/>
    </w:pPr>
    <w:rPr>
      <w:sz w:val="18"/>
      <w:szCs w:val="21"/>
    </w:rPr>
  </w:style>
  <w:style w:type="paragraph" w:styleId="TOC5">
    <w:name w:val="toc 5"/>
    <w:basedOn w:val="Normal"/>
    <w:next w:val="Normal"/>
    <w:autoRedefine/>
    <w:uiPriority w:val="39"/>
    <w:unhideWhenUsed/>
    <w:qFormat/>
    <w:rsid w:val="00351F2C"/>
    <w:pPr>
      <w:spacing w:after="0"/>
      <w:ind w:left="880"/>
    </w:pPr>
    <w:rPr>
      <w:sz w:val="18"/>
      <w:szCs w:val="21"/>
    </w:rPr>
  </w:style>
  <w:style w:type="paragraph" w:styleId="TOC6">
    <w:name w:val="toc 6"/>
    <w:basedOn w:val="Normal"/>
    <w:next w:val="Normal"/>
    <w:autoRedefine/>
    <w:uiPriority w:val="39"/>
    <w:unhideWhenUsed/>
    <w:qFormat/>
    <w:rsid w:val="00351F2C"/>
    <w:pPr>
      <w:spacing w:after="0"/>
      <w:ind w:left="1100"/>
    </w:pPr>
    <w:rPr>
      <w:sz w:val="18"/>
      <w:szCs w:val="21"/>
    </w:rPr>
  </w:style>
  <w:style w:type="paragraph" w:styleId="TOC7">
    <w:name w:val="toc 7"/>
    <w:basedOn w:val="Normal"/>
    <w:next w:val="Normal"/>
    <w:autoRedefine/>
    <w:uiPriority w:val="39"/>
    <w:unhideWhenUsed/>
    <w:qFormat/>
    <w:rsid w:val="00351F2C"/>
    <w:pPr>
      <w:spacing w:after="0"/>
      <w:ind w:left="1320"/>
    </w:pPr>
    <w:rPr>
      <w:sz w:val="18"/>
      <w:szCs w:val="21"/>
    </w:rPr>
  </w:style>
  <w:style w:type="paragraph" w:styleId="TOC8">
    <w:name w:val="toc 8"/>
    <w:basedOn w:val="Normal"/>
    <w:next w:val="Normal"/>
    <w:autoRedefine/>
    <w:uiPriority w:val="39"/>
    <w:unhideWhenUsed/>
    <w:qFormat/>
    <w:rsid w:val="00351F2C"/>
    <w:pPr>
      <w:spacing w:after="0"/>
      <w:ind w:left="1540"/>
    </w:pPr>
    <w:rPr>
      <w:sz w:val="18"/>
      <w:szCs w:val="21"/>
    </w:rPr>
  </w:style>
  <w:style w:type="paragraph" w:styleId="TOC9">
    <w:name w:val="toc 9"/>
    <w:basedOn w:val="Normal"/>
    <w:next w:val="Normal"/>
    <w:autoRedefine/>
    <w:uiPriority w:val="39"/>
    <w:unhideWhenUsed/>
    <w:qFormat/>
    <w:rsid w:val="00351F2C"/>
    <w:pPr>
      <w:spacing w:after="0"/>
      <w:ind w:left="1760"/>
    </w:pPr>
    <w:rPr>
      <w:sz w:val="18"/>
      <w:szCs w:val="21"/>
    </w:rPr>
  </w:style>
</w:styles>
</file>

<file path=word/webSettings.xml><?xml version="1.0" encoding="utf-8"?>
<w:webSettings xmlns:r="http://schemas.openxmlformats.org/officeDocument/2006/relationships" xmlns:w="http://schemas.openxmlformats.org/wordprocessingml/2006/main">
  <w:divs>
    <w:div w:id="89399144">
      <w:bodyDiv w:val="1"/>
      <w:marLeft w:val="0"/>
      <w:marRight w:val="0"/>
      <w:marTop w:val="0"/>
      <w:marBottom w:val="0"/>
      <w:divBdr>
        <w:top w:val="none" w:sz="0" w:space="0" w:color="auto"/>
        <w:left w:val="none" w:sz="0" w:space="0" w:color="auto"/>
        <w:bottom w:val="none" w:sz="0" w:space="0" w:color="auto"/>
        <w:right w:val="none" w:sz="0" w:space="0" w:color="auto"/>
      </w:divBdr>
    </w:div>
    <w:div w:id="855535511">
      <w:bodyDiv w:val="1"/>
      <w:marLeft w:val="0"/>
      <w:marRight w:val="0"/>
      <w:marTop w:val="0"/>
      <w:marBottom w:val="0"/>
      <w:divBdr>
        <w:top w:val="none" w:sz="0" w:space="0" w:color="auto"/>
        <w:left w:val="none" w:sz="0" w:space="0" w:color="auto"/>
        <w:bottom w:val="none" w:sz="0" w:space="0" w:color="auto"/>
        <w:right w:val="none" w:sz="0" w:space="0" w:color="auto"/>
      </w:divBdr>
    </w:div>
    <w:div w:id="1026060943">
      <w:bodyDiv w:val="1"/>
      <w:marLeft w:val="0"/>
      <w:marRight w:val="0"/>
      <w:marTop w:val="0"/>
      <w:marBottom w:val="0"/>
      <w:divBdr>
        <w:top w:val="none" w:sz="0" w:space="0" w:color="auto"/>
        <w:left w:val="none" w:sz="0" w:space="0" w:color="auto"/>
        <w:bottom w:val="none" w:sz="0" w:space="0" w:color="auto"/>
        <w:right w:val="none" w:sz="0" w:space="0" w:color="auto"/>
      </w:divBdr>
      <w:divsChild>
        <w:div w:id="1838231166">
          <w:marLeft w:val="0"/>
          <w:marRight w:val="0"/>
          <w:marTop w:val="0"/>
          <w:marBottom w:val="0"/>
          <w:divBdr>
            <w:top w:val="none" w:sz="0" w:space="0" w:color="auto"/>
            <w:left w:val="none" w:sz="0" w:space="0" w:color="auto"/>
            <w:bottom w:val="none" w:sz="0" w:space="0" w:color="auto"/>
            <w:right w:val="none" w:sz="0" w:space="0" w:color="auto"/>
          </w:divBdr>
          <w:divsChild>
            <w:div w:id="1630042914">
              <w:marLeft w:val="0"/>
              <w:marRight w:val="0"/>
              <w:marTop w:val="0"/>
              <w:marBottom w:val="0"/>
              <w:divBdr>
                <w:top w:val="none" w:sz="0" w:space="0" w:color="auto"/>
                <w:left w:val="none" w:sz="0" w:space="0" w:color="auto"/>
                <w:bottom w:val="none" w:sz="0" w:space="0" w:color="auto"/>
                <w:right w:val="none" w:sz="0" w:space="0" w:color="auto"/>
              </w:divBdr>
            </w:div>
            <w:div w:id="1889759293">
              <w:marLeft w:val="0"/>
              <w:marRight w:val="0"/>
              <w:marTop w:val="0"/>
              <w:marBottom w:val="0"/>
              <w:divBdr>
                <w:top w:val="none" w:sz="0" w:space="0" w:color="auto"/>
                <w:left w:val="none" w:sz="0" w:space="0" w:color="auto"/>
                <w:bottom w:val="none" w:sz="0" w:space="0" w:color="auto"/>
                <w:right w:val="none" w:sz="0" w:space="0" w:color="auto"/>
              </w:divBdr>
            </w:div>
            <w:div w:id="2055158720">
              <w:marLeft w:val="0"/>
              <w:marRight w:val="0"/>
              <w:marTop w:val="0"/>
              <w:marBottom w:val="0"/>
              <w:divBdr>
                <w:top w:val="none" w:sz="0" w:space="0" w:color="auto"/>
                <w:left w:val="none" w:sz="0" w:space="0" w:color="auto"/>
                <w:bottom w:val="none" w:sz="0" w:space="0" w:color="auto"/>
                <w:right w:val="none" w:sz="0" w:space="0" w:color="auto"/>
              </w:divBdr>
            </w:div>
            <w:div w:id="20703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8224">
      <w:bodyDiv w:val="1"/>
      <w:marLeft w:val="0"/>
      <w:marRight w:val="0"/>
      <w:marTop w:val="0"/>
      <w:marBottom w:val="0"/>
      <w:divBdr>
        <w:top w:val="none" w:sz="0" w:space="0" w:color="auto"/>
        <w:left w:val="none" w:sz="0" w:space="0" w:color="auto"/>
        <w:bottom w:val="none" w:sz="0" w:space="0" w:color="auto"/>
        <w:right w:val="none" w:sz="0" w:space="0" w:color="auto"/>
      </w:divBdr>
    </w:div>
    <w:div w:id="1246693324">
      <w:bodyDiv w:val="1"/>
      <w:marLeft w:val="0"/>
      <w:marRight w:val="0"/>
      <w:marTop w:val="0"/>
      <w:marBottom w:val="0"/>
      <w:divBdr>
        <w:top w:val="none" w:sz="0" w:space="0" w:color="auto"/>
        <w:left w:val="none" w:sz="0" w:space="0" w:color="auto"/>
        <w:bottom w:val="none" w:sz="0" w:space="0" w:color="auto"/>
        <w:right w:val="none" w:sz="0" w:space="0" w:color="auto"/>
      </w:divBdr>
    </w:div>
    <w:div w:id="1271863704">
      <w:bodyDiv w:val="1"/>
      <w:marLeft w:val="0"/>
      <w:marRight w:val="0"/>
      <w:marTop w:val="0"/>
      <w:marBottom w:val="0"/>
      <w:divBdr>
        <w:top w:val="none" w:sz="0" w:space="0" w:color="auto"/>
        <w:left w:val="none" w:sz="0" w:space="0" w:color="auto"/>
        <w:bottom w:val="none" w:sz="0" w:space="0" w:color="auto"/>
        <w:right w:val="none" w:sz="0" w:space="0" w:color="auto"/>
      </w:divBdr>
    </w:div>
    <w:div w:id="1419055164">
      <w:bodyDiv w:val="1"/>
      <w:marLeft w:val="0"/>
      <w:marRight w:val="0"/>
      <w:marTop w:val="0"/>
      <w:marBottom w:val="0"/>
      <w:divBdr>
        <w:top w:val="none" w:sz="0" w:space="0" w:color="auto"/>
        <w:left w:val="none" w:sz="0" w:space="0" w:color="auto"/>
        <w:bottom w:val="none" w:sz="0" w:space="0" w:color="auto"/>
        <w:right w:val="none" w:sz="0" w:space="0" w:color="auto"/>
      </w:divBdr>
    </w:div>
    <w:div w:id="1585457631">
      <w:bodyDiv w:val="1"/>
      <w:marLeft w:val="0"/>
      <w:marRight w:val="0"/>
      <w:marTop w:val="0"/>
      <w:marBottom w:val="0"/>
      <w:divBdr>
        <w:top w:val="none" w:sz="0" w:space="0" w:color="auto"/>
        <w:left w:val="none" w:sz="0" w:space="0" w:color="auto"/>
        <w:bottom w:val="none" w:sz="0" w:space="0" w:color="auto"/>
        <w:right w:val="none" w:sz="0" w:space="0" w:color="auto"/>
      </w:divBdr>
    </w:div>
    <w:div w:id="1631669468">
      <w:bodyDiv w:val="1"/>
      <w:marLeft w:val="0"/>
      <w:marRight w:val="0"/>
      <w:marTop w:val="0"/>
      <w:marBottom w:val="0"/>
      <w:divBdr>
        <w:top w:val="none" w:sz="0" w:space="0" w:color="auto"/>
        <w:left w:val="none" w:sz="0" w:space="0" w:color="auto"/>
        <w:bottom w:val="none" w:sz="0" w:space="0" w:color="auto"/>
        <w:right w:val="none" w:sz="0" w:space="0" w:color="auto"/>
      </w:divBdr>
    </w:div>
    <w:div w:id="1634214682">
      <w:bodyDiv w:val="1"/>
      <w:marLeft w:val="0"/>
      <w:marRight w:val="0"/>
      <w:marTop w:val="0"/>
      <w:marBottom w:val="0"/>
      <w:divBdr>
        <w:top w:val="none" w:sz="0" w:space="0" w:color="auto"/>
        <w:left w:val="none" w:sz="0" w:space="0" w:color="auto"/>
        <w:bottom w:val="none" w:sz="0" w:space="0" w:color="auto"/>
        <w:right w:val="none" w:sz="0" w:space="0" w:color="auto"/>
      </w:divBdr>
    </w:div>
    <w:div w:id="1773865452">
      <w:bodyDiv w:val="1"/>
      <w:marLeft w:val="0"/>
      <w:marRight w:val="0"/>
      <w:marTop w:val="0"/>
      <w:marBottom w:val="0"/>
      <w:divBdr>
        <w:top w:val="none" w:sz="0" w:space="0" w:color="auto"/>
        <w:left w:val="none" w:sz="0" w:space="0" w:color="auto"/>
        <w:bottom w:val="none" w:sz="0" w:space="0" w:color="auto"/>
        <w:right w:val="none" w:sz="0" w:space="0" w:color="auto"/>
      </w:divBdr>
      <w:divsChild>
        <w:div w:id="25104835">
          <w:marLeft w:val="547"/>
          <w:marRight w:val="0"/>
          <w:marTop w:val="0"/>
          <w:marBottom w:val="0"/>
          <w:divBdr>
            <w:top w:val="none" w:sz="0" w:space="0" w:color="auto"/>
            <w:left w:val="none" w:sz="0" w:space="0" w:color="auto"/>
            <w:bottom w:val="none" w:sz="0" w:space="0" w:color="auto"/>
            <w:right w:val="none" w:sz="0" w:space="0" w:color="auto"/>
          </w:divBdr>
        </w:div>
        <w:div w:id="250090477">
          <w:marLeft w:val="547"/>
          <w:marRight w:val="0"/>
          <w:marTop w:val="0"/>
          <w:marBottom w:val="0"/>
          <w:divBdr>
            <w:top w:val="none" w:sz="0" w:space="0" w:color="auto"/>
            <w:left w:val="none" w:sz="0" w:space="0" w:color="auto"/>
            <w:bottom w:val="none" w:sz="0" w:space="0" w:color="auto"/>
            <w:right w:val="none" w:sz="0" w:space="0" w:color="auto"/>
          </w:divBdr>
        </w:div>
        <w:div w:id="405222759">
          <w:marLeft w:val="547"/>
          <w:marRight w:val="0"/>
          <w:marTop w:val="0"/>
          <w:marBottom w:val="0"/>
          <w:divBdr>
            <w:top w:val="none" w:sz="0" w:space="0" w:color="auto"/>
            <w:left w:val="none" w:sz="0" w:space="0" w:color="auto"/>
            <w:bottom w:val="none" w:sz="0" w:space="0" w:color="auto"/>
            <w:right w:val="none" w:sz="0" w:space="0" w:color="auto"/>
          </w:divBdr>
        </w:div>
        <w:div w:id="715161181">
          <w:marLeft w:val="547"/>
          <w:marRight w:val="0"/>
          <w:marTop w:val="0"/>
          <w:marBottom w:val="0"/>
          <w:divBdr>
            <w:top w:val="none" w:sz="0" w:space="0" w:color="auto"/>
            <w:left w:val="none" w:sz="0" w:space="0" w:color="auto"/>
            <w:bottom w:val="none" w:sz="0" w:space="0" w:color="auto"/>
            <w:right w:val="none" w:sz="0" w:space="0" w:color="auto"/>
          </w:divBdr>
        </w:div>
        <w:div w:id="990669274">
          <w:marLeft w:val="547"/>
          <w:marRight w:val="0"/>
          <w:marTop w:val="0"/>
          <w:marBottom w:val="0"/>
          <w:divBdr>
            <w:top w:val="none" w:sz="0" w:space="0" w:color="auto"/>
            <w:left w:val="none" w:sz="0" w:space="0" w:color="auto"/>
            <w:bottom w:val="none" w:sz="0" w:space="0" w:color="auto"/>
            <w:right w:val="none" w:sz="0" w:space="0" w:color="auto"/>
          </w:divBdr>
        </w:div>
        <w:div w:id="1447458845">
          <w:marLeft w:val="547"/>
          <w:marRight w:val="0"/>
          <w:marTop w:val="0"/>
          <w:marBottom w:val="0"/>
          <w:divBdr>
            <w:top w:val="none" w:sz="0" w:space="0" w:color="auto"/>
            <w:left w:val="none" w:sz="0" w:space="0" w:color="auto"/>
            <w:bottom w:val="none" w:sz="0" w:space="0" w:color="auto"/>
            <w:right w:val="none" w:sz="0" w:space="0" w:color="auto"/>
          </w:divBdr>
        </w:div>
        <w:div w:id="1897544840">
          <w:marLeft w:val="547"/>
          <w:marRight w:val="0"/>
          <w:marTop w:val="0"/>
          <w:marBottom w:val="0"/>
          <w:divBdr>
            <w:top w:val="none" w:sz="0" w:space="0" w:color="auto"/>
            <w:left w:val="none" w:sz="0" w:space="0" w:color="auto"/>
            <w:bottom w:val="none" w:sz="0" w:space="0" w:color="auto"/>
            <w:right w:val="none" w:sz="0" w:space="0" w:color="auto"/>
          </w:divBdr>
        </w:div>
        <w:div w:id="2035498145">
          <w:marLeft w:val="547"/>
          <w:marRight w:val="0"/>
          <w:marTop w:val="0"/>
          <w:marBottom w:val="0"/>
          <w:divBdr>
            <w:top w:val="none" w:sz="0" w:space="0" w:color="auto"/>
            <w:left w:val="none" w:sz="0" w:space="0" w:color="auto"/>
            <w:bottom w:val="none" w:sz="0" w:space="0" w:color="auto"/>
            <w:right w:val="none" w:sz="0" w:space="0" w:color="auto"/>
          </w:divBdr>
        </w:div>
      </w:divsChild>
    </w:div>
    <w:div w:id="194572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climateupdate.wordpress.com/2009/05/" TargetMode="External"/><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12.wmf"/><Relationship Id="rId33" Type="http://schemas.openxmlformats.org/officeDocument/2006/relationships/image" Target="media/image19.e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header" Target="header5.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yperlink" Target="http://www.un-redd.org/UNREDDProgramme/CountryActions/tabid/584/language/en-US/Default.aspx"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7.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header" Target="header4.xml"/><Relationship Id="rId35" Type="http://schemas.openxmlformats.org/officeDocument/2006/relationships/hyperlink" Target="http://unfccc.int/files/meetings/cop_13/application/pdf/cp_bali_action.pdf" TargetMode="External"/><Relationship Id="rId43" Type="http://schemas.openxmlformats.org/officeDocument/2006/relationships/fontTable" Target="fontTable.xml"/></Relationships>
</file>

<file path=word/_rels/footer6.xml.rels><?xml version="1.0" encoding="UTF-8" standalone="yes"?>
<Relationships xmlns="http://schemas.openxmlformats.org/package/2006/relationships"><Relationship Id="rId1"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www.ipcc-nggip.iges.or.jp/public/gpglulucf/gpglulucf.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B84B-99BC-4A60-8C85-5A50953E4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191</Pages>
  <Words>73954</Words>
  <Characters>421540</Characters>
  <Application>Microsoft Office Word</Application>
  <DocSecurity>0</DocSecurity>
  <Lines>3512</Lines>
  <Paragraphs>989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494505</CharactersWithSpaces>
  <SharedDoc>false</SharedDoc>
  <HLinks>
    <vt:vector size="318" baseType="variant">
      <vt:variant>
        <vt:i4>3604533</vt:i4>
      </vt:variant>
      <vt:variant>
        <vt:i4>436</vt:i4>
      </vt:variant>
      <vt:variant>
        <vt:i4>0</vt:i4>
      </vt:variant>
      <vt:variant>
        <vt:i4>5</vt:i4>
      </vt:variant>
      <vt:variant>
        <vt:lpwstr>http://www.un-redd.org/UNREDDProgramme/CountryActions/tabid/584/language/en-US/Default.aspx</vt:lpwstr>
      </vt:variant>
      <vt:variant>
        <vt:lpwstr/>
      </vt:variant>
      <vt:variant>
        <vt:i4>4522021</vt:i4>
      </vt:variant>
      <vt:variant>
        <vt:i4>433</vt:i4>
      </vt:variant>
      <vt:variant>
        <vt:i4>0</vt:i4>
      </vt:variant>
      <vt:variant>
        <vt:i4>5</vt:i4>
      </vt:variant>
      <vt:variant>
        <vt:lpwstr>http://unfccc.int/files/meetings/cop_13/application/pdf/cp_bali_action.pdf</vt:lpwstr>
      </vt:variant>
      <vt:variant>
        <vt:lpwstr/>
      </vt:variant>
      <vt:variant>
        <vt:i4>2359402</vt:i4>
      </vt:variant>
      <vt:variant>
        <vt:i4>430</vt:i4>
      </vt:variant>
      <vt:variant>
        <vt:i4>0</vt:i4>
      </vt:variant>
      <vt:variant>
        <vt:i4>5</vt:i4>
      </vt:variant>
      <vt:variant>
        <vt:lpwstr>http://climateupdate.wordpress.com/2009/05/</vt:lpwstr>
      </vt:variant>
      <vt:variant>
        <vt:lpwstr/>
      </vt:variant>
      <vt:variant>
        <vt:i4>1245234</vt:i4>
      </vt:variant>
      <vt:variant>
        <vt:i4>290</vt:i4>
      </vt:variant>
      <vt:variant>
        <vt:i4>0</vt:i4>
      </vt:variant>
      <vt:variant>
        <vt:i4>5</vt:i4>
      </vt:variant>
      <vt:variant>
        <vt:lpwstr/>
      </vt:variant>
      <vt:variant>
        <vt:lpwstr>_Toc252354768</vt:lpwstr>
      </vt:variant>
      <vt:variant>
        <vt:i4>1245234</vt:i4>
      </vt:variant>
      <vt:variant>
        <vt:i4>284</vt:i4>
      </vt:variant>
      <vt:variant>
        <vt:i4>0</vt:i4>
      </vt:variant>
      <vt:variant>
        <vt:i4>5</vt:i4>
      </vt:variant>
      <vt:variant>
        <vt:lpwstr/>
      </vt:variant>
      <vt:variant>
        <vt:lpwstr>_Toc252354767</vt:lpwstr>
      </vt:variant>
      <vt:variant>
        <vt:i4>1245234</vt:i4>
      </vt:variant>
      <vt:variant>
        <vt:i4>278</vt:i4>
      </vt:variant>
      <vt:variant>
        <vt:i4>0</vt:i4>
      </vt:variant>
      <vt:variant>
        <vt:i4>5</vt:i4>
      </vt:variant>
      <vt:variant>
        <vt:lpwstr/>
      </vt:variant>
      <vt:variant>
        <vt:lpwstr>_Toc252354766</vt:lpwstr>
      </vt:variant>
      <vt:variant>
        <vt:i4>1245234</vt:i4>
      </vt:variant>
      <vt:variant>
        <vt:i4>272</vt:i4>
      </vt:variant>
      <vt:variant>
        <vt:i4>0</vt:i4>
      </vt:variant>
      <vt:variant>
        <vt:i4>5</vt:i4>
      </vt:variant>
      <vt:variant>
        <vt:lpwstr/>
      </vt:variant>
      <vt:variant>
        <vt:lpwstr>_Toc252354765</vt:lpwstr>
      </vt:variant>
      <vt:variant>
        <vt:i4>1245234</vt:i4>
      </vt:variant>
      <vt:variant>
        <vt:i4>266</vt:i4>
      </vt:variant>
      <vt:variant>
        <vt:i4>0</vt:i4>
      </vt:variant>
      <vt:variant>
        <vt:i4>5</vt:i4>
      </vt:variant>
      <vt:variant>
        <vt:lpwstr/>
      </vt:variant>
      <vt:variant>
        <vt:lpwstr>_Toc252354764</vt:lpwstr>
      </vt:variant>
      <vt:variant>
        <vt:i4>1245234</vt:i4>
      </vt:variant>
      <vt:variant>
        <vt:i4>260</vt:i4>
      </vt:variant>
      <vt:variant>
        <vt:i4>0</vt:i4>
      </vt:variant>
      <vt:variant>
        <vt:i4>5</vt:i4>
      </vt:variant>
      <vt:variant>
        <vt:lpwstr/>
      </vt:variant>
      <vt:variant>
        <vt:lpwstr>_Toc252354763</vt:lpwstr>
      </vt:variant>
      <vt:variant>
        <vt:i4>1245234</vt:i4>
      </vt:variant>
      <vt:variant>
        <vt:i4>254</vt:i4>
      </vt:variant>
      <vt:variant>
        <vt:i4>0</vt:i4>
      </vt:variant>
      <vt:variant>
        <vt:i4>5</vt:i4>
      </vt:variant>
      <vt:variant>
        <vt:lpwstr/>
      </vt:variant>
      <vt:variant>
        <vt:lpwstr>_Toc252354762</vt:lpwstr>
      </vt:variant>
      <vt:variant>
        <vt:i4>1245234</vt:i4>
      </vt:variant>
      <vt:variant>
        <vt:i4>248</vt:i4>
      </vt:variant>
      <vt:variant>
        <vt:i4>0</vt:i4>
      </vt:variant>
      <vt:variant>
        <vt:i4>5</vt:i4>
      </vt:variant>
      <vt:variant>
        <vt:lpwstr/>
      </vt:variant>
      <vt:variant>
        <vt:lpwstr>_Toc252354761</vt:lpwstr>
      </vt:variant>
      <vt:variant>
        <vt:i4>1245234</vt:i4>
      </vt:variant>
      <vt:variant>
        <vt:i4>242</vt:i4>
      </vt:variant>
      <vt:variant>
        <vt:i4>0</vt:i4>
      </vt:variant>
      <vt:variant>
        <vt:i4>5</vt:i4>
      </vt:variant>
      <vt:variant>
        <vt:lpwstr/>
      </vt:variant>
      <vt:variant>
        <vt:lpwstr>_Toc252354760</vt:lpwstr>
      </vt:variant>
      <vt:variant>
        <vt:i4>1048626</vt:i4>
      </vt:variant>
      <vt:variant>
        <vt:i4>236</vt:i4>
      </vt:variant>
      <vt:variant>
        <vt:i4>0</vt:i4>
      </vt:variant>
      <vt:variant>
        <vt:i4>5</vt:i4>
      </vt:variant>
      <vt:variant>
        <vt:lpwstr/>
      </vt:variant>
      <vt:variant>
        <vt:lpwstr>_Toc252354759</vt:lpwstr>
      </vt:variant>
      <vt:variant>
        <vt:i4>1048626</vt:i4>
      </vt:variant>
      <vt:variant>
        <vt:i4>230</vt:i4>
      </vt:variant>
      <vt:variant>
        <vt:i4>0</vt:i4>
      </vt:variant>
      <vt:variant>
        <vt:i4>5</vt:i4>
      </vt:variant>
      <vt:variant>
        <vt:lpwstr/>
      </vt:variant>
      <vt:variant>
        <vt:lpwstr>_Toc252354758</vt:lpwstr>
      </vt:variant>
      <vt:variant>
        <vt:i4>1048626</vt:i4>
      </vt:variant>
      <vt:variant>
        <vt:i4>224</vt:i4>
      </vt:variant>
      <vt:variant>
        <vt:i4>0</vt:i4>
      </vt:variant>
      <vt:variant>
        <vt:i4>5</vt:i4>
      </vt:variant>
      <vt:variant>
        <vt:lpwstr/>
      </vt:variant>
      <vt:variant>
        <vt:lpwstr>_Toc252354757</vt:lpwstr>
      </vt:variant>
      <vt:variant>
        <vt:i4>1048626</vt:i4>
      </vt:variant>
      <vt:variant>
        <vt:i4>218</vt:i4>
      </vt:variant>
      <vt:variant>
        <vt:i4>0</vt:i4>
      </vt:variant>
      <vt:variant>
        <vt:i4>5</vt:i4>
      </vt:variant>
      <vt:variant>
        <vt:lpwstr/>
      </vt:variant>
      <vt:variant>
        <vt:lpwstr>_Toc252354756</vt:lpwstr>
      </vt:variant>
      <vt:variant>
        <vt:i4>1048626</vt:i4>
      </vt:variant>
      <vt:variant>
        <vt:i4>212</vt:i4>
      </vt:variant>
      <vt:variant>
        <vt:i4>0</vt:i4>
      </vt:variant>
      <vt:variant>
        <vt:i4>5</vt:i4>
      </vt:variant>
      <vt:variant>
        <vt:lpwstr/>
      </vt:variant>
      <vt:variant>
        <vt:lpwstr>_Toc252354755</vt:lpwstr>
      </vt:variant>
      <vt:variant>
        <vt:i4>1048626</vt:i4>
      </vt:variant>
      <vt:variant>
        <vt:i4>206</vt:i4>
      </vt:variant>
      <vt:variant>
        <vt:i4>0</vt:i4>
      </vt:variant>
      <vt:variant>
        <vt:i4>5</vt:i4>
      </vt:variant>
      <vt:variant>
        <vt:lpwstr/>
      </vt:variant>
      <vt:variant>
        <vt:lpwstr>_Toc252354754</vt:lpwstr>
      </vt:variant>
      <vt:variant>
        <vt:i4>1048626</vt:i4>
      </vt:variant>
      <vt:variant>
        <vt:i4>200</vt:i4>
      </vt:variant>
      <vt:variant>
        <vt:i4>0</vt:i4>
      </vt:variant>
      <vt:variant>
        <vt:i4>5</vt:i4>
      </vt:variant>
      <vt:variant>
        <vt:lpwstr/>
      </vt:variant>
      <vt:variant>
        <vt:lpwstr>_Toc252354753</vt:lpwstr>
      </vt:variant>
      <vt:variant>
        <vt:i4>1048626</vt:i4>
      </vt:variant>
      <vt:variant>
        <vt:i4>194</vt:i4>
      </vt:variant>
      <vt:variant>
        <vt:i4>0</vt:i4>
      </vt:variant>
      <vt:variant>
        <vt:i4>5</vt:i4>
      </vt:variant>
      <vt:variant>
        <vt:lpwstr/>
      </vt:variant>
      <vt:variant>
        <vt:lpwstr>_Toc252354752</vt:lpwstr>
      </vt:variant>
      <vt:variant>
        <vt:i4>1048626</vt:i4>
      </vt:variant>
      <vt:variant>
        <vt:i4>188</vt:i4>
      </vt:variant>
      <vt:variant>
        <vt:i4>0</vt:i4>
      </vt:variant>
      <vt:variant>
        <vt:i4>5</vt:i4>
      </vt:variant>
      <vt:variant>
        <vt:lpwstr/>
      </vt:variant>
      <vt:variant>
        <vt:lpwstr>_Toc252354751</vt:lpwstr>
      </vt:variant>
      <vt:variant>
        <vt:i4>1048626</vt:i4>
      </vt:variant>
      <vt:variant>
        <vt:i4>182</vt:i4>
      </vt:variant>
      <vt:variant>
        <vt:i4>0</vt:i4>
      </vt:variant>
      <vt:variant>
        <vt:i4>5</vt:i4>
      </vt:variant>
      <vt:variant>
        <vt:lpwstr/>
      </vt:variant>
      <vt:variant>
        <vt:lpwstr>_Toc252354750</vt:lpwstr>
      </vt:variant>
      <vt:variant>
        <vt:i4>1114162</vt:i4>
      </vt:variant>
      <vt:variant>
        <vt:i4>176</vt:i4>
      </vt:variant>
      <vt:variant>
        <vt:i4>0</vt:i4>
      </vt:variant>
      <vt:variant>
        <vt:i4>5</vt:i4>
      </vt:variant>
      <vt:variant>
        <vt:lpwstr/>
      </vt:variant>
      <vt:variant>
        <vt:lpwstr>_Toc252354749</vt:lpwstr>
      </vt:variant>
      <vt:variant>
        <vt:i4>1114162</vt:i4>
      </vt:variant>
      <vt:variant>
        <vt:i4>170</vt:i4>
      </vt:variant>
      <vt:variant>
        <vt:i4>0</vt:i4>
      </vt:variant>
      <vt:variant>
        <vt:i4>5</vt:i4>
      </vt:variant>
      <vt:variant>
        <vt:lpwstr/>
      </vt:variant>
      <vt:variant>
        <vt:lpwstr>_Toc252354748</vt:lpwstr>
      </vt:variant>
      <vt:variant>
        <vt:i4>1114162</vt:i4>
      </vt:variant>
      <vt:variant>
        <vt:i4>164</vt:i4>
      </vt:variant>
      <vt:variant>
        <vt:i4>0</vt:i4>
      </vt:variant>
      <vt:variant>
        <vt:i4>5</vt:i4>
      </vt:variant>
      <vt:variant>
        <vt:lpwstr/>
      </vt:variant>
      <vt:variant>
        <vt:lpwstr>_Toc252354747</vt:lpwstr>
      </vt:variant>
      <vt:variant>
        <vt:i4>1114162</vt:i4>
      </vt:variant>
      <vt:variant>
        <vt:i4>158</vt:i4>
      </vt:variant>
      <vt:variant>
        <vt:i4>0</vt:i4>
      </vt:variant>
      <vt:variant>
        <vt:i4>5</vt:i4>
      </vt:variant>
      <vt:variant>
        <vt:lpwstr/>
      </vt:variant>
      <vt:variant>
        <vt:lpwstr>_Toc252354746</vt:lpwstr>
      </vt:variant>
      <vt:variant>
        <vt:i4>1114162</vt:i4>
      </vt:variant>
      <vt:variant>
        <vt:i4>152</vt:i4>
      </vt:variant>
      <vt:variant>
        <vt:i4>0</vt:i4>
      </vt:variant>
      <vt:variant>
        <vt:i4>5</vt:i4>
      </vt:variant>
      <vt:variant>
        <vt:lpwstr/>
      </vt:variant>
      <vt:variant>
        <vt:lpwstr>_Toc252354745</vt:lpwstr>
      </vt:variant>
      <vt:variant>
        <vt:i4>1114162</vt:i4>
      </vt:variant>
      <vt:variant>
        <vt:i4>146</vt:i4>
      </vt:variant>
      <vt:variant>
        <vt:i4>0</vt:i4>
      </vt:variant>
      <vt:variant>
        <vt:i4>5</vt:i4>
      </vt:variant>
      <vt:variant>
        <vt:lpwstr/>
      </vt:variant>
      <vt:variant>
        <vt:lpwstr>_Toc252354744</vt:lpwstr>
      </vt:variant>
      <vt:variant>
        <vt:i4>1114162</vt:i4>
      </vt:variant>
      <vt:variant>
        <vt:i4>140</vt:i4>
      </vt:variant>
      <vt:variant>
        <vt:i4>0</vt:i4>
      </vt:variant>
      <vt:variant>
        <vt:i4>5</vt:i4>
      </vt:variant>
      <vt:variant>
        <vt:lpwstr/>
      </vt:variant>
      <vt:variant>
        <vt:lpwstr>_Toc252354743</vt:lpwstr>
      </vt:variant>
      <vt:variant>
        <vt:i4>1114162</vt:i4>
      </vt:variant>
      <vt:variant>
        <vt:i4>134</vt:i4>
      </vt:variant>
      <vt:variant>
        <vt:i4>0</vt:i4>
      </vt:variant>
      <vt:variant>
        <vt:i4>5</vt:i4>
      </vt:variant>
      <vt:variant>
        <vt:lpwstr/>
      </vt:variant>
      <vt:variant>
        <vt:lpwstr>_Toc252354742</vt:lpwstr>
      </vt:variant>
      <vt:variant>
        <vt:i4>1114162</vt:i4>
      </vt:variant>
      <vt:variant>
        <vt:i4>128</vt:i4>
      </vt:variant>
      <vt:variant>
        <vt:i4>0</vt:i4>
      </vt:variant>
      <vt:variant>
        <vt:i4>5</vt:i4>
      </vt:variant>
      <vt:variant>
        <vt:lpwstr/>
      </vt:variant>
      <vt:variant>
        <vt:lpwstr>_Toc252354741</vt:lpwstr>
      </vt:variant>
      <vt:variant>
        <vt:i4>1114162</vt:i4>
      </vt:variant>
      <vt:variant>
        <vt:i4>122</vt:i4>
      </vt:variant>
      <vt:variant>
        <vt:i4>0</vt:i4>
      </vt:variant>
      <vt:variant>
        <vt:i4>5</vt:i4>
      </vt:variant>
      <vt:variant>
        <vt:lpwstr/>
      </vt:variant>
      <vt:variant>
        <vt:lpwstr>_Toc252354740</vt:lpwstr>
      </vt:variant>
      <vt:variant>
        <vt:i4>1441842</vt:i4>
      </vt:variant>
      <vt:variant>
        <vt:i4>116</vt:i4>
      </vt:variant>
      <vt:variant>
        <vt:i4>0</vt:i4>
      </vt:variant>
      <vt:variant>
        <vt:i4>5</vt:i4>
      </vt:variant>
      <vt:variant>
        <vt:lpwstr/>
      </vt:variant>
      <vt:variant>
        <vt:lpwstr>_Toc252354739</vt:lpwstr>
      </vt:variant>
      <vt:variant>
        <vt:i4>1441842</vt:i4>
      </vt:variant>
      <vt:variant>
        <vt:i4>110</vt:i4>
      </vt:variant>
      <vt:variant>
        <vt:i4>0</vt:i4>
      </vt:variant>
      <vt:variant>
        <vt:i4>5</vt:i4>
      </vt:variant>
      <vt:variant>
        <vt:lpwstr/>
      </vt:variant>
      <vt:variant>
        <vt:lpwstr>_Toc252354738</vt:lpwstr>
      </vt:variant>
      <vt:variant>
        <vt:i4>1441842</vt:i4>
      </vt:variant>
      <vt:variant>
        <vt:i4>104</vt:i4>
      </vt:variant>
      <vt:variant>
        <vt:i4>0</vt:i4>
      </vt:variant>
      <vt:variant>
        <vt:i4>5</vt:i4>
      </vt:variant>
      <vt:variant>
        <vt:lpwstr/>
      </vt:variant>
      <vt:variant>
        <vt:lpwstr>_Toc252354737</vt:lpwstr>
      </vt:variant>
      <vt:variant>
        <vt:i4>1441842</vt:i4>
      </vt:variant>
      <vt:variant>
        <vt:i4>98</vt:i4>
      </vt:variant>
      <vt:variant>
        <vt:i4>0</vt:i4>
      </vt:variant>
      <vt:variant>
        <vt:i4>5</vt:i4>
      </vt:variant>
      <vt:variant>
        <vt:lpwstr/>
      </vt:variant>
      <vt:variant>
        <vt:lpwstr>_Toc252354736</vt:lpwstr>
      </vt:variant>
      <vt:variant>
        <vt:i4>1441842</vt:i4>
      </vt:variant>
      <vt:variant>
        <vt:i4>92</vt:i4>
      </vt:variant>
      <vt:variant>
        <vt:i4>0</vt:i4>
      </vt:variant>
      <vt:variant>
        <vt:i4>5</vt:i4>
      </vt:variant>
      <vt:variant>
        <vt:lpwstr/>
      </vt:variant>
      <vt:variant>
        <vt:lpwstr>_Toc252354735</vt:lpwstr>
      </vt:variant>
      <vt:variant>
        <vt:i4>1441842</vt:i4>
      </vt:variant>
      <vt:variant>
        <vt:i4>86</vt:i4>
      </vt:variant>
      <vt:variant>
        <vt:i4>0</vt:i4>
      </vt:variant>
      <vt:variant>
        <vt:i4>5</vt:i4>
      </vt:variant>
      <vt:variant>
        <vt:lpwstr/>
      </vt:variant>
      <vt:variant>
        <vt:lpwstr>_Toc252354734</vt:lpwstr>
      </vt:variant>
      <vt:variant>
        <vt:i4>1441842</vt:i4>
      </vt:variant>
      <vt:variant>
        <vt:i4>80</vt:i4>
      </vt:variant>
      <vt:variant>
        <vt:i4>0</vt:i4>
      </vt:variant>
      <vt:variant>
        <vt:i4>5</vt:i4>
      </vt:variant>
      <vt:variant>
        <vt:lpwstr/>
      </vt:variant>
      <vt:variant>
        <vt:lpwstr>_Toc252354733</vt:lpwstr>
      </vt:variant>
      <vt:variant>
        <vt:i4>1441842</vt:i4>
      </vt:variant>
      <vt:variant>
        <vt:i4>74</vt:i4>
      </vt:variant>
      <vt:variant>
        <vt:i4>0</vt:i4>
      </vt:variant>
      <vt:variant>
        <vt:i4>5</vt:i4>
      </vt:variant>
      <vt:variant>
        <vt:lpwstr/>
      </vt:variant>
      <vt:variant>
        <vt:lpwstr>_Toc252354732</vt:lpwstr>
      </vt:variant>
      <vt:variant>
        <vt:i4>1441842</vt:i4>
      </vt:variant>
      <vt:variant>
        <vt:i4>68</vt:i4>
      </vt:variant>
      <vt:variant>
        <vt:i4>0</vt:i4>
      </vt:variant>
      <vt:variant>
        <vt:i4>5</vt:i4>
      </vt:variant>
      <vt:variant>
        <vt:lpwstr/>
      </vt:variant>
      <vt:variant>
        <vt:lpwstr>_Toc252354731</vt:lpwstr>
      </vt:variant>
      <vt:variant>
        <vt:i4>1441842</vt:i4>
      </vt:variant>
      <vt:variant>
        <vt:i4>62</vt:i4>
      </vt:variant>
      <vt:variant>
        <vt:i4>0</vt:i4>
      </vt:variant>
      <vt:variant>
        <vt:i4>5</vt:i4>
      </vt:variant>
      <vt:variant>
        <vt:lpwstr/>
      </vt:variant>
      <vt:variant>
        <vt:lpwstr>_Toc252354730</vt:lpwstr>
      </vt:variant>
      <vt:variant>
        <vt:i4>1507378</vt:i4>
      </vt:variant>
      <vt:variant>
        <vt:i4>56</vt:i4>
      </vt:variant>
      <vt:variant>
        <vt:i4>0</vt:i4>
      </vt:variant>
      <vt:variant>
        <vt:i4>5</vt:i4>
      </vt:variant>
      <vt:variant>
        <vt:lpwstr/>
      </vt:variant>
      <vt:variant>
        <vt:lpwstr>_Toc252354729</vt:lpwstr>
      </vt:variant>
      <vt:variant>
        <vt:i4>1507378</vt:i4>
      </vt:variant>
      <vt:variant>
        <vt:i4>50</vt:i4>
      </vt:variant>
      <vt:variant>
        <vt:i4>0</vt:i4>
      </vt:variant>
      <vt:variant>
        <vt:i4>5</vt:i4>
      </vt:variant>
      <vt:variant>
        <vt:lpwstr/>
      </vt:variant>
      <vt:variant>
        <vt:lpwstr>_Toc252354728</vt:lpwstr>
      </vt:variant>
      <vt:variant>
        <vt:i4>1507378</vt:i4>
      </vt:variant>
      <vt:variant>
        <vt:i4>44</vt:i4>
      </vt:variant>
      <vt:variant>
        <vt:i4>0</vt:i4>
      </vt:variant>
      <vt:variant>
        <vt:i4>5</vt:i4>
      </vt:variant>
      <vt:variant>
        <vt:lpwstr/>
      </vt:variant>
      <vt:variant>
        <vt:lpwstr>_Toc252354727</vt:lpwstr>
      </vt:variant>
      <vt:variant>
        <vt:i4>1507378</vt:i4>
      </vt:variant>
      <vt:variant>
        <vt:i4>38</vt:i4>
      </vt:variant>
      <vt:variant>
        <vt:i4>0</vt:i4>
      </vt:variant>
      <vt:variant>
        <vt:i4>5</vt:i4>
      </vt:variant>
      <vt:variant>
        <vt:lpwstr/>
      </vt:variant>
      <vt:variant>
        <vt:lpwstr>_Toc252354726</vt:lpwstr>
      </vt:variant>
      <vt:variant>
        <vt:i4>1507378</vt:i4>
      </vt:variant>
      <vt:variant>
        <vt:i4>32</vt:i4>
      </vt:variant>
      <vt:variant>
        <vt:i4>0</vt:i4>
      </vt:variant>
      <vt:variant>
        <vt:i4>5</vt:i4>
      </vt:variant>
      <vt:variant>
        <vt:lpwstr/>
      </vt:variant>
      <vt:variant>
        <vt:lpwstr>_Toc252354725</vt:lpwstr>
      </vt:variant>
      <vt:variant>
        <vt:i4>1507378</vt:i4>
      </vt:variant>
      <vt:variant>
        <vt:i4>26</vt:i4>
      </vt:variant>
      <vt:variant>
        <vt:i4>0</vt:i4>
      </vt:variant>
      <vt:variant>
        <vt:i4>5</vt:i4>
      </vt:variant>
      <vt:variant>
        <vt:lpwstr/>
      </vt:variant>
      <vt:variant>
        <vt:lpwstr>_Toc252354724</vt:lpwstr>
      </vt:variant>
      <vt:variant>
        <vt:i4>1507378</vt:i4>
      </vt:variant>
      <vt:variant>
        <vt:i4>20</vt:i4>
      </vt:variant>
      <vt:variant>
        <vt:i4>0</vt:i4>
      </vt:variant>
      <vt:variant>
        <vt:i4>5</vt:i4>
      </vt:variant>
      <vt:variant>
        <vt:lpwstr/>
      </vt:variant>
      <vt:variant>
        <vt:lpwstr>_Toc252354723</vt:lpwstr>
      </vt:variant>
      <vt:variant>
        <vt:i4>1507378</vt:i4>
      </vt:variant>
      <vt:variant>
        <vt:i4>14</vt:i4>
      </vt:variant>
      <vt:variant>
        <vt:i4>0</vt:i4>
      </vt:variant>
      <vt:variant>
        <vt:i4>5</vt:i4>
      </vt:variant>
      <vt:variant>
        <vt:lpwstr/>
      </vt:variant>
      <vt:variant>
        <vt:lpwstr>_Toc252354722</vt:lpwstr>
      </vt:variant>
      <vt:variant>
        <vt:i4>1507378</vt:i4>
      </vt:variant>
      <vt:variant>
        <vt:i4>8</vt:i4>
      </vt:variant>
      <vt:variant>
        <vt:i4>0</vt:i4>
      </vt:variant>
      <vt:variant>
        <vt:i4>5</vt:i4>
      </vt:variant>
      <vt:variant>
        <vt:lpwstr/>
      </vt:variant>
      <vt:variant>
        <vt:lpwstr>_Toc252354721</vt:lpwstr>
      </vt:variant>
      <vt:variant>
        <vt:i4>1507378</vt:i4>
      </vt:variant>
      <vt:variant>
        <vt:i4>2</vt:i4>
      </vt:variant>
      <vt:variant>
        <vt:i4>0</vt:i4>
      </vt:variant>
      <vt:variant>
        <vt:i4>5</vt:i4>
      </vt:variant>
      <vt:variant>
        <vt:lpwstr/>
      </vt:variant>
      <vt:variant>
        <vt:lpwstr>_Toc252354720</vt:lpwstr>
      </vt:variant>
      <vt:variant>
        <vt:i4>4456528</vt:i4>
      </vt:variant>
      <vt:variant>
        <vt:i4>0</vt:i4>
      </vt:variant>
      <vt:variant>
        <vt:i4>0</vt:i4>
      </vt:variant>
      <vt:variant>
        <vt:i4>5</vt:i4>
      </vt:variant>
      <vt:variant>
        <vt:lpwstr>http://www.ipcc-nggip.iges.or.jp/public/gpglulucf/gpglulucf.html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Estelle Fach</cp:lastModifiedBy>
  <cp:revision>3</cp:revision>
  <cp:lastPrinted>2010-03-02T15:50:00Z</cp:lastPrinted>
  <dcterms:created xsi:type="dcterms:W3CDTF">2010-03-02T15:49:00Z</dcterms:created>
  <dcterms:modified xsi:type="dcterms:W3CDTF">2010-03-02T18:34:00Z</dcterms:modified>
</cp:coreProperties>
</file>