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74" w:rsidRPr="00213097" w:rsidRDefault="009823A1" w:rsidP="00BA3DC6">
      <w:pPr>
        <w:autoSpaceDE w:val="0"/>
        <w:autoSpaceDN w:val="0"/>
        <w:adjustRightInd w:val="0"/>
        <w:spacing w:after="0" w:line="240" w:lineRule="auto"/>
        <w:ind w:left="-142"/>
        <w:rPr>
          <w:rFonts w:ascii="FrutigerLT-Roman" w:hAnsi="FrutigerLT-Roman" w:cs="FrutigerLT-Roman"/>
          <w:color w:val="C00000"/>
          <w:szCs w:val="20"/>
          <w:lang w:val="fr-FR" w:eastAsia="en-GB"/>
        </w:rPr>
      </w:pPr>
      <w:r>
        <w:rPr>
          <w:rFonts w:ascii="FrutigerLT-Roman" w:hAnsi="FrutigerLT-Roman" w:cs="FrutigerLT-Roman"/>
          <w:noProof/>
          <w:sz w:val="42"/>
          <w:szCs w:val="40"/>
          <w:lang w:val="en-US"/>
        </w:rPr>
        <w:drawing>
          <wp:inline distT="0" distB="0" distL="0" distR="0">
            <wp:extent cx="1714500" cy="733425"/>
            <wp:effectExtent l="19050" t="0" r="0" b="0"/>
            <wp:docPr id="1" name="Picture 1"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 logo"/>
                    <pic:cNvPicPr>
                      <a:picLocks noChangeAspect="1" noChangeArrowheads="1"/>
                    </pic:cNvPicPr>
                  </pic:nvPicPr>
                  <pic:blipFill>
                    <a:blip r:embed="rId8" cstate="print"/>
                    <a:srcRect/>
                    <a:stretch>
                      <a:fillRect/>
                    </a:stretch>
                  </pic:blipFill>
                  <pic:spPr bwMode="auto">
                    <a:xfrm>
                      <a:off x="0" y="0"/>
                      <a:ext cx="1714500" cy="733425"/>
                    </a:xfrm>
                    <a:prstGeom prst="rect">
                      <a:avLst/>
                    </a:prstGeom>
                    <a:noFill/>
                    <a:ln w="9525">
                      <a:noFill/>
                      <a:miter lim="800000"/>
                      <a:headEnd/>
                      <a:tailEnd/>
                    </a:ln>
                  </pic:spPr>
                </pic:pic>
              </a:graphicData>
            </a:graphic>
          </wp:inline>
        </w:drawing>
      </w:r>
    </w:p>
    <w:p w:rsidR="00B2648D" w:rsidRPr="003D6C74" w:rsidRDefault="00B2648D">
      <w:pPr>
        <w:rPr>
          <w:lang w:val="fr-FR"/>
        </w:rPr>
      </w:pPr>
    </w:p>
    <w:p w:rsidR="00B2648D" w:rsidRPr="003D6C74" w:rsidRDefault="00B2648D">
      <w:pPr>
        <w:rPr>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281"/>
      </w:tblGrid>
      <w:tr w:rsidR="003D6C74" w:rsidRPr="00B2648D">
        <w:trPr>
          <w:trHeight w:val="1418"/>
        </w:trPr>
        <w:tc>
          <w:tcPr>
            <w:tcW w:w="0" w:type="auto"/>
            <w:tcBorders>
              <w:top w:val="nil"/>
              <w:left w:val="nil"/>
              <w:bottom w:val="nil"/>
              <w:right w:val="nil"/>
            </w:tcBorders>
            <w:shd w:val="clear" w:color="auto" w:fill="FFFFFF"/>
          </w:tcPr>
          <w:p w:rsidR="00D715D7" w:rsidRPr="005847E0" w:rsidRDefault="00A327BF" w:rsidP="00685DE3">
            <w:pPr>
              <w:pStyle w:val="NoSpacing"/>
              <w:tabs>
                <w:tab w:val="left" w:pos="2100"/>
              </w:tabs>
              <w:rPr>
                <w:rFonts w:ascii="Franklin Gothic Book" w:hAnsi="Franklin Gothic Book"/>
                <w:b/>
                <w:bCs/>
                <w:color w:val="000000"/>
                <w:sz w:val="56"/>
                <w:szCs w:val="56"/>
              </w:rPr>
            </w:pPr>
            <w:r>
              <w:rPr>
                <w:rFonts w:ascii="Franklin Gothic Book" w:hAnsi="Franklin Gothic Book"/>
                <w:b/>
                <w:bCs/>
                <w:color w:val="000000"/>
                <w:sz w:val="56"/>
                <w:szCs w:val="56"/>
              </w:rPr>
              <w:t>Design of a REDD-Compliant Benefit Distribution System for Viet Nam</w:t>
            </w:r>
            <w:r w:rsidR="00953B97">
              <w:rPr>
                <w:rFonts w:ascii="Franklin Gothic Book" w:hAnsi="Franklin Gothic Book"/>
                <w:b/>
                <w:bCs/>
                <w:color w:val="000000"/>
                <w:sz w:val="56"/>
                <w:szCs w:val="56"/>
              </w:rPr>
              <w:t>: Draft Table of Contents for Report</w:t>
            </w:r>
          </w:p>
        </w:tc>
      </w:tr>
      <w:tr w:rsidR="003D6C74" w:rsidRPr="00B2648D">
        <w:trPr>
          <w:trHeight w:val="390"/>
        </w:trPr>
        <w:tc>
          <w:tcPr>
            <w:tcW w:w="0" w:type="auto"/>
            <w:tcBorders>
              <w:left w:val="nil"/>
              <w:bottom w:val="nil"/>
              <w:right w:val="nil"/>
            </w:tcBorders>
            <w:shd w:val="clear" w:color="auto" w:fill="FFFFFF"/>
          </w:tcPr>
          <w:p w:rsidR="003D6C74" w:rsidRPr="005847E0" w:rsidRDefault="003D6C74" w:rsidP="003D6C74">
            <w:pPr>
              <w:pStyle w:val="NoSpacing"/>
              <w:rPr>
                <w:bCs/>
                <w:color w:val="0070C0"/>
                <w:sz w:val="40"/>
                <w:szCs w:val="40"/>
              </w:rPr>
            </w:pPr>
            <w:r w:rsidRPr="005847E0">
              <w:rPr>
                <w:bCs/>
                <w:color w:val="548DD4"/>
                <w:sz w:val="32"/>
                <w:szCs w:val="32"/>
              </w:rPr>
              <w:t>UN-REDD P</w:t>
            </w:r>
            <w:r w:rsidRPr="005847E0">
              <w:rPr>
                <w:bCs/>
                <w:color w:val="548DD4"/>
                <w:sz w:val="24"/>
                <w:szCs w:val="32"/>
              </w:rPr>
              <w:t>ROGRAMME</w:t>
            </w:r>
          </w:p>
        </w:tc>
      </w:tr>
      <w:tr w:rsidR="003D6C74" w:rsidRPr="00B2648D">
        <w:trPr>
          <w:trHeight w:val="345"/>
        </w:trPr>
        <w:tc>
          <w:tcPr>
            <w:tcW w:w="0" w:type="auto"/>
            <w:tcBorders>
              <w:left w:val="nil"/>
              <w:bottom w:val="nil"/>
              <w:right w:val="nil"/>
            </w:tcBorders>
            <w:shd w:val="clear" w:color="auto" w:fill="FFFFFF"/>
          </w:tcPr>
          <w:p w:rsidR="003D6C74" w:rsidRPr="00832CBF" w:rsidRDefault="00685DE3" w:rsidP="00953B97">
            <w:pPr>
              <w:pStyle w:val="NoSpacing"/>
              <w:rPr>
                <w:bCs/>
                <w:color w:val="000000"/>
                <w:sz w:val="28"/>
                <w:szCs w:val="28"/>
              </w:rPr>
            </w:pPr>
            <w:r>
              <w:rPr>
                <w:bCs/>
                <w:color w:val="000000"/>
                <w:sz w:val="28"/>
                <w:szCs w:val="28"/>
              </w:rPr>
              <w:t>Ju</w:t>
            </w:r>
            <w:r w:rsidR="00A327BF">
              <w:rPr>
                <w:bCs/>
                <w:color w:val="000000"/>
                <w:sz w:val="28"/>
                <w:szCs w:val="28"/>
              </w:rPr>
              <w:t xml:space="preserve">ly </w:t>
            </w:r>
            <w:r w:rsidR="00953B97">
              <w:rPr>
                <w:bCs/>
                <w:color w:val="000000"/>
                <w:sz w:val="28"/>
                <w:szCs w:val="28"/>
              </w:rPr>
              <w:t>24</w:t>
            </w:r>
            <w:r>
              <w:rPr>
                <w:bCs/>
                <w:color w:val="000000"/>
                <w:sz w:val="28"/>
                <w:szCs w:val="28"/>
              </w:rPr>
              <w:t>, 2009</w:t>
            </w:r>
          </w:p>
        </w:tc>
      </w:tr>
    </w:tbl>
    <w:p w:rsidR="00E90339" w:rsidRPr="00B33929" w:rsidRDefault="00B2648D" w:rsidP="00E90339">
      <w:pPr>
        <w:rPr>
          <w:b/>
        </w:rPr>
      </w:pPr>
      <w:r>
        <w:rPr>
          <w:rFonts w:ascii="Cambria" w:eastAsia="Times New Roman" w:hAnsi="Cambria"/>
          <w:caps/>
          <w:lang w:val="en-US"/>
        </w:rPr>
        <w:br w:type="page"/>
      </w:r>
    </w:p>
    <w:p w:rsidR="00685DE3" w:rsidRPr="00414454" w:rsidRDefault="00A327BF" w:rsidP="00143CBC">
      <w:pPr>
        <w:pStyle w:val="ListParagraph"/>
        <w:numPr>
          <w:ilvl w:val="0"/>
          <w:numId w:val="1"/>
        </w:numPr>
        <w:spacing w:after="0"/>
        <w:contextualSpacing w:val="0"/>
        <w:rPr>
          <w:b/>
          <w:color w:val="C00000"/>
          <w:sz w:val="28"/>
          <w:szCs w:val="28"/>
        </w:rPr>
      </w:pPr>
      <w:r>
        <w:rPr>
          <w:b/>
          <w:color w:val="C00000"/>
          <w:sz w:val="28"/>
          <w:szCs w:val="28"/>
        </w:rPr>
        <w:lastRenderedPageBreak/>
        <w:t>Background</w:t>
      </w:r>
    </w:p>
    <w:p w:rsidR="00A327BF" w:rsidRDefault="00A327BF" w:rsidP="006367E3">
      <w:pPr>
        <w:spacing w:after="0" w:line="240" w:lineRule="auto"/>
        <w:jc w:val="both"/>
        <w:rPr>
          <w:rFonts w:cs="Arial"/>
        </w:rPr>
      </w:pPr>
      <w:r>
        <w:rPr>
          <w:rFonts w:cs="Arial"/>
        </w:rPr>
        <w:t>One of the goals of the UN-REDD programme is to generate lessons that can guide the international community in determining how REDD will work in practice.  The development of detailed rules and procedures for implementing REDD is expected to begin after CoP15.  This means that the presentation of important lessons at CoP15 can be very influential in determining the details of REDD to be negotiated subsequently.   Given the rapid progress made so far in Viet Nam, and past work on a variety of benefit distribution systems in the country, it is considered that one of the best opportunities for delivering lessons at CoP15 is on benefit distribution systems</w:t>
      </w:r>
      <w:r w:rsidR="007C7BD8">
        <w:rPr>
          <w:rFonts w:cs="Arial"/>
        </w:rPr>
        <w:t xml:space="preserve"> (the left-hand side of Figure 1)</w:t>
      </w:r>
      <w:r>
        <w:rPr>
          <w:rFonts w:cs="Arial"/>
        </w:rPr>
        <w:t>, based on work undertaken in Viet Nam.  This corresponds to rapid implementation of Outputs 1.4 and 2.3 of the UN-REDD Programme in Viet Nam.</w:t>
      </w:r>
    </w:p>
    <w:p w:rsidR="001C5441" w:rsidRDefault="001C5441" w:rsidP="00A327BF">
      <w:pPr>
        <w:spacing w:after="0" w:line="240" w:lineRule="auto"/>
        <w:ind w:left="360"/>
        <w:jc w:val="both"/>
        <w:rPr>
          <w:rFonts w:cs="Arial"/>
        </w:rPr>
      </w:pPr>
    </w:p>
    <w:p w:rsidR="00A327BF" w:rsidRDefault="00A327BF" w:rsidP="00A327BF">
      <w:pPr>
        <w:spacing w:after="0" w:line="240" w:lineRule="auto"/>
        <w:ind w:left="360"/>
        <w:jc w:val="both"/>
      </w:pPr>
    </w:p>
    <w:p w:rsidR="00685DE3" w:rsidRPr="00414454" w:rsidRDefault="00953B97" w:rsidP="00414454">
      <w:pPr>
        <w:pStyle w:val="ListParagraph"/>
        <w:numPr>
          <w:ilvl w:val="0"/>
          <w:numId w:val="1"/>
        </w:numPr>
        <w:spacing w:after="100" w:afterAutospacing="1"/>
        <w:contextualSpacing w:val="0"/>
        <w:rPr>
          <w:b/>
          <w:color w:val="C00000"/>
          <w:sz w:val="28"/>
          <w:szCs w:val="28"/>
        </w:rPr>
      </w:pPr>
      <w:r>
        <w:rPr>
          <w:b/>
          <w:color w:val="C00000"/>
          <w:sz w:val="28"/>
          <w:szCs w:val="28"/>
        </w:rPr>
        <w:t>Draft Table of Contents for Report</w:t>
      </w:r>
    </w:p>
    <w:tbl>
      <w:tblPr>
        <w:tblStyle w:val="TableGrid"/>
        <w:tblW w:w="0" w:type="auto"/>
        <w:tblLook w:val="04A0"/>
      </w:tblPr>
      <w:tblGrid>
        <w:gridCol w:w="6408"/>
        <w:gridCol w:w="2834"/>
      </w:tblGrid>
      <w:tr w:rsidR="00953B97" w:rsidTr="00D80024">
        <w:tc>
          <w:tcPr>
            <w:tcW w:w="6408" w:type="dxa"/>
            <w:shd w:val="clear" w:color="auto" w:fill="B8CCE4" w:themeFill="accent1" w:themeFillTint="66"/>
          </w:tcPr>
          <w:p w:rsidR="00953B97" w:rsidRPr="00953B97" w:rsidRDefault="00F11A89" w:rsidP="00953B97">
            <w:pPr>
              <w:spacing w:after="0" w:line="240" w:lineRule="auto"/>
              <w:jc w:val="center"/>
              <w:rPr>
                <w:rFonts w:asciiTheme="minorHAnsi" w:hAnsiTheme="minorHAnsi"/>
                <w:b/>
              </w:rPr>
            </w:pPr>
            <w:r>
              <w:rPr>
                <w:rFonts w:asciiTheme="minorHAnsi" w:hAnsiTheme="minorHAnsi"/>
                <w:b/>
              </w:rPr>
              <w:t>Chapter</w:t>
            </w:r>
          </w:p>
        </w:tc>
        <w:tc>
          <w:tcPr>
            <w:tcW w:w="2834" w:type="dxa"/>
            <w:shd w:val="clear" w:color="auto" w:fill="B8CCE4" w:themeFill="accent1" w:themeFillTint="66"/>
          </w:tcPr>
          <w:p w:rsidR="00953B97" w:rsidRPr="00953B97" w:rsidRDefault="00953B97" w:rsidP="00953B97">
            <w:pPr>
              <w:spacing w:after="0" w:line="240" w:lineRule="auto"/>
              <w:jc w:val="center"/>
              <w:rPr>
                <w:rFonts w:asciiTheme="minorHAnsi" w:hAnsiTheme="minorHAnsi"/>
                <w:b/>
              </w:rPr>
            </w:pPr>
            <w:r w:rsidRPr="00953B97">
              <w:rPr>
                <w:rFonts w:asciiTheme="minorHAnsi" w:hAnsiTheme="minorHAnsi"/>
                <w:b/>
              </w:rPr>
              <w:t>Responsibility</w:t>
            </w:r>
          </w:p>
        </w:tc>
      </w:tr>
      <w:tr w:rsidR="00F11A89" w:rsidTr="00935CFF">
        <w:tc>
          <w:tcPr>
            <w:tcW w:w="9242" w:type="dxa"/>
            <w:gridSpan w:val="2"/>
            <w:shd w:val="clear" w:color="auto" w:fill="E5B8B7" w:themeFill="accent2" w:themeFillTint="66"/>
          </w:tcPr>
          <w:p w:rsidR="00F11A89" w:rsidRDefault="00F11A89" w:rsidP="00F11A89">
            <w:pPr>
              <w:spacing w:after="0" w:line="240" w:lineRule="auto"/>
              <w:jc w:val="center"/>
              <w:rPr>
                <w:rFonts w:asciiTheme="minorHAnsi" w:hAnsiTheme="minorHAnsi"/>
              </w:rPr>
            </w:pPr>
            <w:r>
              <w:rPr>
                <w:rFonts w:asciiTheme="minorHAnsi" w:hAnsiTheme="minorHAnsi"/>
                <w:b/>
              </w:rPr>
              <w:t>SECTION 1: BACKGROUND AND INTRODUCTON</w:t>
            </w:r>
          </w:p>
        </w:tc>
      </w:tr>
      <w:tr w:rsidR="00953B97" w:rsidTr="00D80024">
        <w:tc>
          <w:tcPr>
            <w:tcW w:w="6408" w:type="dxa"/>
          </w:tcPr>
          <w:p w:rsidR="00953B97" w:rsidRPr="00953B97" w:rsidRDefault="00953B97" w:rsidP="006367E3">
            <w:pPr>
              <w:spacing w:after="0" w:line="240" w:lineRule="auto"/>
              <w:jc w:val="both"/>
              <w:rPr>
                <w:rFonts w:asciiTheme="minorHAnsi" w:hAnsiTheme="minorHAnsi"/>
                <w:b/>
              </w:rPr>
            </w:pPr>
            <w:r w:rsidRPr="00953B97">
              <w:rPr>
                <w:rFonts w:asciiTheme="minorHAnsi" w:hAnsiTheme="minorHAnsi"/>
                <w:b/>
              </w:rPr>
              <w:t>Forward</w:t>
            </w:r>
          </w:p>
        </w:tc>
        <w:tc>
          <w:tcPr>
            <w:tcW w:w="2834" w:type="dxa"/>
          </w:tcPr>
          <w:p w:rsidR="00953B97" w:rsidRDefault="00953B97" w:rsidP="006367E3">
            <w:pPr>
              <w:spacing w:after="0" w:line="240" w:lineRule="auto"/>
              <w:jc w:val="both"/>
              <w:rPr>
                <w:rFonts w:asciiTheme="minorHAnsi" w:hAnsiTheme="minorHAnsi"/>
              </w:rPr>
            </w:pPr>
            <w:r>
              <w:rPr>
                <w:rFonts w:asciiTheme="minorHAnsi" w:hAnsiTheme="minorHAnsi"/>
              </w:rPr>
              <w:t>Minister of MARD</w:t>
            </w:r>
          </w:p>
        </w:tc>
      </w:tr>
      <w:tr w:rsidR="00953B97" w:rsidTr="00D80024">
        <w:tc>
          <w:tcPr>
            <w:tcW w:w="6408" w:type="dxa"/>
          </w:tcPr>
          <w:p w:rsidR="00953B97" w:rsidRPr="00953B97" w:rsidRDefault="00953B97" w:rsidP="006367E3">
            <w:pPr>
              <w:spacing w:after="0" w:line="240" w:lineRule="auto"/>
              <w:jc w:val="both"/>
              <w:rPr>
                <w:rFonts w:asciiTheme="minorHAnsi" w:hAnsiTheme="minorHAnsi"/>
                <w:b/>
              </w:rPr>
            </w:pPr>
            <w:r w:rsidRPr="00953B97">
              <w:rPr>
                <w:rFonts w:asciiTheme="minorHAnsi" w:hAnsiTheme="minorHAnsi"/>
                <w:b/>
              </w:rPr>
              <w:t>Introduction to PDS Study</w:t>
            </w:r>
          </w:p>
        </w:tc>
        <w:tc>
          <w:tcPr>
            <w:tcW w:w="2834" w:type="dxa"/>
          </w:tcPr>
          <w:p w:rsidR="00953B97" w:rsidRDefault="00953B97" w:rsidP="00953B97">
            <w:pPr>
              <w:spacing w:after="0" w:line="240" w:lineRule="auto"/>
              <w:jc w:val="both"/>
              <w:rPr>
                <w:rFonts w:asciiTheme="minorHAnsi" w:hAnsiTheme="minorHAnsi"/>
              </w:rPr>
            </w:pPr>
            <w:r>
              <w:rPr>
                <w:rFonts w:asciiTheme="minorHAnsi" w:hAnsiTheme="minorHAnsi"/>
              </w:rPr>
              <w:t>Tim</w:t>
            </w:r>
          </w:p>
        </w:tc>
      </w:tr>
      <w:tr w:rsidR="00953B97" w:rsidTr="00D80024">
        <w:tc>
          <w:tcPr>
            <w:tcW w:w="6408" w:type="dxa"/>
          </w:tcPr>
          <w:p w:rsidR="00953B97" w:rsidRPr="00953B97" w:rsidRDefault="00953B97" w:rsidP="00953B97">
            <w:pPr>
              <w:spacing w:after="0" w:line="240" w:lineRule="auto"/>
              <w:rPr>
                <w:rFonts w:asciiTheme="minorHAnsi" w:hAnsiTheme="minorHAnsi"/>
                <w:b/>
              </w:rPr>
            </w:pPr>
            <w:r w:rsidRPr="00953B97">
              <w:rPr>
                <w:rFonts w:asciiTheme="minorHAnsi" w:hAnsiTheme="minorHAnsi"/>
                <w:b/>
              </w:rPr>
              <w:t>Background to REDD, the UNFCCC Negotiation Process, and Implications for Payment Distribution Systems</w:t>
            </w:r>
          </w:p>
        </w:tc>
        <w:tc>
          <w:tcPr>
            <w:tcW w:w="2834" w:type="dxa"/>
          </w:tcPr>
          <w:p w:rsidR="00953B97" w:rsidRDefault="00953B97" w:rsidP="00D80024">
            <w:pPr>
              <w:spacing w:after="0" w:line="240" w:lineRule="auto"/>
              <w:rPr>
                <w:rFonts w:asciiTheme="minorHAnsi" w:hAnsiTheme="minorHAnsi"/>
              </w:rPr>
            </w:pPr>
            <w:r>
              <w:rPr>
                <w:rFonts w:asciiTheme="minorHAnsi" w:hAnsiTheme="minorHAnsi"/>
              </w:rPr>
              <w:t>Cuong and Tim</w:t>
            </w:r>
          </w:p>
        </w:tc>
      </w:tr>
      <w:tr w:rsidR="00953B97" w:rsidTr="00D80024">
        <w:tc>
          <w:tcPr>
            <w:tcW w:w="6408" w:type="dxa"/>
          </w:tcPr>
          <w:p w:rsidR="00953B97" w:rsidRPr="00953B97" w:rsidRDefault="00953B97" w:rsidP="006367E3">
            <w:pPr>
              <w:spacing w:after="0" w:line="240" w:lineRule="auto"/>
              <w:jc w:val="both"/>
              <w:rPr>
                <w:rFonts w:asciiTheme="minorHAnsi" w:hAnsiTheme="minorHAnsi"/>
                <w:b/>
              </w:rPr>
            </w:pPr>
            <w:r w:rsidRPr="00953B97">
              <w:rPr>
                <w:rFonts w:asciiTheme="minorHAnsi" w:hAnsiTheme="minorHAnsi"/>
                <w:b/>
              </w:rPr>
              <w:t>Background and history of payment distribution systems in Viet Nam</w:t>
            </w:r>
          </w:p>
        </w:tc>
        <w:tc>
          <w:tcPr>
            <w:tcW w:w="2834" w:type="dxa"/>
          </w:tcPr>
          <w:p w:rsidR="00953B97" w:rsidRDefault="00953B97" w:rsidP="00D80024">
            <w:pPr>
              <w:spacing w:after="0" w:line="240" w:lineRule="auto"/>
              <w:rPr>
                <w:rFonts w:asciiTheme="minorHAnsi" w:hAnsiTheme="minorHAnsi"/>
              </w:rPr>
            </w:pPr>
            <w:r>
              <w:rPr>
                <w:rFonts w:asciiTheme="minorHAnsi" w:hAnsiTheme="minorHAnsi"/>
              </w:rPr>
              <w:t>Cuong and Hai</w:t>
            </w:r>
          </w:p>
        </w:tc>
      </w:tr>
      <w:tr w:rsidR="00953B97" w:rsidTr="00D80024">
        <w:tc>
          <w:tcPr>
            <w:tcW w:w="6408" w:type="dxa"/>
          </w:tcPr>
          <w:p w:rsidR="00953B97" w:rsidRDefault="00953B97" w:rsidP="00953B97">
            <w:pPr>
              <w:spacing w:after="0" w:line="240" w:lineRule="auto"/>
              <w:ind w:left="450"/>
              <w:jc w:val="both"/>
              <w:rPr>
                <w:rFonts w:asciiTheme="minorHAnsi" w:hAnsiTheme="minorHAnsi"/>
              </w:rPr>
            </w:pPr>
            <w:r>
              <w:rPr>
                <w:rFonts w:asciiTheme="minorHAnsi" w:hAnsiTheme="minorHAnsi"/>
              </w:rPr>
              <w:t>The 661 Programme: Background, and analysis</w:t>
            </w:r>
          </w:p>
        </w:tc>
        <w:tc>
          <w:tcPr>
            <w:tcW w:w="2834" w:type="dxa"/>
          </w:tcPr>
          <w:p w:rsidR="00953B97" w:rsidRDefault="00953B97" w:rsidP="00D80024">
            <w:pPr>
              <w:spacing w:after="0" w:line="240" w:lineRule="auto"/>
              <w:rPr>
                <w:rFonts w:asciiTheme="minorHAnsi" w:hAnsiTheme="minorHAnsi"/>
              </w:rPr>
            </w:pPr>
            <w:r>
              <w:rPr>
                <w:rFonts w:asciiTheme="minorHAnsi" w:hAnsiTheme="minorHAnsi"/>
              </w:rPr>
              <w:t>Hai, Phuc and Tan</w:t>
            </w:r>
          </w:p>
        </w:tc>
      </w:tr>
      <w:tr w:rsidR="00953B97" w:rsidTr="00D80024">
        <w:tc>
          <w:tcPr>
            <w:tcW w:w="6408" w:type="dxa"/>
          </w:tcPr>
          <w:p w:rsidR="00953B97" w:rsidRDefault="00953B97" w:rsidP="00953B97">
            <w:pPr>
              <w:spacing w:after="0" w:line="240" w:lineRule="auto"/>
              <w:ind w:left="450"/>
              <w:jc w:val="both"/>
              <w:rPr>
                <w:rFonts w:asciiTheme="minorHAnsi" w:hAnsiTheme="minorHAnsi"/>
              </w:rPr>
            </w:pPr>
            <w:r>
              <w:rPr>
                <w:rFonts w:asciiTheme="minorHAnsi" w:hAnsiTheme="minorHAnsi"/>
              </w:rPr>
              <w:t>Decision 380: Background and analysis</w:t>
            </w:r>
          </w:p>
        </w:tc>
        <w:tc>
          <w:tcPr>
            <w:tcW w:w="2834" w:type="dxa"/>
          </w:tcPr>
          <w:p w:rsidR="00953B97" w:rsidRDefault="00953B97" w:rsidP="00D80024">
            <w:pPr>
              <w:spacing w:after="0" w:line="240" w:lineRule="auto"/>
              <w:rPr>
                <w:rFonts w:asciiTheme="minorHAnsi" w:hAnsiTheme="minorHAnsi"/>
              </w:rPr>
            </w:pPr>
            <w:r>
              <w:rPr>
                <w:rFonts w:asciiTheme="minorHAnsi" w:hAnsiTheme="minorHAnsi"/>
              </w:rPr>
              <w:t>Phu, GTZ specialist</w:t>
            </w:r>
          </w:p>
        </w:tc>
      </w:tr>
      <w:tr w:rsidR="00953B97" w:rsidTr="00D80024">
        <w:tc>
          <w:tcPr>
            <w:tcW w:w="6408" w:type="dxa"/>
          </w:tcPr>
          <w:p w:rsidR="00953B97" w:rsidRDefault="00953B97" w:rsidP="00953B97">
            <w:pPr>
              <w:spacing w:after="0" w:line="240" w:lineRule="auto"/>
              <w:ind w:left="450"/>
              <w:jc w:val="both"/>
              <w:rPr>
                <w:rFonts w:asciiTheme="minorHAnsi" w:hAnsiTheme="minorHAnsi"/>
              </w:rPr>
            </w:pPr>
            <w:r>
              <w:rPr>
                <w:rFonts w:asciiTheme="minorHAnsi" w:hAnsiTheme="minorHAnsi"/>
              </w:rPr>
              <w:t>Other examples</w:t>
            </w:r>
          </w:p>
        </w:tc>
        <w:tc>
          <w:tcPr>
            <w:tcW w:w="2834" w:type="dxa"/>
          </w:tcPr>
          <w:p w:rsidR="00953B97" w:rsidRDefault="00953B97" w:rsidP="00D80024">
            <w:pPr>
              <w:spacing w:after="0" w:line="240" w:lineRule="auto"/>
              <w:rPr>
                <w:rFonts w:asciiTheme="minorHAnsi" w:hAnsiTheme="minorHAnsi"/>
              </w:rPr>
            </w:pPr>
            <w:r>
              <w:rPr>
                <w:rFonts w:asciiTheme="minorHAnsi" w:hAnsiTheme="minorHAnsi"/>
              </w:rPr>
              <w:t>Tan?, Cuong?</w:t>
            </w:r>
          </w:p>
        </w:tc>
      </w:tr>
      <w:tr w:rsidR="00953B97" w:rsidTr="00D80024">
        <w:tc>
          <w:tcPr>
            <w:tcW w:w="6408" w:type="dxa"/>
          </w:tcPr>
          <w:p w:rsidR="00953B97" w:rsidRPr="00040826" w:rsidRDefault="00953B97" w:rsidP="00040826">
            <w:pPr>
              <w:spacing w:after="0" w:line="240" w:lineRule="auto"/>
              <w:rPr>
                <w:rFonts w:asciiTheme="minorHAnsi" w:hAnsiTheme="minorHAnsi"/>
                <w:b/>
              </w:rPr>
            </w:pPr>
            <w:r w:rsidRPr="00040826">
              <w:rPr>
                <w:rFonts w:asciiTheme="minorHAnsi" w:hAnsiTheme="minorHAnsi"/>
                <w:b/>
              </w:rPr>
              <w:t>Lessons from payment distribution systems in other countries</w:t>
            </w:r>
          </w:p>
        </w:tc>
        <w:tc>
          <w:tcPr>
            <w:tcW w:w="2834" w:type="dxa"/>
          </w:tcPr>
          <w:p w:rsidR="00953B97" w:rsidRDefault="00953B97" w:rsidP="00D80024">
            <w:pPr>
              <w:spacing w:after="0" w:line="240" w:lineRule="auto"/>
              <w:rPr>
                <w:rFonts w:asciiTheme="minorHAnsi" w:hAnsiTheme="minorHAnsi"/>
              </w:rPr>
            </w:pPr>
            <w:r>
              <w:rPr>
                <w:rFonts w:asciiTheme="minorHAnsi" w:hAnsiTheme="minorHAnsi"/>
              </w:rPr>
              <w:t xml:space="preserve">Lucy, </w:t>
            </w:r>
            <w:r w:rsidR="00040826">
              <w:rPr>
                <w:rFonts w:asciiTheme="minorHAnsi" w:hAnsiTheme="minorHAnsi"/>
              </w:rPr>
              <w:t>Peter, Tim</w:t>
            </w:r>
          </w:p>
        </w:tc>
      </w:tr>
      <w:tr w:rsidR="00F11A89" w:rsidTr="009A2A56">
        <w:tc>
          <w:tcPr>
            <w:tcW w:w="9242" w:type="dxa"/>
            <w:gridSpan w:val="2"/>
            <w:shd w:val="clear" w:color="auto" w:fill="E5B8B7" w:themeFill="accent2" w:themeFillTint="66"/>
          </w:tcPr>
          <w:p w:rsidR="00F11A89" w:rsidRDefault="00F11A89" w:rsidP="00F11A89">
            <w:pPr>
              <w:spacing w:after="0" w:line="240" w:lineRule="auto"/>
              <w:jc w:val="center"/>
              <w:rPr>
                <w:rFonts w:asciiTheme="minorHAnsi" w:hAnsiTheme="minorHAnsi"/>
              </w:rPr>
            </w:pPr>
            <w:r w:rsidRPr="00F11A89">
              <w:rPr>
                <w:rFonts w:asciiTheme="minorHAnsi" w:hAnsiTheme="minorHAnsi"/>
                <w:b/>
              </w:rPr>
              <w:t>SECTION 2: LEGAL FRAMEWORK</w:t>
            </w:r>
          </w:p>
        </w:tc>
      </w:tr>
      <w:tr w:rsidR="00953B97" w:rsidTr="00D80024">
        <w:tc>
          <w:tcPr>
            <w:tcW w:w="6408" w:type="dxa"/>
          </w:tcPr>
          <w:p w:rsidR="00953B97" w:rsidRPr="00040826" w:rsidRDefault="00040826" w:rsidP="00040826">
            <w:pPr>
              <w:spacing w:after="0" w:line="240" w:lineRule="auto"/>
              <w:rPr>
                <w:rFonts w:asciiTheme="minorHAnsi" w:hAnsiTheme="minorHAnsi"/>
                <w:b/>
              </w:rPr>
            </w:pPr>
            <w:r w:rsidRPr="00040826">
              <w:rPr>
                <w:rFonts w:asciiTheme="minorHAnsi" w:hAnsiTheme="minorHAnsi"/>
                <w:b/>
              </w:rPr>
              <w:t>Review and analysis of laws pertaining to benefit sharing in Viet Nam</w:t>
            </w:r>
          </w:p>
        </w:tc>
        <w:tc>
          <w:tcPr>
            <w:tcW w:w="2834" w:type="dxa"/>
          </w:tcPr>
          <w:p w:rsidR="00953B97" w:rsidRDefault="00040826" w:rsidP="00D80024">
            <w:pPr>
              <w:spacing w:after="0" w:line="240" w:lineRule="auto"/>
              <w:rPr>
                <w:rFonts w:asciiTheme="minorHAnsi" w:hAnsiTheme="minorHAnsi"/>
              </w:rPr>
            </w:pPr>
            <w:r>
              <w:rPr>
                <w:rFonts w:asciiTheme="minorHAnsi" w:hAnsiTheme="minorHAnsi"/>
              </w:rPr>
              <w:t>Phuong, Hai, Phu, MoF specialist</w:t>
            </w:r>
          </w:p>
        </w:tc>
      </w:tr>
      <w:tr w:rsidR="00953B97" w:rsidTr="00D80024">
        <w:tc>
          <w:tcPr>
            <w:tcW w:w="6408" w:type="dxa"/>
          </w:tcPr>
          <w:p w:rsidR="00953B97" w:rsidRDefault="00040826" w:rsidP="00040826">
            <w:pPr>
              <w:spacing w:after="0" w:line="240" w:lineRule="auto"/>
              <w:ind w:left="450"/>
              <w:rPr>
                <w:rFonts w:asciiTheme="minorHAnsi" w:hAnsiTheme="minorHAnsi"/>
              </w:rPr>
            </w:pPr>
            <w:r>
              <w:rPr>
                <w:rFonts w:asciiTheme="minorHAnsi" w:hAnsiTheme="minorHAnsi"/>
              </w:rPr>
              <w:t>Implications for management of REDD revenues</w:t>
            </w:r>
          </w:p>
        </w:tc>
        <w:tc>
          <w:tcPr>
            <w:tcW w:w="2834" w:type="dxa"/>
          </w:tcPr>
          <w:p w:rsidR="00953B97" w:rsidRDefault="00040826" w:rsidP="00D80024">
            <w:pPr>
              <w:spacing w:after="0" w:line="240" w:lineRule="auto"/>
              <w:rPr>
                <w:rFonts w:asciiTheme="minorHAnsi" w:hAnsiTheme="minorHAnsi"/>
              </w:rPr>
            </w:pPr>
            <w:r>
              <w:rPr>
                <w:rFonts w:asciiTheme="minorHAnsi" w:hAnsiTheme="minorHAnsi"/>
              </w:rPr>
              <w:t>MoF specialist, Hai</w:t>
            </w:r>
          </w:p>
        </w:tc>
      </w:tr>
      <w:tr w:rsidR="00953B97" w:rsidTr="00D80024">
        <w:tc>
          <w:tcPr>
            <w:tcW w:w="6408" w:type="dxa"/>
          </w:tcPr>
          <w:p w:rsidR="00953B97" w:rsidRDefault="00040826" w:rsidP="00040826">
            <w:pPr>
              <w:spacing w:after="0" w:line="240" w:lineRule="auto"/>
              <w:ind w:left="450"/>
              <w:rPr>
                <w:rFonts w:asciiTheme="minorHAnsi" w:hAnsiTheme="minorHAnsi"/>
              </w:rPr>
            </w:pPr>
            <w:r>
              <w:rPr>
                <w:rFonts w:asciiTheme="minorHAnsi" w:hAnsiTheme="minorHAnsi"/>
              </w:rPr>
              <w:t>Implications for administration of REDD PDS</w:t>
            </w:r>
          </w:p>
        </w:tc>
        <w:tc>
          <w:tcPr>
            <w:tcW w:w="2834" w:type="dxa"/>
          </w:tcPr>
          <w:p w:rsidR="00953B97" w:rsidRDefault="00040826" w:rsidP="00D80024">
            <w:pPr>
              <w:spacing w:after="0" w:line="240" w:lineRule="auto"/>
              <w:rPr>
                <w:rFonts w:asciiTheme="minorHAnsi" w:hAnsiTheme="minorHAnsi"/>
              </w:rPr>
            </w:pPr>
            <w:r>
              <w:rPr>
                <w:rFonts w:asciiTheme="minorHAnsi" w:hAnsiTheme="minorHAnsi"/>
              </w:rPr>
              <w:t>Phuong, Phu, Hai</w:t>
            </w:r>
          </w:p>
        </w:tc>
      </w:tr>
      <w:tr w:rsidR="00953B97" w:rsidTr="00D80024">
        <w:tc>
          <w:tcPr>
            <w:tcW w:w="6408" w:type="dxa"/>
          </w:tcPr>
          <w:p w:rsidR="00953B97" w:rsidRPr="00040826" w:rsidRDefault="00040826" w:rsidP="00040826">
            <w:pPr>
              <w:spacing w:after="0" w:line="240" w:lineRule="auto"/>
              <w:rPr>
                <w:rFonts w:asciiTheme="minorHAnsi" w:hAnsiTheme="minorHAnsi"/>
                <w:b/>
              </w:rPr>
            </w:pPr>
            <w:r w:rsidRPr="00040826">
              <w:rPr>
                <w:rFonts w:asciiTheme="minorHAnsi" w:hAnsiTheme="minorHAnsi"/>
                <w:b/>
              </w:rPr>
              <w:t>International best practice on legal frameworks for benefit sharing</w:t>
            </w:r>
          </w:p>
        </w:tc>
        <w:tc>
          <w:tcPr>
            <w:tcW w:w="2834" w:type="dxa"/>
          </w:tcPr>
          <w:p w:rsidR="00953B97" w:rsidRDefault="00040826" w:rsidP="00D80024">
            <w:pPr>
              <w:spacing w:after="0" w:line="240" w:lineRule="auto"/>
              <w:rPr>
                <w:rFonts w:asciiTheme="minorHAnsi" w:hAnsiTheme="minorHAnsi"/>
              </w:rPr>
            </w:pPr>
            <w:r>
              <w:rPr>
                <w:rFonts w:asciiTheme="minorHAnsi" w:hAnsiTheme="minorHAnsi"/>
              </w:rPr>
              <w:t>Patricia</w:t>
            </w:r>
          </w:p>
        </w:tc>
      </w:tr>
      <w:tr w:rsidR="00040826" w:rsidTr="00D80024">
        <w:tc>
          <w:tcPr>
            <w:tcW w:w="6408" w:type="dxa"/>
          </w:tcPr>
          <w:p w:rsidR="00040826" w:rsidRPr="00040826" w:rsidRDefault="00040826" w:rsidP="006367E3">
            <w:pPr>
              <w:spacing w:after="0" w:line="240" w:lineRule="auto"/>
              <w:jc w:val="both"/>
              <w:rPr>
                <w:rFonts w:asciiTheme="minorHAnsi" w:hAnsiTheme="minorHAnsi"/>
                <w:b/>
              </w:rPr>
            </w:pPr>
            <w:r w:rsidRPr="00040826">
              <w:rPr>
                <w:rFonts w:asciiTheme="minorHAnsi" w:hAnsiTheme="minorHAnsi"/>
                <w:b/>
              </w:rPr>
              <w:t>Recommendations for modifications to legal framework for a REDD PDS, and workplan for implementation</w:t>
            </w:r>
          </w:p>
        </w:tc>
        <w:tc>
          <w:tcPr>
            <w:tcW w:w="2834" w:type="dxa"/>
          </w:tcPr>
          <w:p w:rsidR="00040826" w:rsidRDefault="00040826" w:rsidP="00D80024">
            <w:pPr>
              <w:spacing w:after="0" w:line="240" w:lineRule="auto"/>
              <w:rPr>
                <w:rFonts w:asciiTheme="minorHAnsi" w:hAnsiTheme="minorHAnsi"/>
              </w:rPr>
            </w:pPr>
            <w:r>
              <w:rPr>
                <w:rFonts w:asciiTheme="minorHAnsi" w:hAnsiTheme="minorHAnsi"/>
              </w:rPr>
              <w:t>Phuong, Hai, Phu, MoF specialist, Cuong</w:t>
            </w:r>
          </w:p>
        </w:tc>
      </w:tr>
      <w:tr w:rsidR="00F11A89" w:rsidTr="009037EA">
        <w:tc>
          <w:tcPr>
            <w:tcW w:w="9242" w:type="dxa"/>
            <w:gridSpan w:val="2"/>
            <w:shd w:val="clear" w:color="auto" w:fill="E5B8B7" w:themeFill="accent2" w:themeFillTint="66"/>
          </w:tcPr>
          <w:p w:rsidR="00F11A89" w:rsidRDefault="00F11A89" w:rsidP="00F11A89">
            <w:pPr>
              <w:spacing w:after="0" w:line="240" w:lineRule="auto"/>
              <w:jc w:val="center"/>
              <w:rPr>
                <w:rFonts w:asciiTheme="minorHAnsi" w:hAnsiTheme="minorHAnsi"/>
              </w:rPr>
            </w:pPr>
            <w:r w:rsidRPr="00F11A89">
              <w:rPr>
                <w:rFonts w:asciiTheme="minorHAnsi" w:hAnsiTheme="minorHAnsi"/>
                <w:b/>
              </w:rPr>
              <w:t>SECTION 3: INSTITUTIONAL FRAMEWORK</w:t>
            </w:r>
          </w:p>
        </w:tc>
      </w:tr>
      <w:tr w:rsidR="00040826" w:rsidTr="00D80024">
        <w:tc>
          <w:tcPr>
            <w:tcW w:w="6408" w:type="dxa"/>
          </w:tcPr>
          <w:p w:rsidR="00040826" w:rsidRPr="002D16ED" w:rsidRDefault="00040826" w:rsidP="002D16ED">
            <w:pPr>
              <w:spacing w:after="0" w:line="240" w:lineRule="auto"/>
              <w:rPr>
                <w:rFonts w:asciiTheme="minorHAnsi" w:hAnsiTheme="minorHAnsi"/>
                <w:b/>
              </w:rPr>
            </w:pPr>
            <w:r w:rsidRPr="002D16ED">
              <w:rPr>
                <w:rFonts w:asciiTheme="minorHAnsi" w:hAnsiTheme="minorHAnsi"/>
                <w:b/>
              </w:rPr>
              <w:t>Analysis of agencies and institutions responsible for forest management and socio-economic development planning in Viet Nam</w:t>
            </w:r>
          </w:p>
        </w:tc>
        <w:tc>
          <w:tcPr>
            <w:tcW w:w="2834" w:type="dxa"/>
          </w:tcPr>
          <w:p w:rsidR="00040826" w:rsidRDefault="00040826" w:rsidP="00D80024">
            <w:pPr>
              <w:spacing w:after="0" w:line="240" w:lineRule="auto"/>
              <w:rPr>
                <w:rFonts w:asciiTheme="minorHAnsi" w:hAnsiTheme="minorHAnsi"/>
              </w:rPr>
            </w:pPr>
            <w:r>
              <w:rPr>
                <w:rFonts w:asciiTheme="minorHAnsi" w:hAnsiTheme="minorHAnsi"/>
              </w:rPr>
              <w:t>Tan, Phu</w:t>
            </w:r>
            <w:r w:rsidR="00D80024">
              <w:rPr>
                <w:rFonts w:asciiTheme="minorHAnsi" w:hAnsiTheme="minorHAnsi"/>
              </w:rPr>
              <w:t>c</w:t>
            </w:r>
            <w:r w:rsidR="00363166">
              <w:rPr>
                <w:rFonts w:asciiTheme="minorHAnsi" w:hAnsiTheme="minorHAnsi"/>
              </w:rPr>
              <w:t>, Phu</w:t>
            </w:r>
          </w:p>
        </w:tc>
      </w:tr>
      <w:tr w:rsidR="00040826" w:rsidTr="00D80024">
        <w:tc>
          <w:tcPr>
            <w:tcW w:w="6408" w:type="dxa"/>
          </w:tcPr>
          <w:p w:rsidR="00040826" w:rsidRPr="00D80024" w:rsidRDefault="00D80024" w:rsidP="00D80024">
            <w:pPr>
              <w:spacing w:after="0" w:line="240" w:lineRule="auto"/>
              <w:rPr>
                <w:rFonts w:asciiTheme="minorHAnsi" w:hAnsiTheme="minorHAnsi"/>
                <w:b/>
              </w:rPr>
            </w:pPr>
            <w:r w:rsidRPr="00D80024">
              <w:rPr>
                <w:rFonts w:asciiTheme="minorHAnsi" w:hAnsiTheme="minorHAnsi"/>
                <w:b/>
              </w:rPr>
              <w:t>Attributes required for agencies and institutions administering payment distribution systems: international best practice</w:t>
            </w:r>
          </w:p>
        </w:tc>
        <w:tc>
          <w:tcPr>
            <w:tcW w:w="2834" w:type="dxa"/>
          </w:tcPr>
          <w:p w:rsidR="00040826" w:rsidRDefault="00D80024" w:rsidP="00D80024">
            <w:pPr>
              <w:spacing w:after="0" w:line="240" w:lineRule="auto"/>
              <w:rPr>
                <w:rFonts w:asciiTheme="minorHAnsi" w:hAnsiTheme="minorHAnsi"/>
              </w:rPr>
            </w:pPr>
            <w:r>
              <w:rPr>
                <w:rFonts w:asciiTheme="minorHAnsi" w:hAnsiTheme="minorHAnsi"/>
              </w:rPr>
              <w:t>Thomas, Patricia, Peter</w:t>
            </w:r>
          </w:p>
        </w:tc>
      </w:tr>
      <w:tr w:rsidR="00040826" w:rsidTr="00D80024">
        <w:tc>
          <w:tcPr>
            <w:tcW w:w="6408" w:type="dxa"/>
          </w:tcPr>
          <w:p w:rsidR="00040826" w:rsidRPr="00D80024" w:rsidRDefault="00D80024" w:rsidP="00D80024">
            <w:pPr>
              <w:spacing w:after="0" w:line="240" w:lineRule="auto"/>
              <w:rPr>
                <w:rFonts w:asciiTheme="minorHAnsi" w:hAnsiTheme="minorHAnsi"/>
                <w:b/>
              </w:rPr>
            </w:pPr>
            <w:r w:rsidRPr="00D80024">
              <w:rPr>
                <w:rFonts w:asciiTheme="minorHAnsi" w:hAnsiTheme="minorHAnsi"/>
                <w:b/>
              </w:rPr>
              <w:t>Recommendations for agencies and institutions to administer a Viet Nam REDD PDS; identification of institutional modifications required, and workplan for implementation</w:t>
            </w:r>
          </w:p>
        </w:tc>
        <w:tc>
          <w:tcPr>
            <w:tcW w:w="2834" w:type="dxa"/>
          </w:tcPr>
          <w:p w:rsidR="00040826" w:rsidRDefault="00D80024" w:rsidP="00D80024">
            <w:pPr>
              <w:spacing w:after="0" w:line="240" w:lineRule="auto"/>
              <w:rPr>
                <w:rFonts w:asciiTheme="minorHAnsi" w:hAnsiTheme="minorHAnsi"/>
              </w:rPr>
            </w:pPr>
            <w:r>
              <w:rPr>
                <w:rFonts w:asciiTheme="minorHAnsi" w:hAnsiTheme="minorHAnsi"/>
              </w:rPr>
              <w:t>Tan, Phuc, Thomas, Patricia, Peter, Phu</w:t>
            </w:r>
          </w:p>
        </w:tc>
      </w:tr>
      <w:tr w:rsidR="00F11A89" w:rsidTr="00E37D3F">
        <w:tc>
          <w:tcPr>
            <w:tcW w:w="9242" w:type="dxa"/>
            <w:gridSpan w:val="2"/>
            <w:shd w:val="clear" w:color="auto" w:fill="E5B8B7" w:themeFill="accent2" w:themeFillTint="66"/>
          </w:tcPr>
          <w:p w:rsidR="00F11A89" w:rsidRDefault="00F11A89" w:rsidP="00F11A89">
            <w:pPr>
              <w:spacing w:after="0" w:line="240" w:lineRule="auto"/>
              <w:jc w:val="center"/>
              <w:rPr>
                <w:rFonts w:asciiTheme="minorHAnsi" w:hAnsiTheme="minorHAnsi"/>
              </w:rPr>
            </w:pPr>
            <w:r w:rsidRPr="00F11A89">
              <w:rPr>
                <w:rFonts w:asciiTheme="minorHAnsi" w:hAnsiTheme="minorHAnsi"/>
                <w:b/>
              </w:rPr>
              <w:t>SECTION 4: COSTS AND RETAINED REVENUES</w:t>
            </w:r>
          </w:p>
        </w:tc>
      </w:tr>
      <w:tr w:rsidR="00040826" w:rsidTr="00D80024">
        <w:tc>
          <w:tcPr>
            <w:tcW w:w="6408" w:type="dxa"/>
          </w:tcPr>
          <w:p w:rsidR="00040826" w:rsidRPr="00D80024" w:rsidRDefault="00D80024" w:rsidP="00D80024">
            <w:pPr>
              <w:spacing w:after="0" w:line="240" w:lineRule="auto"/>
              <w:rPr>
                <w:rFonts w:asciiTheme="minorHAnsi" w:hAnsiTheme="minorHAnsi"/>
                <w:b/>
              </w:rPr>
            </w:pPr>
            <w:r w:rsidRPr="00D80024">
              <w:rPr>
                <w:rFonts w:asciiTheme="minorHAnsi" w:hAnsiTheme="minorHAnsi"/>
                <w:b/>
              </w:rPr>
              <w:t>Review and analysis of costs of administering PDS</w:t>
            </w:r>
          </w:p>
        </w:tc>
        <w:tc>
          <w:tcPr>
            <w:tcW w:w="2834" w:type="dxa"/>
          </w:tcPr>
          <w:p w:rsidR="00040826" w:rsidRDefault="00D80024" w:rsidP="00D80024">
            <w:pPr>
              <w:spacing w:after="0" w:line="240" w:lineRule="auto"/>
              <w:rPr>
                <w:rFonts w:asciiTheme="minorHAnsi" w:hAnsiTheme="minorHAnsi"/>
              </w:rPr>
            </w:pPr>
            <w:r>
              <w:rPr>
                <w:rFonts w:asciiTheme="minorHAnsi" w:hAnsiTheme="minorHAnsi"/>
              </w:rPr>
              <w:t>Thomas, Tan, Phuc, Peter, Lucy</w:t>
            </w:r>
            <w:r w:rsidR="00A90EDB">
              <w:rPr>
                <w:rFonts w:asciiTheme="minorHAnsi" w:hAnsiTheme="minorHAnsi"/>
              </w:rPr>
              <w:t>, Phu</w:t>
            </w:r>
          </w:p>
        </w:tc>
      </w:tr>
      <w:tr w:rsidR="00D80024" w:rsidTr="00D80024">
        <w:tc>
          <w:tcPr>
            <w:tcW w:w="6408" w:type="dxa"/>
          </w:tcPr>
          <w:p w:rsidR="00D80024" w:rsidRPr="00D80024" w:rsidRDefault="00D80024" w:rsidP="00D80024">
            <w:pPr>
              <w:spacing w:after="0" w:line="240" w:lineRule="auto"/>
              <w:rPr>
                <w:rFonts w:asciiTheme="minorHAnsi" w:hAnsiTheme="minorHAnsi"/>
                <w:b/>
              </w:rPr>
            </w:pPr>
            <w:r w:rsidRPr="00D80024">
              <w:rPr>
                <w:rFonts w:asciiTheme="minorHAnsi" w:hAnsiTheme="minorHAnsi"/>
                <w:b/>
              </w:rPr>
              <w:t xml:space="preserve">Recommendation of costs to be applied </w:t>
            </w:r>
            <w:r>
              <w:rPr>
                <w:rFonts w:asciiTheme="minorHAnsi" w:hAnsiTheme="minorHAnsi"/>
                <w:b/>
              </w:rPr>
              <w:t xml:space="preserve">(retained revenues) </w:t>
            </w:r>
            <w:r w:rsidRPr="00D80024">
              <w:rPr>
                <w:rFonts w:asciiTheme="minorHAnsi" w:hAnsiTheme="minorHAnsi"/>
                <w:b/>
              </w:rPr>
              <w:t>for administration of Viet Nam REDD PDS</w:t>
            </w:r>
          </w:p>
        </w:tc>
        <w:tc>
          <w:tcPr>
            <w:tcW w:w="2834" w:type="dxa"/>
          </w:tcPr>
          <w:p w:rsidR="00D80024" w:rsidRDefault="00D80024" w:rsidP="00D80024">
            <w:pPr>
              <w:spacing w:after="0" w:line="240" w:lineRule="auto"/>
              <w:rPr>
                <w:rFonts w:asciiTheme="minorHAnsi" w:hAnsiTheme="minorHAnsi"/>
              </w:rPr>
            </w:pPr>
            <w:r>
              <w:rPr>
                <w:rFonts w:asciiTheme="minorHAnsi" w:hAnsiTheme="minorHAnsi"/>
              </w:rPr>
              <w:t>Thomas, Tan, Phuc, Peter, Lucy</w:t>
            </w:r>
            <w:r w:rsidR="00A90EDB">
              <w:rPr>
                <w:rFonts w:asciiTheme="minorHAnsi" w:hAnsiTheme="minorHAnsi"/>
              </w:rPr>
              <w:t>, Phu</w:t>
            </w:r>
          </w:p>
        </w:tc>
      </w:tr>
      <w:tr w:rsidR="00F11A89" w:rsidTr="00F11A89">
        <w:tc>
          <w:tcPr>
            <w:tcW w:w="9242" w:type="dxa"/>
            <w:gridSpan w:val="2"/>
            <w:shd w:val="clear" w:color="auto" w:fill="E5B8B7" w:themeFill="accent2" w:themeFillTint="66"/>
          </w:tcPr>
          <w:p w:rsidR="00F11A89" w:rsidRDefault="00F11A89" w:rsidP="00F11A89">
            <w:pPr>
              <w:spacing w:after="0" w:line="240" w:lineRule="auto"/>
              <w:jc w:val="center"/>
              <w:rPr>
                <w:rFonts w:asciiTheme="minorHAnsi" w:hAnsiTheme="minorHAnsi"/>
              </w:rPr>
            </w:pPr>
            <w:r>
              <w:rPr>
                <w:rFonts w:asciiTheme="minorHAnsi" w:hAnsiTheme="minorHAnsi"/>
                <w:b/>
              </w:rPr>
              <w:t>SECTION 5: PAYMENT STRUCTURING</w:t>
            </w:r>
          </w:p>
        </w:tc>
      </w:tr>
      <w:tr w:rsidR="00D80024" w:rsidTr="00D80024">
        <w:tc>
          <w:tcPr>
            <w:tcW w:w="6408" w:type="dxa"/>
          </w:tcPr>
          <w:p w:rsidR="00D80024" w:rsidRPr="00D80024" w:rsidRDefault="00D80024" w:rsidP="00D80024">
            <w:pPr>
              <w:spacing w:after="0" w:line="240" w:lineRule="auto"/>
              <w:rPr>
                <w:rFonts w:asciiTheme="minorHAnsi" w:hAnsiTheme="minorHAnsi"/>
                <w:b/>
              </w:rPr>
            </w:pPr>
            <w:r>
              <w:rPr>
                <w:rFonts w:asciiTheme="minorHAnsi" w:hAnsiTheme="minorHAnsi"/>
                <w:b/>
              </w:rPr>
              <w:t xml:space="preserve">Experiences in payment structuring for payment systems in Viet </w:t>
            </w:r>
            <w:r>
              <w:rPr>
                <w:rFonts w:asciiTheme="minorHAnsi" w:hAnsiTheme="minorHAnsi"/>
                <w:b/>
              </w:rPr>
              <w:lastRenderedPageBreak/>
              <w:t>Nam</w:t>
            </w:r>
          </w:p>
        </w:tc>
        <w:tc>
          <w:tcPr>
            <w:tcW w:w="2834" w:type="dxa"/>
          </w:tcPr>
          <w:p w:rsidR="00D80024" w:rsidRDefault="00D80024" w:rsidP="00D80024">
            <w:pPr>
              <w:spacing w:after="0" w:line="240" w:lineRule="auto"/>
              <w:rPr>
                <w:rFonts w:asciiTheme="minorHAnsi" w:hAnsiTheme="minorHAnsi"/>
              </w:rPr>
            </w:pPr>
            <w:r>
              <w:rPr>
                <w:rFonts w:asciiTheme="minorHAnsi" w:hAnsiTheme="minorHAnsi"/>
              </w:rPr>
              <w:lastRenderedPageBreak/>
              <w:t xml:space="preserve">GTZ specialist, Thomas, Tan, </w:t>
            </w:r>
            <w:r>
              <w:rPr>
                <w:rFonts w:asciiTheme="minorHAnsi" w:hAnsiTheme="minorHAnsi"/>
              </w:rPr>
              <w:lastRenderedPageBreak/>
              <w:t>Phuc</w:t>
            </w:r>
            <w:r w:rsidR="00A90EDB">
              <w:rPr>
                <w:rFonts w:asciiTheme="minorHAnsi" w:hAnsiTheme="minorHAnsi"/>
              </w:rPr>
              <w:t>, Phu</w:t>
            </w:r>
          </w:p>
        </w:tc>
      </w:tr>
      <w:tr w:rsidR="00D80024" w:rsidTr="00D80024">
        <w:tc>
          <w:tcPr>
            <w:tcW w:w="6408" w:type="dxa"/>
          </w:tcPr>
          <w:p w:rsidR="00D80024" w:rsidRPr="00D80024" w:rsidRDefault="00894D3E" w:rsidP="00894D3E">
            <w:pPr>
              <w:spacing w:after="0" w:line="240" w:lineRule="auto"/>
              <w:rPr>
                <w:rFonts w:asciiTheme="minorHAnsi" w:hAnsiTheme="minorHAnsi"/>
                <w:b/>
              </w:rPr>
            </w:pPr>
            <w:r>
              <w:rPr>
                <w:rFonts w:asciiTheme="minorHAnsi" w:hAnsiTheme="minorHAnsi"/>
                <w:b/>
              </w:rPr>
              <w:lastRenderedPageBreak/>
              <w:t>Experiences in payment structuring: international best practice</w:t>
            </w:r>
          </w:p>
        </w:tc>
        <w:tc>
          <w:tcPr>
            <w:tcW w:w="2834" w:type="dxa"/>
          </w:tcPr>
          <w:p w:rsidR="00D80024" w:rsidRDefault="00894D3E" w:rsidP="00D80024">
            <w:pPr>
              <w:spacing w:after="0" w:line="240" w:lineRule="auto"/>
              <w:rPr>
                <w:rFonts w:asciiTheme="minorHAnsi" w:hAnsiTheme="minorHAnsi"/>
              </w:rPr>
            </w:pPr>
            <w:r>
              <w:rPr>
                <w:rFonts w:asciiTheme="minorHAnsi" w:hAnsiTheme="minorHAnsi"/>
              </w:rPr>
              <w:t>Lucy</w:t>
            </w:r>
          </w:p>
        </w:tc>
      </w:tr>
      <w:tr w:rsidR="00D80024" w:rsidTr="00D80024">
        <w:tc>
          <w:tcPr>
            <w:tcW w:w="6408" w:type="dxa"/>
          </w:tcPr>
          <w:p w:rsidR="00D80024" w:rsidRPr="00D80024" w:rsidRDefault="00F11A89" w:rsidP="00F11A89">
            <w:pPr>
              <w:spacing w:after="0" w:line="240" w:lineRule="auto"/>
              <w:rPr>
                <w:rFonts w:asciiTheme="minorHAnsi" w:hAnsiTheme="minorHAnsi"/>
                <w:b/>
              </w:rPr>
            </w:pPr>
            <w:r>
              <w:rPr>
                <w:rFonts w:asciiTheme="minorHAnsi" w:hAnsiTheme="minorHAnsi"/>
                <w:b/>
              </w:rPr>
              <w:t>Views and recommendations of ethnic minority and forest margin community representatives</w:t>
            </w:r>
          </w:p>
        </w:tc>
        <w:tc>
          <w:tcPr>
            <w:tcW w:w="2834" w:type="dxa"/>
          </w:tcPr>
          <w:p w:rsidR="00D80024" w:rsidRDefault="00F11A89" w:rsidP="00D80024">
            <w:pPr>
              <w:spacing w:after="0" w:line="240" w:lineRule="auto"/>
              <w:rPr>
                <w:rFonts w:asciiTheme="minorHAnsi" w:hAnsiTheme="minorHAnsi"/>
              </w:rPr>
            </w:pPr>
            <w:r>
              <w:rPr>
                <w:rFonts w:asciiTheme="minorHAnsi" w:hAnsiTheme="minorHAnsi"/>
              </w:rPr>
              <w:t>Tan, Phuc</w:t>
            </w:r>
            <w:r w:rsidR="00A90EDB">
              <w:rPr>
                <w:rFonts w:asciiTheme="minorHAnsi" w:hAnsiTheme="minorHAnsi"/>
              </w:rPr>
              <w:t>, GTZ representative</w:t>
            </w:r>
          </w:p>
        </w:tc>
      </w:tr>
      <w:tr w:rsidR="00A90EDB" w:rsidTr="00D80024">
        <w:tc>
          <w:tcPr>
            <w:tcW w:w="6408" w:type="dxa"/>
          </w:tcPr>
          <w:p w:rsidR="00A90EDB" w:rsidRDefault="00A90EDB" w:rsidP="00F11A89">
            <w:pPr>
              <w:spacing w:after="0" w:line="240" w:lineRule="auto"/>
              <w:rPr>
                <w:rFonts w:asciiTheme="minorHAnsi" w:hAnsiTheme="minorHAnsi"/>
                <w:b/>
              </w:rPr>
            </w:pPr>
            <w:r>
              <w:rPr>
                <w:rFonts w:asciiTheme="minorHAnsi" w:hAnsiTheme="minorHAnsi"/>
                <w:b/>
              </w:rPr>
              <w:t>Linking payments to performance: how performance can be measured at different levels of the payment chain</w:t>
            </w:r>
          </w:p>
        </w:tc>
        <w:tc>
          <w:tcPr>
            <w:tcW w:w="2834" w:type="dxa"/>
          </w:tcPr>
          <w:p w:rsidR="00A90EDB" w:rsidRDefault="00A90EDB" w:rsidP="00D80024">
            <w:pPr>
              <w:spacing w:after="0" w:line="240" w:lineRule="auto"/>
              <w:rPr>
                <w:rFonts w:asciiTheme="minorHAnsi" w:hAnsiTheme="minorHAnsi"/>
              </w:rPr>
            </w:pPr>
            <w:r>
              <w:rPr>
                <w:rFonts w:asciiTheme="minorHAnsi" w:hAnsiTheme="minorHAnsi"/>
              </w:rPr>
              <w:t>Lucy, Thomas, Peter, Tan</w:t>
            </w:r>
          </w:p>
        </w:tc>
      </w:tr>
      <w:tr w:rsidR="00A90EDB" w:rsidTr="00D80024">
        <w:tc>
          <w:tcPr>
            <w:tcW w:w="6408" w:type="dxa"/>
          </w:tcPr>
          <w:p w:rsidR="00A90EDB" w:rsidRPr="00D80024" w:rsidRDefault="00A90EDB" w:rsidP="00D80024">
            <w:pPr>
              <w:spacing w:after="0" w:line="240" w:lineRule="auto"/>
              <w:rPr>
                <w:rFonts w:asciiTheme="minorHAnsi" w:hAnsiTheme="minorHAnsi"/>
                <w:b/>
              </w:rPr>
            </w:pPr>
            <w:r>
              <w:rPr>
                <w:rFonts w:asciiTheme="minorHAnsi" w:hAnsiTheme="minorHAnsi"/>
                <w:b/>
              </w:rPr>
              <w:t>Recommendations for payment structuring in the Viet Nam REDD PDS, and workplan for finalization of payment structuring arrangements</w:t>
            </w:r>
          </w:p>
        </w:tc>
        <w:tc>
          <w:tcPr>
            <w:tcW w:w="2834" w:type="dxa"/>
          </w:tcPr>
          <w:p w:rsidR="00A90EDB" w:rsidRDefault="00A90EDB" w:rsidP="00086090">
            <w:pPr>
              <w:spacing w:after="0" w:line="240" w:lineRule="auto"/>
              <w:rPr>
                <w:rFonts w:asciiTheme="minorHAnsi" w:hAnsiTheme="minorHAnsi"/>
              </w:rPr>
            </w:pPr>
            <w:r>
              <w:rPr>
                <w:rFonts w:asciiTheme="minorHAnsi" w:hAnsiTheme="minorHAnsi"/>
              </w:rPr>
              <w:t xml:space="preserve">Tan, Phuc, </w:t>
            </w:r>
            <w:r>
              <w:rPr>
                <w:rFonts w:asciiTheme="minorHAnsi" w:hAnsiTheme="minorHAnsi"/>
              </w:rPr>
              <w:t xml:space="preserve">Lucy, </w:t>
            </w:r>
            <w:r>
              <w:rPr>
                <w:rFonts w:asciiTheme="minorHAnsi" w:hAnsiTheme="minorHAnsi"/>
              </w:rPr>
              <w:t>GTZ representative</w:t>
            </w:r>
            <w:r>
              <w:rPr>
                <w:rFonts w:asciiTheme="minorHAnsi" w:hAnsiTheme="minorHAnsi"/>
              </w:rPr>
              <w:t>, Thomas</w:t>
            </w:r>
            <w:r w:rsidR="00363166">
              <w:rPr>
                <w:rFonts w:asciiTheme="minorHAnsi" w:hAnsiTheme="minorHAnsi"/>
              </w:rPr>
              <w:t>, Phu</w:t>
            </w:r>
          </w:p>
        </w:tc>
      </w:tr>
      <w:tr w:rsidR="00A90EDB" w:rsidTr="00A90EDB">
        <w:tc>
          <w:tcPr>
            <w:tcW w:w="9242" w:type="dxa"/>
            <w:gridSpan w:val="2"/>
            <w:shd w:val="clear" w:color="auto" w:fill="E5B8B7" w:themeFill="accent2" w:themeFillTint="66"/>
          </w:tcPr>
          <w:p w:rsidR="00A90EDB" w:rsidRDefault="00A90EDB" w:rsidP="00A90EDB">
            <w:pPr>
              <w:spacing w:after="0" w:line="240" w:lineRule="auto"/>
              <w:jc w:val="center"/>
              <w:rPr>
                <w:rFonts w:asciiTheme="minorHAnsi" w:hAnsiTheme="minorHAnsi"/>
              </w:rPr>
            </w:pPr>
            <w:r>
              <w:rPr>
                <w:rFonts w:asciiTheme="minorHAnsi" w:hAnsiTheme="minorHAnsi"/>
                <w:b/>
              </w:rPr>
              <w:t>SECTION 6: MONITORING</w:t>
            </w:r>
          </w:p>
        </w:tc>
      </w:tr>
      <w:tr w:rsidR="00A90EDB" w:rsidTr="00D80024">
        <w:tc>
          <w:tcPr>
            <w:tcW w:w="6408" w:type="dxa"/>
          </w:tcPr>
          <w:p w:rsidR="00A90EDB" w:rsidRPr="00D80024" w:rsidRDefault="00A90EDB" w:rsidP="00D80024">
            <w:pPr>
              <w:spacing w:after="0" w:line="240" w:lineRule="auto"/>
              <w:rPr>
                <w:rFonts w:asciiTheme="minorHAnsi" w:hAnsiTheme="minorHAnsi"/>
                <w:b/>
              </w:rPr>
            </w:pPr>
            <w:r>
              <w:rPr>
                <w:rFonts w:asciiTheme="minorHAnsi" w:hAnsiTheme="minorHAnsi"/>
                <w:b/>
              </w:rPr>
              <w:t>The need for participatory monitoring of performance and options for methodologies</w:t>
            </w:r>
          </w:p>
        </w:tc>
        <w:tc>
          <w:tcPr>
            <w:tcW w:w="2834" w:type="dxa"/>
          </w:tcPr>
          <w:p w:rsidR="00A90EDB" w:rsidRDefault="00A90EDB" w:rsidP="00D80024">
            <w:pPr>
              <w:spacing w:after="0" w:line="240" w:lineRule="auto"/>
              <w:rPr>
                <w:rFonts w:asciiTheme="minorHAnsi" w:hAnsiTheme="minorHAnsi"/>
              </w:rPr>
            </w:pPr>
            <w:r>
              <w:rPr>
                <w:rFonts w:asciiTheme="minorHAnsi" w:hAnsiTheme="minorHAnsi"/>
              </w:rPr>
              <w:t>Peter, Tim</w:t>
            </w:r>
          </w:p>
        </w:tc>
      </w:tr>
      <w:tr w:rsidR="00A90EDB" w:rsidTr="00D80024">
        <w:tc>
          <w:tcPr>
            <w:tcW w:w="6408" w:type="dxa"/>
          </w:tcPr>
          <w:p w:rsidR="00A90EDB" w:rsidRPr="00D80024" w:rsidRDefault="00A90EDB" w:rsidP="00D80024">
            <w:pPr>
              <w:spacing w:after="0" w:line="240" w:lineRule="auto"/>
              <w:rPr>
                <w:rFonts w:asciiTheme="minorHAnsi" w:hAnsiTheme="minorHAnsi"/>
                <w:b/>
              </w:rPr>
            </w:pPr>
            <w:r>
              <w:rPr>
                <w:rFonts w:asciiTheme="minorHAnsi" w:hAnsiTheme="minorHAnsi"/>
                <w:b/>
              </w:rPr>
              <w:t>Linking performance to payments at all levels of the payment chain: needs and options</w:t>
            </w:r>
          </w:p>
        </w:tc>
        <w:tc>
          <w:tcPr>
            <w:tcW w:w="2834" w:type="dxa"/>
          </w:tcPr>
          <w:p w:rsidR="00A90EDB" w:rsidRDefault="00A90EDB" w:rsidP="00D80024">
            <w:pPr>
              <w:spacing w:after="0" w:line="240" w:lineRule="auto"/>
              <w:rPr>
                <w:rFonts w:asciiTheme="minorHAnsi" w:hAnsiTheme="minorHAnsi"/>
              </w:rPr>
            </w:pPr>
            <w:r>
              <w:rPr>
                <w:rFonts w:asciiTheme="minorHAnsi" w:hAnsiTheme="minorHAnsi"/>
              </w:rPr>
              <w:t>Peter, Lucy, Tim</w:t>
            </w:r>
          </w:p>
        </w:tc>
      </w:tr>
      <w:tr w:rsidR="00A90EDB" w:rsidTr="00D80024">
        <w:tc>
          <w:tcPr>
            <w:tcW w:w="6408" w:type="dxa"/>
          </w:tcPr>
          <w:p w:rsidR="00A90EDB" w:rsidRPr="00D80024" w:rsidRDefault="00A90EDB" w:rsidP="00D80024">
            <w:pPr>
              <w:spacing w:after="0" w:line="240" w:lineRule="auto"/>
              <w:rPr>
                <w:rFonts w:asciiTheme="minorHAnsi" w:hAnsiTheme="minorHAnsi"/>
                <w:b/>
              </w:rPr>
            </w:pPr>
            <w:r>
              <w:rPr>
                <w:rFonts w:asciiTheme="minorHAnsi" w:hAnsiTheme="minorHAnsi"/>
                <w:b/>
              </w:rPr>
              <w:t>Monitoring effectiveness and efficiency of the PDS system</w:t>
            </w:r>
          </w:p>
        </w:tc>
        <w:tc>
          <w:tcPr>
            <w:tcW w:w="2834" w:type="dxa"/>
          </w:tcPr>
          <w:p w:rsidR="00A90EDB" w:rsidRDefault="00A90EDB" w:rsidP="00D80024">
            <w:pPr>
              <w:spacing w:after="0" w:line="240" w:lineRule="auto"/>
              <w:rPr>
                <w:rFonts w:asciiTheme="minorHAnsi" w:hAnsiTheme="minorHAnsi"/>
              </w:rPr>
            </w:pPr>
            <w:r>
              <w:rPr>
                <w:rFonts w:asciiTheme="minorHAnsi" w:hAnsiTheme="minorHAnsi"/>
              </w:rPr>
              <w:t>Peter, Thomas</w:t>
            </w:r>
          </w:p>
        </w:tc>
      </w:tr>
      <w:tr w:rsidR="00A90EDB" w:rsidTr="00D80024">
        <w:tc>
          <w:tcPr>
            <w:tcW w:w="6408" w:type="dxa"/>
          </w:tcPr>
          <w:p w:rsidR="00A90EDB" w:rsidRPr="00D80024" w:rsidRDefault="00A90EDB" w:rsidP="00D80024">
            <w:pPr>
              <w:spacing w:after="0" w:line="240" w:lineRule="auto"/>
              <w:rPr>
                <w:rFonts w:asciiTheme="minorHAnsi" w:hAnsiTheme="minorHAnsi"/>
                <w:b/>
              </w:rPr>
            </w:pPr>
            <w:r>
              <w:rPr>
                <w:rFonts w:asciiTheme="minorHAnsi" w:hAnsiTheme="minorHAnsi"/>
                <w:b/>
              </w:rPr>
              <w:t>Building in safeguards: redress procedures and responsibilities</w:t>
            </w:r>
          </w:p>
        </w:tc>
        <w:tc>
          <w:tcPr>
            <w:tcW w:w="2834" w:type="dxa"/>
          </w:tcPr>
          <w:p w:rsidR="00A90EDB" w:rsidRDefault="00A90EDB" w:rsidP="00D80024">
            <w:pPr>
              <w:spacing w:after="0" w:line="240" w:lineRule="auto"/>
              <w:rPr>
                <w:rFonts w:asciiTheme="minorHAnsi" w:hAnsiTheme="minorHAnsi"/>
              </w:rPr>
            </w:pPr>
            <w:r>
              <w:rPr>
                <w:rFonts w:asciiTheme="minorHAnsi" w:hAnsiTheme="minorHAnsi"/>
              </w:rPr>
              <w:t>Thomas, Tan, Phuc</w:t>
            </w:r>
          </w:p>
        </w:tc>
      </w:tr>
      <w:tr w:rsidR="00A90EDB" w:rsidTr="00D80024">
        <w:tc>
          <w:tcPr>
            <w:tcW w:w="6408" w:type="dxa"/>
          </w:tcPr>
          <w:p w:rsidR="00A90EDB" w:rsidRPr="00D80024" w:rsidRDefault="00A90EDB" w:rsidP="00A90EDB">
            <w:pPr>
              <w:spacing w:after="0" w:line="240" w:lineRule="auto"/>
              <w:rPr>
                <w:rFonts w:asciiTheme="minorHAnsi" w:hAnsiTheme="minorHAnsi"/>
                <w:b/>
              </w:rPr>
            </w:pPr>
            <w:r>
              <w:rPr>
                <w:rFonts w:asciiTheme="minorHAnsi" w:hAnsiTheme="minorHAnsi"/>
                <w:b/>
              </w:rPr>
              <w:t xml:space="preserve">Recommendations for </w:t>
            </w:r>
            <w:r>
              <w:rPr>
                <w:rFonts w:asciiTheme="minorHAnsi" w:hAnsiTheme="minorHAnsi"/>
                <w:b/>
              </w:rPr>
              <w:t>monitoring</w:t>
            </w:r>
            <w:r>
              <w:rPr>
                <w:rFonts w:asciiTheme="minorHAnsi" w:hAnsiTheme="minorHAnsi"/>
                <w:b/>
              </w:rPr>
              <w:t xml:space="preserve"> in the Viet Nam REDD PDS, and workplan for </w:t>
            </w:r>
            <w:r>
              <w:rPr>
                <w:rFonts w:asciiTheme="minorHAnsi" w:hAnsiTheme="minorHAnsi"/>
                <w:b/>
              </w:rPr>
              <w:t>implementation of institutional and policy changes</w:t>
            </w:r>
          </w:p>
        </w:tc>
        <w:tc>
          <w:tcPr>
            <w:tcW w:w="2834" w:type="dxa"/>
          </w:tcPr>
          <w:p w:rsidR="00A90EDB" w:rsidRDefault="00A90EDB" w:rsidP="00D80024">
            <w:pPr>
              <w:spacing w:after="0" w:line="240" w:lineRule="auto"/>
              <w:rPr>
                <w:rFonts w:asciiTheme="minorHAnsi" w:hAnsiTheme="minorHAnsi"/>
              </w:rPr>
            </w:pPr>
            <w:r>
              <w:rPr>
                <w:rFonts w:asciiTheme="minorHAnsi" w:hAnsiTheme="minorHAnsi"/>
              </w:rPr>
              <w:t>Peter, Thomas, Lucy, Tan, Phuc</w:t>
            </w:r>
          </w:p>
        </w:tc>
      </w:tr>
      <w:tr w:rsidR="00A90EDB" w:rsidTr="00A90EDB">
        <w:tc>
          <w:tcPr>
            <w:tcW w:w="9242" w:type="dxa"/>
            <w:gridSpan w:val="2"/>
            <w:shd w:val="clear" w:color="auto" w:fill="E5B8B7" w:themeFill="accent2" w:themeFillTint="66"/>
          </w:tcPr>
          <w:p w:rsidR="00A90EDB" w:rsidRDefault="00A90EDB" w:rsidP="00A90EDB">
            <w:pPr>
              <w:spacing w:after="0" w:line="240" w:lineRule="auto"/>
              <w:jc w:val="center"/>
              <w:rPr>
                <w:rFonts w:asciiTheme="minorHAnsi" w:hAnsiTheme="minorHAnsi"/>
              </w:rPr>
            </w:pPr>
            <w:r>
              <w:rPr>
                <w:rFonts w:asciiTheme="minorHAnsi" w:hAnsiTheme="minorHAnsi"/>
                <w:b/>
              </w:rPr>
              <w:t>SECTION 7: SUMMARY AND CONCLUSIONS</w:t>
            </w:r>
          </w:p>
        </w:tc>
      </w:tr>
      <w:tr w:rsidR="00A90EDB" w:rsidTr="00D80024">
        <w:tc>
          <w:tcPr>
            <w:tcW w:w="6408" w:type="dxa"/>
          </w:tcPr>
          <w:p w:rsidR="00A90EDB" w:rsidRPr="00D80024" w:rsidRDefault="00A90EDB" w:rsidP="00D80024">
            <w:pPr>
              <w:spacing w:after="0" w:line="240" w:lineRule="auto"/>
              <w:rPr>
                <w:rFonts w:asciiTheme="minorHAnsi" w:hAnsiTheme="minorHAnsi"/>
                <w:b/>
              </w:rPr>
            </w:pPr>
            <w:r>
              <w:rPr>
                <w:rFonts w:asciiTheme="minorHAnsi" w:hAnsiTheme="minorHAnsi"/>
                <w:b/>
              </w:rPr>
              <w:t>How the Viet Nam PDS system might work</w:t>
            </w:r>
          </w:p>
        </w:tc>
        <w:tc>
          <w:tcPr>
            <w:tcW w:w="2834" w:type="dxa"/>
          </w:tcPr>
          <w:p w:rsidR="00A90EDB" w:rsidRDefault="00A90EDB" w:rsidP="00D80024">
            <w:pPr>
              <w:spacing w:after="0" w:line="240" w:lineRule="auto"/>
              <w:rPr>
                <w:rFonts w:asciiTheme="minorHAnsi" w:hAnsiTheme="minorHAnsi"/>
              </w:rPr>
            </w:pPr>
            <w:r>
              <w:rPr>
                <w:rFonts w:asciiTheme="minorHAnsi" w:hAnsiTheme="minorHAnsi"/>
              </w:rPr>
              <w:t>Thoa, Cuong, Phu, Tim, Peter, Thomas</w:t>
            </w:r>
          </w:p>
        </w:tc>
      </w:tr>
      <w:tr w:rsidR="00363166" w:rsidTr="00D80024">
        <w:tc>
          <w:tcPr>
            <w:tcW w:w="6408" w:type="dxa"/>
          </w:tcPr>
          <w:p w:rsidR="00363166" w:rsidRPr="00D80024" w:rsidRDefault="00363166" w:rsidP="00D80024">
            <w:pPr>
              <w:spacing w:after="0" w:line="240" w:lineRule="auto"/>
              <w:rPr>
                <w:rFonts w:asciiTheme="minorHAnsi" w:hAnsiTheme="minorHAnsi"/>
                <w:b/>
              </w:rPr>
            </w:pPr>
            <w:r>
              <w:rPr>
                <w:rFonts w:asciiTheme="minorHAnsi" w:hAnsiTheme="minorHAnsi"/>
                <w:b/>
              </w:rPr>
              <w:t>Overall workplan for implementation of required legal, policy, and institutional changes to implement a Viet Nam REDD PDS</w:t>
            </w:r>
          </w:p>
        </w:tc>
        <w:tc>
          <w:tcPr>
            <w:tcW w:w="2834" w:type="dxa"/>
          </w:tcPr>
          <w:p w:rsidR="00363166" w:rsidRDefault="00363166" w:rsidP="00086090">
            <w:pPr>
              <w:spacing w:after="0" w:line="240" w:lineRule="auto"/>
              <w:rPr>
                <w:rFonts w:asciiTheme="minorHAnsi" w:hAnsiTheme="minorHAnsi"/>
              </w:rPr>
            </w:pPr>
            <w:r>
              <w:rPr>
                <w:rFonts w:asciiTheme="minorHAnsi" w:hAnsiTheme="minorHAnsi"/>
              </w:rPr>
              <w:t>Thoa, Cuong, Phu, Tim, Peter, Thomas</w:t>
            </w:r>
          </w:p>
        </w:tc>
      </w:tr>
    </w:tbl>
    <w:p w:rsidR="00953B97" w:rsidRDefault="00953B97" w:rsidP="006367E3">
      <w:pPr>
        <w:spacing w:after="0" w:line="240" w:lineRule="auto"/>
        <w:jc w:val="both"/>
        <w:rPr>
          <w:rFonts w:asciiTheme="minorHAnsi" w:hAnsiTheme="minorHAnsi"/>
        </w:rPr>
      </w:pPr>
    </w:p>
    <w:sectPr w:rsidR="00953B97" w:rsidSect="00BA3DC6">
      <w:headerReference w:type="default" r:id="rId9"/>
      <w:footerReference w:type="default" r:id="rId10"/>
      <w:footerReference w:type="first" r:id="rId11"/>
      <w:pgSz w:w="11906" w:h="16838"/>
      <w:pgMar w:top="1418"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8BF" w:rsidRDefault="00E078BF" w:rsidP="004B38FA">
      <w:pPr>
        <w:spacing w:after="0" w:line="240" w:lineRule="auto"/>
      </w:pPr>
      <w:r>
        <w:separator/>
      </w:r>
    </w:p>
  </w:endnote>
  <w:endnote w:type="continuationSeparator" w:id="0">
    <w:p w:rsidR="00E078BF" w:rsidRDefault="00E078BF" w:rsidP="004B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FrutigerLT-Roman">
    <w:panose1 w:val="00000000000000000000"/>
    <w:charset w:val="00"/>
    <w:family w:val="swiss"/>
    <w:notTrueType/>
    <w:pitch w:val="default"/>
    <w:sig w:usb0="00000003" w:usb1="00000000" w:usb2="00000000" w:usb3="00000000" w:csb0="00000001" w:csb1="00000000"/>
  </w:font>
  <w:font w:name="Franklin Gothic Book">
    <w:altName w:val="Franklin Gothic Medium"/>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A2" w:rsidRPr="00611AA2" w:rsidRDefault="00671FA2" w:rsidP="001C22A4">
    <w:pPr>
      <w:pStyle w:val="Footer"/>
      <w:jc w:val="center"/>
      <w:rPr>
        <w:sz w:val="16"/>
        <w:szCs w:val="16"/>
      </w:rPr>
    </w:pPr>
    <w:r w:rsidRPr="00611AA2">
      <w:rPr>
        <w:sz w:val="16"/>
        <w:szCs w:val="16"/>
      </w:rPr>
      <w:t xml:space="preserve"> </w:t>
    </w:r>
  </w:p>
  <w:p w:rsidR="00671FA2" w:rsidRDefault="00671FA2" w:rsidP="001C22A4">
    <w:pPr>
      <w:pStyle w:val="Footer"/>
      <w:jc w:val="center"/>
    </w:pPr>
    <w:r>
      <w:tab/>
    </w:r>
    <w:r>
      <w:tab/>
    </w:r>
    <w:r w:rsidRPr="001C22A4">
      <w:rPr>
        <w:sz w:val="20"/>
        <w:szCs w:val="20"/>
      </w:rPr>
      <w:t xml:space="preserve">Page | </w:t>
    </w:r>
    <w:r w:rsidR="008707ED" w:rsidRPr="001C22A4">
      <w:rPr>
        <w:sz w:val="20"/>
        <w:szCs w:val="20"/>
      </w:rPr>
      <w:fldChar w:fldCharType="begin"/>
    </w:r>
    <w:r w:rsidRPr="001C22A4">
      <w:rPr>
        <w:sz w:val="20"/>
        <w:szCs w:val="20"/>
      </w:rPr>
      <w:instrText xml:space="preserve"> PAGE   \* MERGEFORMAT </w:instrText>
    </w:r>
    <w:r w:rsidR="008707ED" w:rsidRPr="001C22A4">
      <w:rPr>
        <w:sz w:val="20"/>
        <w:szCs w:val="20"/>
      </w:rPr>
      <w:fldChar w:fldCharType="separate"/>
    </w:r>
    <w:r w:rsidR="00363166">
      <w:rPr>
        <w:noProof/>
        <w:sz w:val="20"/>
        <w:szCs w:val="20"/>
      </w:rPr>
      <w:t>3</w:t>
    </w:r>
    <w:r w:rsidR="008707ED" w:rsidRPr="001C22A4">
      <w:rPr>
        <w:sz w:val="20"/>
        <w:szCs w:val="2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A2" w:rsidRPr="00611AA2" w:rsidRDefault="00671FA2" w:rsidP="00611AA2">
    <w:pPr>
      <w:pStyle w:val="Footer"/>
      <w:jc w:val="center"/>
      <w:rPr>
        <w:sz w:val="16"/>
        <w:szCs w:val="16"/>
      </w:rPr>
    </w:pPr>
  </w:p>
  <w:p w:rsidR="00671FA2" w:rsidRPr="00E30015" w:rsidRDefault="009823A1" w:rsidP="00611AA2">
    <w:pPr>
      <w:pStyle w:val="Footer"/>
      <w:jc w:val="center"/>
    </w:pPr>
    <w:r>
      <w:rPr>
        <w:noProof/>
        <w:lang w:val="en-US"/>
      </w:rPr>
      <w:drawing>
        <wp:inline distT="0" distB="0" distL="0" distR="0">
          <wp:extent cx="1390650" cy="552450"/>
          <wp:effectExtent l="19050" t="0" r="0" b="0"/>
          <wp:docPr id="3" name="Picture 3" descr="FAO,UNEP and UND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O,UNEP and UNDP logos"/>
                  <pic:cNvPicPr>
                    <a:picLocks noChangeAspect="1" noChangeArrowheads="1"/>
                  </pic:cNvPicPr>
                </pic:nvPicPr>
                <pic:blipFill>
                  <a:blip r:embed="rId1"/>
                  <a:srcRect/>
                  <a:stretch>
                    <a:fillRect/>
                  </a:stretch>
                </pic:blipFill>
                <pic:spPr bwMode="auto">
                  <a:xfrm>
                    <a:off x="0" y="0"/>
                    <a:ext cx="1390650" cy="552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8BF" w:rsidRDefault="00E078BF" w:rsidP="004B38FA">
      <w:pPr>
        <w:spacing w:after="0" w:line="240" w:lineRule="auto"/>
      </w:pPr>
      <w:r>
        <w:separator/>
      </w:r>
    </w:p>
  </w:footnote>
  <w:footnote w:type="continuationSeparator" w:id="0">
    <w:p w:rsidR="00E078BF" w:rsidRDefault="00E078BF" w:rsidP="004B3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FA2" w:rsidRPr="00213097" w:rsidRDefault="008707ED" w:rsidP="00AE3A58">
    <w:pPr>
      <w:pStyle w:val="Header"/>
      <w:pBdr>
        <w:bottom w:val="single" w:sz="4" w:space="6" w:color="auto"/>
      </w:pBdr>
      <w:jc w:val="right"/>
      <w:rPr>
        <w:color w:val="4F81BD"/>
      </w:rPr>
    </w:pPr>
    <w:r w:rsidRPr="008707ED">
      <w:rPr>
        <w:noProof/>
        <w:color w:val="4F81BD"/>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BD3193">
      <w:rPr>
        <w:color w:val="4F81BD"/>
      </w:rPr>
      <w:t>Viet Nam Benefits Payment System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7A9"/>
    <w:multiLevelType w:val="hybridMultilevel"/>
    <w:tmpl w:val="F75E63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0521D"/>
    <w:multiLevelType w:val="hybridMultilevel"/>
    <w:tmpl w:val="BBC2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3492A"/>
    <w:multiLevelType w:val="hybridMultilevel"/>
    <w:tmpl w:val="3732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A5F35"/>
    <w:multiLevelType w:val="hybridMultilevel"/>
    <w:tmpl w:val="89D68024"/>
    <w:lvl w:ilvl="0" w:tplc="6380C18C">
      <w:start w:val="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3261C9"/>
    <w:multiLevelType w:val="hybridMultilevel"/>
    <w:tmpl w:val="CEA0804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2196E18"/>
    <w:multiLevelType w:val="hybridMultilevel"/>
    <w:tmpl w:val="AF943A52"/>
    <w:lvl w:ilvl="0" w:tplc="6D804B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6A28BB"/>
    <w:multiLevelType w:val="hybridMultilevel"/>
    <w:tmpl w:val="96E4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5402F"/>
    <w:multiLevelType w:val="hybridMultilevel"/>
    <w:tmpl w:val="0830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4750C"/>
    <w:multiLevelType w:val="hybridMultilevel"/>
    <w:tmpl w:val="362CB3AE"/>
    <w:lvl w:ilvl="0" w:tplc="4BA4564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774C7"/>
    <w:multiLevelType w:val="hybridMultilevel"/>
    <w:tmpl w:val="800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D0B9B"/>
    <w:multiLevelType w:val="hybridMultilevel"/>
    <w:tmpl w:val="B13E3F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61D79"/>
    <w:multiLevelType w:val="hybridMultilevel"/>
    <w:tmpl w:val="E916AAE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D1F0624"/>
    <w:multiLevelType w:val="multilevel"/>
    <w:tmpl w:val="A0F8DD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6B08D8"/>
    <w:multiLevelType w:val="hybridMultilevel"/>
    <w:tmpl w:val="AF6E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72BB9"/>
    <w:multiLevelType w:val="hybridMultilevel"/>
    <w:tmpl w:val="61EAD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B1A47"/>
    <w:multiLevelType w:val="hybridMultilevel"/>
    <w:tmpl w:val="BD6686FC"/>
    <w:lvl w:ilvl="0" w:tplc="1C4C1118">
      <w:start w:val="1"/>
      <w:numFmt w:val="bullet"/>
      <w:lvlText w:val="•"/>
      <w:lvlJc w:val="left"/>
      <w:pPr>
        <w:tabs>
          <w:tab w:val="num" w:pos="720"/>
        </w:tabs>
        <w:ind w:left="720" w:hanging="360"/>
      </w:pPr>
      <w:rPr>
        <w:rFonts w:ascii="Arial" w:hAnsi="Arial" w:hint="default"/>
      </w:rPr>
    </w:lvl>
    <w:lvl w:ilvl="1" w:tplc="15362B28" w:tentative="1">
      <w:start w:val="1"/>
      <w:numFmt w:val="bullet"/>
      <w:lvlText w:val="•"/>
      <w:lvlJc w:val="left"/>
      <w:pPr>
        <w:tabs>
          <w:tab w:val="num" w:pos="1440"/>
        </w:tabs>
        <w:ind w:left="1440" w:hanging="360"/>
      </w:pPr>
      <w:rPr>
        <w:rFonts w:ascii="Arial" w:hAnsi="Arial" w:hint="default"/>
      </w:rPr>
    </w:lvl>
    <w:lvl w:ilvl="2" w:tplc="0E96F586" w:tentative="1">
      <w:start w:val="1"/>
      <w:numFmt w:val="bullet"/>
      <w:lvlText w:val="•"/>
      <w:lvlJc w:val="left"/>
      <w:pPr>
        <w:tabs>
          <w:tab w:val="num" w:pos="2160"/>
        </w:tabs>
        <w:ind w:left="2160" w:hanging="360"/>
      </w:pPr>
      <w:rPr>
        <w:rFonts w:ascii="Arial" w:hAnsi="Arial" w:hint="default"/>
      </w:rPr>
    </w:lvl>
    <w:lvl w:ilvl="3" w:tplc="E11804A8" w:tentative="1">
      <w:start w:val="1"/>
      <w:numFmt w:val="bullet"/>
      <w:lvlText w:val="•"/>
      <w:lvlJc w:val="left"/>
      <w:pPr>
        <w:tabs>
          <w:tab w:val="num" w:pos="2880"/>
        </w:tabs>
        <w:ind w:left="2880" w:hanging="360"/>
      </w:pPr>
      <w:rPr>
        <w:rFonts w:ascii="Arial" w:hAnsi="Arial" w:hint="default"/>
      </w:rPr>
    </w:lvl>
    <w:lvl w:ilvl="4" w:tplc="E45AEE10" w:tentative="1">
      <w:start w:val="1"/>
      <w:numFmt w:val="bullet"/>
      <w:lvlText w:val="•"/>
      <w:lvlJc w:val="left"/>
      <w:pPr>
        <w:tabs>
          <w:tab w:val="num" w:pos="3600"/>
        </w:tabs>
        <w:ind w:left="3600" w:hanging="360"/>
      </w:pPr>
      <w:rPr>
        <w:rFonts w:ascii="Arial" w:hAnsi="Arial" w:hint="default"/>
      </w:rPr>
    </w:lvl>
    <w:lvl w:ilvl="5" w:tplc="7DC0C09A" w:tentative="1">
      <w:start w:val="1"/>
      <w:numFmt w:val="bullet"/>
      <w:lvlText w:val="•"/>
      <w:lvlJc w:val="left"/>
      <w:pPr>
        <w:tabs>
          <w:tab w:val="num" w:pos="4320"/>
        </w:tabs>
        <w:ind w:left="4320" w:hanging="360"/>
      </w:pPr>
      <w:rPr>
        <w:rFonts w:ascii="Arial" w:hAnsi="Arial" w:hint="default"/>
      </w:rPr>
    </w:lvl>
    <w:lvl w:ilvl="6" w:tplc="745A40DA" w:tentative="1">
      <w:start w:val="1"/>
      <w:numFmt w:val="bullet"/>
      <w:lvlText w:val="•"/>
      <w:lvlJc w:val="left"/>
      <w:pPr>
        <w:tabs>
          <w:tab w:val="num" w:pos="5040"/>
        </w:tabs>
        <w:ind w:left="5040" w:hanging="360"/>
      </w:pPr>
      <w:rPr>
        <w:rFonts w:ascii="Arial" w:hAnsi="Arial" w:hint="default"/>
      </w:rPr>
    </w:lvl>
    <w:lvl w:ilvl="7" w:tplc="466AA4A2" w:tentative="1">
      <w:start w:val="1"/>
      <w:numFmt w:val="bullet"/>
      <w:lvlText w:val="•"/>
      <w:lvlJc w:val="left"/>
      <w:pPr>
        <w:tabs>
          <w:tab w:val="num" w:pos="5760"/>
        </w:tabs>
        <w:ind w:left="5760" w:hanging="360"/>
      </w:pPr>
      <w:rPr>
        <w:rFonts w:ascii="Arial" w:hAnsi="Arial" w:hint="default"/>
      </w:rPr>
    </w:lvl>
    <w:lvl w:ilvl="8" w:tplc="792E5DEC" w:tentative="1">
      <w:start w:val="1"/>
      <w:numFmt w:val="bullet"/>
      <w:lvlText w:val="•"/>
      <w:lvlJc w:val="left"/>
      <w:pPr>
        <w:tabs>
          <w:tab w:val="num" w:pos="6480"/>
        </w:tabs>
        <w:ind w:left="6480" w:hanging="360"/>
      </w:pPr>
      <w:rPr>
        <w:rFonts w:ascii="Arial" w:hAnsi="Arial" w:hint="default"/>
      </w:rPr>
    </w:lvl>
  </w:abstractNum>
  <w:abstractNum w:abstractNumId="16">
    <w:nsid w:val="4FF068E3"/>
    <w:multiLevelType w:val="hybridMultilevel"/>
    <w:tmpl w:val="B76082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DD4B33"/>
    <w:multiLevelType w:val="hybridMultilevel"/>
    <w:tmpl w:val="30547518"/>
    <w:lvl w:ilvl="0" w:tplc="BEE61E98">
      <w:start w:val="1"/>
      <w:numFmt w:val="decimal"/>
      <w:lvlText w:val="%1."/>
      <w:lvlJc w:val="left"/>
      <w:pPr>
        <w:tabs>
          <w:tab w:val="num" w:pos="720"/>
        </w:tabs>
        <w:ind w:left="720" w:hanging="360"/>
      </w:pPr>
    </w:lvl>
    <w:lvl w:ilvl="1" w:tplc="ED5A28E0" w:tentative="1">
      <w:start w:val="1"/>
      <w:numFmt w:val="decimal"/>
      <w:lvlText w:val="%2."/>
      <w:lvlJc w:val="left"/>
      <w:pPr>
        <w:tabs>
          <w:tab w:val="num" w:pos="1440"/>
        </w:tabs>
        <w:ind w:left="1440" w:hanging="360"/>
      </w:pPr>
    </w:lvl>
    <w:lvl w:ilvl="2" w:tplc="600C1AA0" w:tentative="1">
      <w:start w:val="1"/>
      <w:numFmt w:val="decimal"/>
      <w:lvlText w:val="%3."/>
      <w:lvlJc w:val="left"/>
      <w:pPr>
        <w:tabs>
          <w:tab w:val="num" w:pos="2160"/>
        </w:tabs>
        <w:ind w:left="2160" w:hanging="360"/>
      </w:pPr>
    </w:lvl>
    <w:lvl w:ilvl="3" w:tplc="EFF42484" w:tentative="1">
      <w:start w:val="1"/>
      <w:numFmt w:val="decimal"/>
      <w:lvlText w:val="%4."/>
      <w:lvlJc w:val="left"/>
      <w:pPr>
        <w:tabs>
          <w:tab w:val="num" w:pos="2880"/>
        </w:tabs>
        <w:ind w:left="2880" w:hanging="360"/>
      </w:pPr>
    </w:lvl>
    <w:lvl w:ilvl="4" w:tplc="50789FF8" w:tentative="1">
      <w:start w:val="1"/>
      <w:numFmt w:val="decimal"/>
      <w:lvlText w:val="%5."/>
      <w:lvlJc w:val="left"/>
      <w:pPr>
        <w:tabs>
          <w:tab w:val="num" w:pos="3600"/>
        </w:tabs>
        <w:ind w:left="3600" w:hanging="360"/>
      </w:pPr>
    </w:lvl>
    <w:lvl w:ilvl="5" w:tplc="9774C2CC" w:tentative="1">
      <w:start w:val="1"/>
      <w:numFmt w:val="decimal"/>
      <w:lvlText w:val="%6."/>
      <w:lvlJc w:val="left"/>
      <w:pPr>
        <w:tabs>
          <w:tab w:val="num" w:pos="4320"/>
        </w:tabs>
        <w:ind w:left="4320" w:hanging="360"/>
      </w:pPr>
    </w:lvl>
    <w:lvl w:ilvl="6" w:tplc="91C0135A" w:tentative="1">
      <w:start w:val="1"/>
      <w:numFmt w:val="decimal"/>
      <w:lvlText w:val="%7."/>
      <w:lvlJc w:val="left"/>
      <w:pPr>
        <w:tabs>
          <w:tab w:val="num" w:pos="5040"/>
        </w:tabs>
        <w:ind w:left="5040" w:hanging="360"/>
      </w:pPr>
    </w:lvl>
    <w:lvl w:ilvl="7" w:tplc="B5505BC8" w:tentative="1">
      <w:start w:val="1"/>
      <w:numFmt w:val="decimal"/>
      <w:lvlText w:val="%8."/>
      <w:lvlJc w:val="left"/>
      <w:pPr>
        <w:tabs>
          <w:tab w:val="num" w:pos="5760"/>
        </w:tabs>
        <w:ind w:left="5760" w:hanging="360"/>
      </w:pPr>
    </w:lvl>
    <w:lvl w:ilvl="8" w:tplc="69FA0146" w:tentative="1">
      <w:start w:val="1"/>
      <w:numFmt w:val="decimal"/>
      <w:lvlText w:val="%9."/>
      <w:lvlJc w:val="left"/>
      <w:pPr>
        <w:tabs>
          <w:tab w:val="num" w:pos="6480"/>
        </w:tabs>
        <w:ind w:left="6480" w:hanging="360"/>
      </w:pPr>
    </w:lvl>
  </w:abstractNum>
  <w:abstractNum w:abstractNumId="18">
    <w:nsid w:val="56AF3F44"/>
    <w:multiLevelType w:val="hybridMultilevel"/>
    <w:tmpl w:val="AED6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043F20"/>
    <w:multiLevelType w:val="hybridMultilevel"/>
    <w:tmpl w:val="362CB3AE"/>
    <w:lvl w:ilvl="0" w:tplc="4BA4564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85A5B"/>
    <w:multiLevelType w:val="hybridMultilevel"/>
    <w:tmpl w:val="6284E8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4A5B25"/>
    <w:multiLevelType w:val="hybridMultilevel"/>
    <w:tmpl w:val="E27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AE38D6"/>
    <w:multiLevelType w:val="hybridMultilevel"/>
    <w:tmpl w:val="31B417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5C3B99"/>
    <w:multiLevelType w:val="hybridMultilevel"/>
    <w:tmpl w:val="2690CC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0"/>
  </w:num>
  <w:num w:numId="5">
    <w:abstractNumId w:val="1"/>
  </w:num>
  <w:num w:numId="6">
    <w:abstractNumId w:val="3"/>
  </w:num>
  <w:num w:numId="7">
    <w:abstractNumId w:val="19"/>
  </w:num>
  <w:num w:numId="8">
    <w:abstractNumId w:val="12"/>
  </w:num>
  <w:num w:numId="9">
    <w:abstractNumId w:val="13"/>
  </w:num>
  <w:num w:numId="10">
    <w:abstractNumId w:val="18"/>
  </w:num>
  <w:num w:numId="11">
    <w:abstractNumId w:val="23"/>
  </w:num>
  <w:num w:numId="12">
    <w:abstractNumId w:val="21"/>
  </w:num>
  <w:num w:numId="13">
    <w:abstractNumId w:val="7"/>
  </w:num>
  <w:num w:numId="14">
    <w:abstractNumId w:val="9"/>
  </w:num>
  <w:num w:numId="15">
    <w:abstractNumId w:val="15"/>
  </w:num>
  <w:num w:numId="16">
    <w:abstractNumId w:val="17"/>
  </w:num>
  <w:num w:numId="17">
    <w:abstractNumId w:val="5"/>
  </w:num>
  <w:num w:numId="18">
    <w:abstractNumId w:val="4"/>
  </w:num>
  <w:num w:numId="19">
    <w:abstractNumId w:val="11"/>
  </w:num>
  <w:num w:numId="20">
    <w:abstractNumId w:val="2"/>
  </w:num>
  <w:num w:numId="21">
    <w:abstractNumId w:val="20"/>
  </w:num>
  <w:num w:numId="22">
    <w:abstractNumId w:val="22"/>
  </w:num>
  <w:num w:numId="23">
    <w:abstractNumId w:val="1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colormenu v:ext="edit" strokecolor="none"/>
    </o:shapedefaults>
    <o:shapelayout v:ext="edit">
      <o:idmap v:ext="edit" data="2"/>
    </o:shapelayout>
  </w:hdrShapeDefaults>
  <w:footnotePr>
    <w:footnote w:id="-1"/>
    <w:footnote w:id="0"/>
  </w:footnotePr>
  <w:endnotePr>
    <w:endnote w:id="-1"/>
    <w:endnote w:id="0"/>
  </w:endnotePr>
  <w:compat/>
  <w:rsids>
    <w:rsidRoot w:val="004B38FA"/>
    <w:rsid w:val="000216E6"/>
    <w:rsid w:val="00023868"/>
    <w:rsid w:val="00040826"/>
    <w:rsid w:val="00046EE2"/>
    <w:rsid w:val="0005533D"/>
    <w:rsid w:val="00095758"/>
    <w:rsid w:val="000A1885"/>
    <w:rsid w:val="000B5CE9"/>
    <w:rsid w:val="000C3D1B"/>
    <w:rsid w:val="00143CBC"/>
    <w:rsid w:val="001A3BC8"/>
    <w:rsid w:val="001B3718"/>
    <w:rsid w:val="001B6DDC"/>
    <w:rsid w:val="001C1177"/>
    <w:rsid w:val="001C22A4"/>
    <w:rsid w:val="001C5441"/>
    <w:rsid w:val="001F17B5"/>
    <w:rsid w:val="001F7314"/>
    <w:rsid w:val="0020373A"/>
    <w:rsid w:val="0020723B"/>
    <w:rsid w:val="00213097"/>
    <w:rsid w:val="00224D1A"/>
    <w:rsid w:val="00243DE3"/>
    <w:rsid w:val="00252FD2"/>
    <w:rsid w:val="002650E9"/>
    <w:rsid w:val="00282637"/>
    <w:rsid w:val="002C2779"/>
    <w:rsid w:val="002C3EE4"/>
    <w:rsid w:val="002D16ED"/>
    <w:rsid w:val="002E119F"/>
    <w:rsid w:val="002E1792"/>
    <w:rsid w:val="00363166"/>
    <w:rsid w:val="00383FD7"/>
    <w:rsid w:val="00396DD5"/>
    <w:rsid w:val="003A18BB"/>
    <w:rsid w:val="003A3ACF"/>
    <w:rsid w:val="003C1CE8"/>
    <w:rsid w:val="003D13CE"/>
    <w:rsid w:val="003D6C74"/>
    <w:rsid w:val="00414454"/>
    <w:rsid w:val="00415366"/>
    <w:rsid w:val="00450945"/>
    <w:rsid w:val="00454E4B"/>
    <w:rsid w:val="00462AF4"/>
    <w:rsid w:val="004832F0"/>
    <w:rsid w:val="004871B2"/>
    <w:rsid w:val="004B38FA"/>
    <w:rsid w:val="004B74B4"/>
    <w:rsid w:val="004F4457"/>
    <w:rsid w:val="00514E4D"/>
    <w:rsid w:val="005847E0"/>
    <w:rsid w:val="005C4628"/>
    <w:rsid w:val="005F38F2"/>
    <w:rsid w:val="00607B96"/>
    <w:rsid w:val="00611AA2"/>
    <w:rsid w:val="00622736"/>
    <w:rsid w:val="006349D7"/>
    <w:rsid w:val="006367E3"/>
    <w:rsid w:val="00636CC9"/>
    <w:rsid w:val="00650E83"/>
    <w:rsid w:val="00671FA2"/>
    <w:rsid w:val="00685DE3"/>
    <w:rsid w:val="006A2BBD"/>
    <w:rsid w:val="006B55D5"/>
    <w:rsid w:val="006E5F52"/>
    <w:rsid w:val="006E73F4"/>
    <w:rsid w:val="006F1A03"/>
    <w:rsid w:val="0072117E"/>
    <w:rsid w:val="00746B10"/>
    <w:rsid w:val="007536A1"/>
    <w:rsid w:val="007541B8"/>
    <w:rsid w:val="0075586A"/>
    <w:rsid w:val="007C7BD8"/>
    <w:rsid w:val="007D25F2"/>
    <w:rsid w:val="007E4659"/>
    <w:rsid w:val="008060B0"/>
    <w:rsid w:val="00832CBF"/>
    <w:rsid w:val="00864C0B"/>
    <w:rsid w:val="008707ED"/>
    <w:rsid w:val="0087086B"/>
    <w:rsid w:val="00871D12"/>
    <w:rsid w:val="00894D3E"/>
    <w:rsid w:val="008A5A3E"/>
    <w:rsid w:val="008B187E"/>
    <w:rsid w:val="008C6D32"/>
    <w:rsid w:val="008C7C7F"/>
    <w:rsid w:val="008D4D41"/>
    <w:rsid w:val="008F14B4"/>
    <w:rsid w:val="008F5BC5"/>
    <w:rsid w:val="00906BC0"/>
    <w:rsid w:val="00907D5A"/>
    <w:rsid w:val="00913707"/>
    <w:rsid w:val="00914B4D"/>
    <w:rsid w:val="00953717"/>
    <w:rsid w:val="00953B97"/>
    <w:rsid w:val="00962830"/>
    <w:rsid w:val="00966BC4"/>
    <w:rsid w:val="009823A1"/>
    <w:rsid w:val="00996D80"/>
    <w:rsid w:val="00997B67"/>
    <w:rsid w:val="009B6232"/>
    <w:rsid w:val="009B72A7"/>
    <w:rsid w:val="009B7899"/>
    <w:rsid w:val="009C0796"/>
    <w:rsid w:val="009C5521"/>
    <w:rsid w:val="009C66B5"/>
    <w:rsid w:val="009E09C3"/>
    <w:rsid w:val="009E4F43"/>
    <w:rsid w:val="009F6771"/>
    <w:rsid w:val="00A327BF"/>
    <w:rsid w:val="00A52584"/>
    <w:rsid w:val="00A54A61"/>
    <w:rsid w:val="00A90EDB"/>
    <w:rsid w:val="00A96C4E"/>
    <w:rsid w:val="00AE1EA2"/>
    <w:rsid w:val="00AE3A58"/>
    <w:rsid w:val="00AE4C86"/>
    <w:rsid w:val="00AE527F"/>
    <w:rsid w:val="00B01B38"/>
    <w:rsid w:val="00B2648D"/>
    <w:rsid w:val="00B33929"/>
    <w:rsid w:val="00B56CEE"/>
    <w:rsid w:val="00BA3DC6"/>
    <w:rsid w:val="00BD3193"/>
    <w:rsid w:val="00BE6436"/>
    <w:rsid w:val="00C014AF"/>
    <w:rsid w:val="00C315EA"/>
    <w:rsid w:val="00C37D36"/>
    <w:rsid w:val="00C564DF"/>
    <w:rsid w:val="00C64F92"/>
    <w:rsid w:val="00C705F8"/>
    <w:rsid w:val="00C74EF8"/>
    <w:rsid w:val="00C979B8"/>
    <w:rsid w:val="00CC0EBF"/>
    <w:rsid w:val="00CF2F9D"/>
    <w:rsid w:val="00CF3366"/>
    <w:rsid w:val="00D01A86"/>
    <w:rsid w:val="00D040D2"/>
    <w:rsid w:val="00D15846"/>
    <w:rsid w:val="00D3070E"/>
    <w:rsid w:val="00D57FCD"/>
    <w:rsid w:val="00D64DB3"/>
    <w:rsid w:val="00D715D7"/>
    <w:rsid w:val="00D80024"/>
    <w:rsid w:val="00DA070F"/>
    <w:rsid w:val="00DA207C"/>
    <w:rsid w:val="00DA3F29"/>
    <w:rsid w:val="00DB5820"/>
    <w:rsid w:val="00DE7817"/>
    <w:rsid w:val="00E078BF"/>
    <w:rsid w:val="00E117A2"/>
    <w:rsid w:val="00E67B7E"/>
    <w:rsid w:val="00E90339"/>
    <w:rsid w:val="00EA72C4"/>
    <w:rsid w:val="00EB50C4"/>
    <w:rsid w:val="00F11A89"/>
    <w:rsid w:val="00F1466C"/>
    <w:rsid w:val="00F24BFD"/>
    <w:rsid w:val="00F33018"/>
    <w:rsid w:val="00F3770A"/>
    <w:rsid w:val="00F46B19"/>
    <w:rsid w:val="00F84901"/>
    <w:rsid w:val="00F9380F"/>
    <w:rsid w:val="00FA3492"/>
    <w:rsid w:val="00FF5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30"/>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8FA"/>
  </w:style>
  <w:style w:type="paragraph" w:styleId="Footer">
    <w:name w:val="footer"/>
    <w:basedOn w:val="Normal"/>
    <w:link w:val="FooterChar"/>
    <w:uiPriority w:val="99"/>
    <w:unhideWhenUsed/>
    <w:rsid w:val="004B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8FA"/>
  </w:style>
  <w:style w:type="paragraph" w:styleId="BalloonText">
    <w:name w:val="Balloon Text"/>
    <w:basedOn w:val="Normal"/>
    <w:link w:val="BalloonTextChar"/>
    <w:uiPriority w:val="99"/>
    <w:semiHidden/>
    <w:unhideWhenUsed/>
    <w:rsid w:val="004B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FA"/>
    <w:rPr>
      <w:rFonts w:ascii="Tahoma" w:hAnsi="Tahoma" w:cs="Tahoma"/>
      <w:sz w:val="16"/>
      <w:szCs w:val="16"/>
    </w:rPr>
  </w:style>
  <w:style w:type="paragraph" w:styleId="Title">
    <w:name w:val="Title"/>
    <w:basedOn w:val="Normal"/>
    <w:next w:val="Normal"/>
    <w:link w:val="TitleChar"/>
    <w:uiPriority w:val="10"/>
    <w:qFormat/>
    <w:rsid w:val="004B38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B38FA"/>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20723B"/>
    <w:rPr>
      <w:color w:val="0000FF"/>
      <w:u w:val="single"/>
    </w:rPr>
  </w:style>
  <w:style w:type="paragraph" w:styleId="NoSpacing">
    <w:name w:val="No Spacing"/>
    <w:link w:val="NoSpacingChar"/>
    <w:uiPriority w:val="1"/>
    <w:qFormat/>
    <w:rsid w:val="009F6771"/>
    <w:rPr>
      <w:rFonts w:eastAsia="Times New Roman"/>
      <w:sz w:val="22"/>
      <w:szCs w:val="22"/>
    </w:rPr>
  </w:style>
  <w:style w:type="character" w:customStyle="1" w:styleId="NoSpacingChar">
    <w:name w:val="No Spacing Char"/>
    <w:basedOn w:val="DefaultParagraphFont"/>
    <w:link w:val="NoSpacing"/>
    <w:uiPriority w:val="1"/>
    <w:rsid w:val="009F6771"/>
    <w:rPr>
      <w:rFonts w:eastAsia="Times New Roman"/>
      <w:sz w:val="22"/>
      <w:szCs w:val="22"/>
      <w:lang w:val="en-US" w:eastAsia="en-US" w:bidi="ar-SA"/>
    </w:rPr>
  </w:style>
  <w:style w:type="table" w:styleId="LightShading-Accent1">
    <w:name w:val="Light Shading Accent 1"/>
    <w:basedOn w:val="TableNormal"/>
    <w:uiPriority w:val="60"/>
    <w:rsid w:val="00B2648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1">
    <w:name w:val="Medium Grid 2 Accent 1"/>
    <w:basedOn w:val="TableNormal"/>
    <w:uiPriority w:val="68"/>
    <w:rsid w:val="00B2648D"/>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ListParagraph">
    <w:name w:val="List Paragraph"/>
    <w:basedOn w:val="Normal"/>
    <w:uiPriority w:val="34"/>
    <w:qFormat/>
    <w:rsid w:val="00685DE3"/>
    <w:pPr>
      <w:ind w:left="720"/>
      <w:contextualSpacing/>
    </w:pPr>
    <w:rPr>
      <w:lang w:val="en-US"/>
    </w:rPr>
  </w:style>
  <w:style w:type="table" w:styleId="TableGrid">
    <w:name w:val="Table Grid"/>
    <w:basedOn w:val="TableNormal"/>
    <w:uiPriority w:val="59"/>
    <w:rsid w:val="00E90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0EBF"/>
    <w:rPr>
      <w:sz w:val="16"/>
      <w:szCs w:val="16"/>
    </w:rPr>
  </w:style>
  <w:style w:type="paragraph" w:styleId="CommentText">
    <w:name w:val="annotation text"/>
    <w:basedOn w:val="Normal"/>
    <w:link w:val="CommentTextChar"/>
    <w:uiPriority w:val="99"/>
    <w:semiHidden/>
    <w:unhideWhenUsed/>
    <w:rsid w:val="00CC0EBF"/>
    <w:rPr>
      <w:sz w:val="20"/>
      <w:szCs w:val="20"/>
    </w:rPr>
  </w:style>
  <w:style w:type="character" w:customStyle="1" w:styleId="CommentTextChar">
    <w:name w:val="Comment Text Char"/>
    <w:basedOn w:val="DefaultParagraphFont"/>
    <w:link w:val="CommentText"/>
    <w:uiPriority w:val="99"/>
    <w:semiHidden/>
    <w:rsid w:val="00CC0EBF"/>
    <w:rPr>
      <w:lang w:val="en-GB"/>
    </w:rPr>
  </w:style>
  <w:style w:type="paragraph" w:styleId="CommentSubject">
    <w:name w:val="annotation subject"/>
    <w:basedOn w:val="CommentText"/>
    <w:next w:val="CommentText"/>
    <w:link w:val="CommentSubjectChar"/>
    <w:uiPriority w:val="99"/>
    <w:semiHidden/>
    <w:unhideWhenUsed/>
    <w:rsid w:val="00CC0EBF"/>
    <w:rPr>
      <w:b/>
      <w:bCs/>
    </w:rPr>
  </w:style>
  <w:style w:type="character" w:customStyle="1" w:styleId="CommentSubjectChar">
    <w:name w:val="Comment Subject Char"/>
    <w:basedOn w:val="CommentTextChar"/>
    <w:link w:val="CommentSubject"/>
    <w:uiPriority w:val="99"/>
    <w:semiHidden/>
    <w:rsid w:val="00CC0EBF"/>
    <w:rPr>
      <w:b/>
      <w:bCs/>
    </w:rPr>
  </w:style>
  <w:style w:type="paragraph" w:styleId="Caption">
    <w:name w:val="caption"/>
    <w:basedOn w:val="Normal"/>
    <w:next w:val="Normal"/>
    <w:uiPriority w:val="35"/>
    <w:qFormat/>
    <w:rsid w:val="001C5441"/>
    <w:rPr>
      <w:b/>
      <w:bCs/>
      <w:sz w:val="20"/>
      <w:szCs w:val="20"/>
    </w:rPr>
  </w:style>
  <w:style w:type="paragraph" w:styleId="NormalWeb">
    <w:name w:val="Normal (Web)"/>
    <w:basedOn w:val="Normal"/>
    <w:uiPriority w:val="99"/>
    <w:semiHidden/>
    <w:unhideWhenUsed/>
    <w:rsid w:val="001C1177"/>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8A5A3E"/>
    <w:rPr>
      <w:b/>
      <w:bCs/>
      <w:i w:val="0"/>
      <w:iCs w:val="0"/>
    </w:rPr>
  </w:style>
  <w:style w:type="paragraph" w:styleId="FootnoteText">
    <w:name w:val="footnote text"/>
    <w:basedOn w:val="Normal"/>
    <w:link w:val="FootnoteTextChar"/>
    <w:uiPriority w:val="99"/>
    <w:semiHidden/>
    <w:unhideWhenUsed/>
    <w:rsid w:val="00C64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F92"/>
    <w:rPr>
      <w:lang w:val="en-GB"/>
    </w:rPr>
  </w:style>
  <w:style w:type="character" w:styleId="FootnoteReference">
    <w:name w:val="footnote reference"/>
    <w:basedOn w:val="DefaultParagraphFont"/>
    <w:uiPriority w:val="99"/>
    <w:semiHidden/>
    <w:unhideWhenUsed/>
    <w:rsid w:val="00C64F92"/>
    <w:rPr>
      <w:vertAlign w:val="superscript"/>
    </w:rPr>
  </w:style>
</w:styles>
</file>

<file path=word/webSettings.xml><?xml version="1.0" encoding="utf-8"?>
<w:webSettings xmlns:r="http://schemas.openxmlformats.org/officeDocument/2006/relationships" xmlns:w="http://schemas.openxmlformats.org/wordprocessingml/2006/main">
  <w:divs>
    <w:div w:id="89399144">
      <w:bodyDiv w:val="1"/>
      <w:marLeft w:val="0"/>
      <w:marRight w:val="0"/>
      <w:marTop w:val="0"/>
      <w:marBottom w:val="0"/>
      <w:divBdr>
        <w:top w:val="none" w:sz="0" w:space="0" w:color="auto"/>
        <w:left w:val="none" w:sz="0" w:space="0" w:color="auto"/>
        <w:bottom w:val="none" w:sz="0" w:space="0" w:color="auto"/>
        <w:right w:val="none" w:sz="0" w:space="0" w:color="auto"/>
      </w:divBdr>
    </w:div>
    <w:div w:id="1246693324">
      <w:bodyDiv w:val="1"/>
      <w:marLeft w:val="0"/>
      <w:marRight w:val="0"/>
      <w:marTop w:val="0"/>
      <w:marBottom w:val="0"/>
      <w:divBdr>
        <w:top w:val="none" w:sz="0" w:space="0" w:color="auto"/>
        <w:left w:val="none" w:sz="0" w:space="0" w:color="auto"/>
        <w:bottom w:val="none" w:sz="0" w:space="0" w:color="auto"/>
        <w:right w:val="none" w:sz="0" w:space="0" w:color="auto"/>
      </w:divBdr>
    </w:div>
    <w:div w:id="1271863704">
      <w:bodyDiv w:val="1"/>
      <w:marLeft w:val="0"/>
      <w:marRight w:val="0"/>
      <w:marTop w:val="0"/>
      <w:marBottom w:val="0"/>
      <w:divBdr>
        <w:top w:val="none" w:sz="0" w:space="0" w:color="auto"/>
        <w:left w:val="none" w:sz="0" w:space="0" w:color="auto"/>
        <w:bottom w:val="none" w:sz="0" w:space="0" w:color="auto"/>
        <w:right w:val="none" w:sz="0" w:space="0" w:color="auto"/>
      </w:divBdr>
    </w:div>
    <w:div w:id="1419055164">
      <w:bodyDiv w:val="1"/>
      <w:marLeft w:val="0"/>
      <w:marRight w:val="0"/>
      <w:marTop w:val="0"/>
      <w:marBottom w:val="0"/>
      <w:divBdr>
        <w:top w:val="none" w:sz="0" w:space="0" w:color="auto"/>
        <w:left w:val="none" w:sz="0" w:space="0" w:color="auto"/>
        <w:bottom w:val="none" w:sz="0" w:space="0" w:color="auto"/>
        <w:right w:val="none" w:sz="0" w:space="0" w:color="auto"/>
      </w:divBdr>
    </w:div>
    <w:div w:id="1631669468">
      <w:bodyDiv w:val="1"/>
      <w:marLeft w:val="0"/>
      <w:marRight w:val="0"/>
      <w:marTop w:val="0"/>
      <w:marBottom w:val="0"/>
      <w:divBdr>
        <w:top w:val="none" w:sz="0" w:space="0" w:color="auto"/>
        <w:left w:val="none" w:sz="0" w:space="0" w:color="auto"/>
        <w:bottom w:val="none" w:sz="0" w:space="0" w:color="auto"/>
        <w:right w:val="none" w:sz="0" w:space="0" w:color="auto"/>
      </w:divBdr>
    </w:div>
    <w:div w:id="1773865452">
      <w:bodyDiv w:val="1"/>
      <w:marLeft w:val="0"/>
      <w:marRight w:val="0"/>
      <w:marTop w:val="0"/>
      <w:marBottom w:val="0"/>
      <w:divBdr>
        <w:top w:val="none" w:sz="0" w:space="0" w:color="auto"/>
        <w:left w:val="none" w:sz="0" w:space="0" w:color="auto"/>
        <w:bottom w:val="none" w:sz="0" w:space="0" w:color="auto"/>
        <w:right w:val="none" w:sz="0" w:space="0" w:color="auto"/>
      </w:divBdr>
      <w:divsChild>
        <w:div w:id="405222759">
          <w:marLeft w:val="547"/>
          <w:marRight w:val="0"/>
          <w:marTop w:val="0"/>
          <w:marBottom w:val="0"/>
          <w:divBdr>
            <w:top w:val="none" w:sz="0" w:space="0" w:color="auto"/>
            <w:left w:val="none" w:sz="0" w:space="0" w:color="auto"/>
            <w:bottom w:val="none" w:sz="0" w:space="0" w:color="auto"/>
            <w:right w:val="none" w:sz="0" w:space="0" w:color="auto"/>
          </w:divBdr>
        </w:div>
        <w:div w:id="1447458845">
          <w:marLeft w:val="547"/>
          <w:marRight w:val="0"/>
          <w:marTop w:val="0"/>
          <w:marBottom w:val="0"/>
          <w:divBdr>
            <w:top w:val="none" w:sz="0" w:space="0" w:color="auto"/>
            <w:left w:val="none" w:sz="0" w:space="0" w:color="auto"/>
            <w:bottom w:val="none" w:sz="0" w:space="0" w:color="auto"/>
            <w:right w:val="none" w:sz="0" w:space="0" w:color="auto"/>
          </w:divBdr>
        </w:div>
        <w:div w:id="715161181">
          <w:marLeft w:val="547"/>
          <w:marRight w:val="0"/>
          <w:marTop w:val="0"/>
          <w:marBottom w:val="0"/>
          <w:divBdr>
            <w:top w:val="none" w:sz="0" w:space="0" w:color="auto"/>
            <w:left w:val="none" w:sz="0" w:space="0" w:color="auto"/>
            <w:bottom w:val="none" w:sz="0" w:space="0" w:color="auto"/>
            <w:right w:val="none" w:sz="0" w:space="0" w:color="auto"/>
          </w:divBdr>
        </w:div>
        <w:div w:id="1897544840">
          <w:marLeft w:val="547"/>
          <w:marRight w:val="0"/>
          <w:marTop w:val="0"/>
          <w:marBottom w:val="0"/>
          <w:divBdr>
            <w:top w:val="none" w:sz="0" w:space="0" w:color="auto"/>
            <w:left w:val="none" w:sz="0" w:space="0" w:color="auto"/>
            <w:bottom w:val="none" w:sz="0" w:space="0" w:color="auto"/>
            <w:right w:val="none" w:sz="0" w:space="0" w:color="auto"/>
          </w:divBdr>
        </w:div>
        <w:div w:id="990669274">
          <w:marLeft w:val="547"/>
          <w:marRight w:val="0"/>
          <w:marTop w:val="0"/>
          <w:marBottom w:val="0"/>
          <w:divBdr>
            <w:top w:val="none" w:sz="0" w:space="0" w:color="auto"/>
            <w:left w:val="none" w:sz="0" w:space="0" w:color="auto"/>
            <w:bottom w:val="none" w:sz="0" w:space="0" w:color="auto"/>
            <w:right w:val="none" w:sz="0" w:space="0" w:color="auto"/>
          </w:divBdr>
        </w:div>
        <w:div w:id="25104835">
          <w:marLeft w:val="547"/>
          <w:marRight w:val="0"/>
          <w:marTop w:val="0"/>
          <w:marBottom w:val="0"/>
          <w:divBdr>
            <w:top w:val="none" w:sz="0" w:space="0" w:color="auto"/>
            <w:left w:val="none" w:sz="0" w:space="0" w:color="auto"/>
            <w:bottom w:val="none" w:sz="0" w:space="0" w:color="auto"/>
            <w:right w:val="none" w:sz="0" w:space="0" w:color="auto"/>
          </w:divBdr>
        </w:div>
        <w:div w:id="2035498145">
          <w:marLeft w:val="547"/>
          <w:marRight w:val="0"/>
          <w:marTop w:val="0"/>
          <w:marBottom w:val="0"/>
          <w:divBdr>
            <w:top w:val="none" w:sz="0" w:space="0" w:color="auto"/>
            <w:left w:val="none" w:sz="0" w:space="0" w:color="auto"/>
            <w:bottom w:val="none" w:sz="0" w:space="0" w:color="auto"/>
            <w:right w:val="none" w:sz="0" w:space="0" w:color="auto"/>
          </w:divBdr>
        </w:div>
        <w:div w:id="2500904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EC8C-CAAF-499A-91D7-7A72BA4E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timothy.boyle</cp:lastModifiedBy>
  <cp:revision>4</cp:revision>
  <cp:lastPrinted>2009-05-07T03:03:00Z</cp:lastPrinted>
  <dcterms:created xsi:type="dcterms:W3CDTF">2009-07-24T05:55:00Z</dcterms:created>
  <dcterms:modified xsi:type="dcterms:W3CDTF">2009-07-24T08:48:00Z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-1617593306</vt:i4>
  </property>
  <property fmtid="{D5CDD505-2E9C-101B-9397-08002B2CF9AE}" pid="3" name="_EmailSubject">
    <vt:lpwstr>Concept Note</vt:lpwstr>
  </property>
  <property fmtid="{D5CDD505-2E9C-101B-9397-08002B2CF9AE}" pid="4" name="_AuthorEmail">
    <vt:lpwstr>Tiina.Vahanen@fao.org</vt:lpwstr>
  </property>
  <property fmtid="{D5CDD505-2E9C-101B-9397-08002B2CF9AE}" pid="5" name="_AuthorEmailDisplayName">
    <vt:lpwstr>Vahanen, Tiina (NRCD)</vt:lpwstr>
  </property>
  <property fmtid="{D5CDD505-2E9C-101B-9397-08002B2CF9AE}" pid="6" name="_ReviewingToolsShownOnce">
    <vt:lpwstr/>
  </property>
</Properties>
</file>