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19" w:rsidRPr="00E93138" w:rsidRDefault="00E93138" w:rsidP="00F2223F">
      <w:pPr>
        <w:pStyle w:val="Heading2"/>
        <w:rPr>
          <w:lang w:val="fr-FR"/>
        </w:rPr>
      </w:pPr>
      <w:bookmarkStart w:id="0" w:name="_GoBack"/>
      <w:bookmarkEnd w:id="0"/>
      <w:r w:rsidRPr="001471E9">
        <w:rPr>
          <w:lang w:val="fr-FR"/>
        </w:rPr>
        <w:t>Note conceptuelle pour un a</w:t>
      </w:r>
      <w:r>
        <w:rPr>
          <w:lang w:val="fr-FR"/>
        </w:rPr>
        <w:t xml:space="preserve">ppui </w:t>
      </w:r>
      <w:r w:rsidRPr="001471E9">
        <w:rPr>
          <w:lang w:val="fr-FR"/>
        </w:rPr>
        <w:t xml:space="preserve">ciblé </w:t>
      </w:r>
      <w:r>
        <w:rPr>
          <w:lang w:val="fr-FR"/>
        </w:rPr>
        <w:t>foncier</w:t>
      </w:r>
      <w:r w:rsidRPr="001471E9">
        <w:rPr>
          <w:lang w:val="fr-FR"/>
        </w:rPr>
        <w:t xml:space="preserve"> à la préparation pour la REDD+ en </w:t>
      </w:r>
      <w:r>
        <w:rPr>
          <w:lang w:val="fr-FR"/>
        </w:rPr>
        <w:t>Tunisie</w:t>
      </w:r>
      <w:r w:rsidR="009B4319" w:rsidRPr="00C97309">
        <w:rPr>
          <w:rStyle w:val="FootnoteReference"/>
          <w:color w:val="244061"/>
          <w:sz w:val="32"/>
          <w:szCs w:val="32"/>
          <w:lang w:val="fr-FR"/>
        </w:rPr>
        <w:footnoteReference w:id="1"/>
      </w:r>
    </w:p>
    <w:tbl>
      <w:tblPr>
        <w:tblpPr w:leftFromText="180" w:rightFromText="180" w:vertAnchor="text" w:horzAnchor="margin" w:tblpY="1390"/>
        <w:tblW w:w="9493"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CellMar>
          <w:top w:w="115" w:type="dxa"/>
          <w:left w:w="115" w:type="dxa"/>
          <w:bottom w:w="115" w:type="dxa"/>
          <w:right w:w="115" w:type="dxa"/>
        </w:tblCellMar>
        <w:tblLook w:val="00A0" w:firstRow="1" w:lastRow="0" w:firstColumn="1" w:lastColumn="0" w:noHBand="0" w:noVBand="0"/>
      </w:tblPr>
      <w:tblGrid>
        <w:gridCol w:w="3403"/>
        <w:gridCol w:w="6090"/>
      </w:tblGrid>
      <w:tr w:rsidR="009B4319" w:rsidRPr="00A30B44" w:rsidTr="00465C55">
        <w:trPr>
          <w:trHeight w:val="296"/>
        </w:trPr>
        <w:tc>
          <w:tcPr>
            <w:tcW w:w="9493" w:type="dxa"/>
            <w:gridSpan w:val="2"/>
            <w:tcBorders>
              <w:top w:val="single" w:sz="12" w:space="0" w:color="1F497D"/>
            </w:tcBorders>
            <w:shd w:val="clear" w:color="auto" w:fill="DBE5F1"/>
          </w:tcPr>
          <w:p w:rsidR="009B4319" w:rsidRPr="00C97309" w:rsidRDefault="009B4319" w:rsidP="00465C55">
            <w:pPr>
              <w:spacing w:after="0" w:line="240" w:lineRule="auto"/>
              <w:rPr>
                <w:b/>
                <w:bCs/>
                <w:i/>
                <w:color w:val="244061"/>
                <w:lang w:val="fr-FR"/>
              </w:rPr>
            </w:pPr>
            <w:r w:rsidRPr="00C97309">
              <w:rPr>
                <w:b/>
                <w:bCs/>
                <w:color w:val="244061"/>
                <w:lang w:val="fr-FR"/>
              </w:rPr>
              <w:t>I.</w:t>
            </w:r>
            <w:r w:rsidR="00E93138">
              <w:rPr>
                <w:b/>
                <w:bCs/>
                <w:color w:val="244061"/>
                <w:lang w:val="fr-FR"/>
              </w:rPr>
              <w:t xml:space="preserve">  RÉSUMÉ DE LA DEMANDE (Compléte</w:t>
            </w:r>
            <w:r w:rsidRPr="00C97309">
              <w:rPr>
                <w:b/>
                <w:bCs/>
                <w:color w:val="244061"/>
                <w:lang w:val="fr-FR"/>
              </w:rPr>
              <w:t>z les cellules en blanc)</w:t>
            </w:r>
          </w:p>
        </w:tc>
      </w:tr>
      <w:tr w:rsidR="009B4319" w:rsidRPr="00E159B4" w:rsidTr="00176B9C">
        <w:trPr>
          <w:trHeight w:val="1843"/>
        </w:trPr>
        <w:tc>
          <w:tcPr>
            <w:tcW w:w="3403" w:type="dxa"/>
            <w:shd w:val="clear" w:color="auto" w:fill="DBE5F1"/>
          </w:tcPr>
          <w:p w:rsidR="009B4319" w:rsidRPr="00176B9C" w:rsidRDefault="00176B9C" w:rsidP="00176B9C">
            <w:pPr>
              <w:spacing w:after="100" w:line="240" w:lineRule="auto"/>
              <w:rPr>
                <w:bCs/>
                <w:color w:val="244061"/>
                <w:lang w:val="fr-FR"/>
              </w:rPr>
            </w:pPr>
            <w:r>
              <w:rPr>
                <w:bCs/>
                <w:color w:val="244061"/>
                <w:lang w:val="fr-FR"/>
              </w:rPr>
              <w:t>Objectif principal</w:t>
            </w:r>
          </w:p>
        </w:tc>
        <w:tc>
          <w:tcPr>
            <w:tcW w:w="6090" w:type="dxa"/>
            <w:shd w:val="clear" w:color="auto" w:fill="FFFFFF"/>
          </w:tcPr>
          <w:p w:rsidR="00176B9C" w:rsidRPr="00D213BE" w:rsidRDefault="00176B9C" w:rsidP="00176B9C">
            <w:pPr>
              <w:rPr>
                <w:rFonts w:cs="Arial"/>
                <w:iCs/>
                <w:lang w:val="fr-FR"/>
              </w:rPr>
            </w:pPr>
            <w:r w:rsidRPr="00E872EC">
              <w:rPr>
                <w:rFonts w:cs="Arial"/>
                <w:iCs/>
                <w:lang w:val="fr-FR"/>
              </w:rPr>
              <w:t>Cette note conceptuelle décrit le</w:t>
            </w:r>
            <w:r>
              <w:rPr>
                <w:rFonts w:cs="Arial"/>
                <w:iCs/>
                <w:lang w:val="fr-FR"/>
              </w:rPr>
              <w:t>s objectifs, résultats</w:t>
            </w:r>
            <w:r w:rsidRPr="00E872EC">
              <w:rPr>
                <w:rFonts w:cs="Arial"/>
                <w:iCs/>
                <w:lang w:val="fr-FR"/>
              </w:rPr>
              <w:t>, activités e</w:t>
            </w:r>
            <w:r>
              <w:rPr>
                <w:rFonts w:cs="Arial"/>
                <w:iCs/>
                <w:lang w:val="fr-FR"/>
              </w:rPr>
              <w:t xml:space="preserve">t livrables de l’appui </w:t>
            </w:r>
            <w:r w:rsidRPr="00E872EC">
              <w:rPr>
                <w:rFonts w:cs="Arial"/>
                <w:iCs/>
                <w:lang w:val="fr-FR"/>
              </w:rPr>
              <w:t xml:space="preserve">ciblé </w:t>
            </w:r>
            <w:r>
              <w:rPr>
                <w:rFonts w:cs="Arial"/>
                <w:iCs/>
                <w:lang w:val="fr-FR"/>
              </w:rPr>
              <w:t>foncier</w:t>
            </w:r>
            <w:r w:rsidRPr="00E872EC">
              <w:rPr>
                <w:rFonts w:cs="Arial"/>
                <w:iCs/>
                <w:lang w:val="fr-FR"/>
              </w:rPr>
              <w:t xml:space="preserve"> à la préparation pour la REDD+ en </w:t>
            </w:r>
            <w:r>
              <w:rPr>
                <w:rFonts w:cs="Arial"/>
                <w:iCs/>
                <w:lang w:val="fr-FR"/>
              </w:rPr>
              <w:t>Tunisie. Cet appui</w:t>
            </w:r>
            <w:r w:rsidR="005B65D5">
              <w:rPr>
                <w:rFonts w:cs="Arial"/>
                <w:iCs/>
                <w:lang w:val="fr-FR"/>
              </w:rPr>
              <w:t xml:space="preserve"> </w:t>
            </w:r>
            <w:r>
              <w:rPr>
                <w:rFonts w:cs="Arial"/>
                <w:iCs/>
                <w:lang w:val="fr-FR"/>
              </w:rPr>
              <w:t xml:space="preserve">ciblé </w:t>
            </w:r>
            <w:r w:rsidRPr="00E872EC">
              <w:rPr>
                <w:rFonts w:cs="Arial"/>
                <w:iCs/>
                <w:lang w:val="fr-FR"/>
              </w:rPr>
              <w:t xml:space="preserve">a </w:t>
            </w:r>
            <w:r w:rsidRPr="00982A25">
              <w:rPr>
                <w:rFonts w:cs="Arial"/>
                <w:iCs/>
                <w:lang w:val="fr-FR"/>
              </w:rPr>
              <w:t>pour objectif de fournir</w:t>
            </w:r>
            <w:r w:rsidRPr="00732A2F">
              <w:rPr>
                <w:rFonts w:cs="Arial"/>
                <w:iCs/>
                <w:lang w:val="fr-FR"/>
              </w:rPr>
              <w:t xml:space="preserve"> une meilleure compréhension de la situation foncière en Tunisie afin de guider le développement de la</w:t>
            </w:r>
            <w:r w:rsidR="005B65D5">
              <w:rPr>
                <w:rFonts w:cs="Arial"/>
                <w:iCs/>
                <w:lang w:val="fr-FR"/>
              </w:rPr>
              <w:t xml:space="preserve"> </w:t>
            </w:r>
            <w:r>
              <w:rPr>
                <w:rFonts w:cs="Arial"/>
                <w:iCs/>
                <w:lang w:val="fr-FR"/>
              </w:rPr>
              <w:t>stratégie REDD</w:t>
            </w:r>
            <w:r w:rsidRPr="00732A2F">
              <w:rPr>
                <w:rFonts w:cs="Arial"/>
                <w:iCs/>
                <w:lang w:val="fr-FR"/>
              </w:rPr>
              <w:t xml:space="preserve">+ </w:t>
            </w:r>
            <w:r>
              <w:rPr>
                <w:rFonts w:cs="Arial"/>
                <w:iCs/>
                <w:lang w:val="fr-FR"/>
              </w:rPr>
              <w:t xml:space="preserve">du pays.  </w:t>
            </w:r>
          </w:p>
          <w:p w:rsidR="009B4319" w:rsidRPr="00C97309" w:rsidRDefault="009B4319" w:rsidP="00465C55">
            <w:pPr>
              <w:spacing w:after="0" w:line="240" w:lineRule="auto"/>
              <w:rPr>
                <w:i/>
                <w:color w:val="244061"/>
                <w:sz w:val="16"/>
                <w:szCs w:val="16"/>
                <w:lang w:val="fr-FR"/>
              </w:rPr>
            </w:pPr>
          </w:p>
        </w:tc>
      </w:tr>
      <w:tr w:rsidR="009B4319" w:rsidRPr="00E159B4" w:rsidTr="00465C55">
        <w:trPr>
          <w:trHeight w:val="1141"/>
        </w:trPr>
        <w:tc>
          <w:tcPr>
            <w:tcW w:w="3403" w:type="dxa"/>
            <w:shd w:val="clear" w:color="auto" w:fill="DBE5F1"/>
          </w:tcPr>
          <w:p w:rsidR="009B4319" w:rsidRPr="00C97309" w:rsidRDefault="009B4319" w:rsidP="00C00826">
            <w:pPr>
              <w:spacing w:after="0" w:line="240" w:lineRule="auto"/>
              <w:rPr>
                <w:bCs/>
                <w:color w:val="244061"/>
                <w:lang w:val="fr-FR"/>
              </w:rPr>
            </w:pPr>
            <w:r w:rsidRPr="00C97309">
              <w:rPr>
                <w:bCs/>
                <w:color w:val="244061"/>
                <w:lang w:val="fr-FR"/>
              </w:rPr>
              <w:t>Résultats principaux prévus</w:t>
            </w:r>
          </w:p>
        </w:tc>
        <w:tc>
          <w:tcPr>
            <w:tcW w:w="6090" w:type="dxa"/>
            <w:shd w:val="clear" w:color="auto" w:fill="FFFFFF"/>
          </w:tcPr>
          <w:p w:rsidR="00042DBA" w:rsidRPr="00042DBA" w:rsidRDefault="0017134B" w:rsidP="00042DBA">
            <w:pPr>
              <w:pStyle w:val="Heading2"/>
              <w:rPr>
                <w:rFonts w:ascii="Calibri" w:hAnsi="Calibri"/>
                <w:b w:val="0"/>
                <w:color w:val="auto"/>
                <w:sz w:val="22"/>
                <w:szCs w:val="22"/>
                <w:lang w:val="fr-FR"/>
              </w:rPr>
            </w:pPr>
            <w:r>
              <w:rPr>
                <w:rFonts w:ascii="Calibri" w:hAnsi="Calibri"/>
                <w:b w:val="0"/>
                <w:color w:val="auto"/>
                <w:sz w:val="22"/>
                <w:szCs w:val="22"/>
                <w:lang w:val="fr-FR"/>
              </w:rPr>
              <w:t xml:space="preserve">Les résultats principaux prévus sont :  </w:t>
            </w:r>
          </w:p>
          <w:p w:rsidR="00176B9C" w:rsidRPr="00176B9C" w:rsidRDefault="00176B9C" w:rsidP="00176B9C">
            <w:pPr>
              <w:pStyle w:val="ListParagraph"/>
              <w:numPr>
                <w:ilvl w:val="0"/>
                <w:numId w:val="18"/>
              </w:numPr>
              <w:spacing w:after="0"/>
              <w:jc w:val="both"/>
              <w:rPr>
                <w:lang w:val="fr-FR"/>
              </w:rPr>
            </w:pPr>
            <w:r w:rsidRPr="00176B9C">
              <w:rPr>
                <w:lang w:val="fr-FR"/>
              </w:rPr>
              <w:t xml:space="preserve">La  situation du domaine foncier forestier et pastoral en Tunisie et les implications pour la REDD+ sont clarifiées. </w:t>
            </w:r>
          </w:p>
          <w:p w:rsidR="00176B9C" w:rsidRPr="006A0188" w:rsidRDefault="00176B9C" w:rsidP="00176B9C">
            <w:pPr>
              <w:pStyle w:val="ListParagraph"/>
              <w:numPr>
                <w:ilvl w:val="0"/>
                <w:numId w:val="18"/>
              </w:numPr>
              <w:spacing w:after="0"/>
              <w:rPr>
                <w:lang w:val="fr-FR"/>
              </w:rPr>
            </w:pPr>
            <w:r w:rsidRPr="006A0188">
              <w:rPr>
                <w:lang w:val="fr-FR"/>
              </w:rPr>
              <w:t>Un plan de travail pour répondre aux défis fonciers de la REDD+ est élaboré et soutient l'élaboration de la stratégie REDD+ du pays.</w:t>
            </w:r>
          </w:p>
          <w:p w:rsidR="00176B9C" w:rsidRPr="006A0188" w:rsidRDefault="00176B9C" w:rsidP="00E11527">
            <w:pPr>
              <w:pStyle w:val="ListParagraph"/>
              <w:numPr>
                <w:ilvl w:val="0"/>
                <w:numId w:val="18"/>
              </w:numPr>
              <w:spacing w:after="0"/>
              <w:rPr>
                <w:lang w:val="fr-FR"/>
              </w:rPr>
            </w:pPr>
            <w:r w:rsidRPr="006A0188">
              <w:rPr>
                <w:lang w:val="fr-FR"/>
              </w:rPr>
              <w:t xml:space="preserve">Le plan </w:t>
            </w:r>
            <w:r w:rsidRPr="00233A04">
              <w:rPr>
                <w:lang w:val="fr-FR"/>
              </w:rPr>
              <w:t xml:space="preserve">directeur </w:t>
            </w:r>
            <w:r w:rsidRPr="00233A04">
              <w:rPr>
                <w:bCs/>
                <w:iCs/>
                <w:lang w:val="fr-FR"/>
              </w:rPr>
              <w:t>d’assainissement de la</w:t>
            </w:r>
            <w:r w:rsidRPr="00176B9C">
              <w:rPr>
                <w:bCs/>
                <w:iCs/>
                <w:lang w:val="fr-FR"/>
              </w:rPr>
              <w:t xml:space="preserve"> situation foncière élaboré dans le cadre de la </w:t>
            </w:r>
            <w:r w:rsidRPr="00176B9C">
              <w:rPr>
                <w:lang w:val="fr-FR"/>
              </w:rPr>
              <w:t>Stratégie Nationale de Développement et de Gestion Durable des Forêts et des Parcours contient des considérations spécifiques</w:t>
            </w:r>
            <w:r w:rsidRPr="006A0188">
              <w:rPr>
                <w:lang w:val="fr-FR"/>
              </w:rPr>
              <w:t xml:space="preserve"> à la REDD+.</w:t>
            </w:r>
          </w:p>
          <w:p w:rsidR="00176B9C" w:rsidRPr="006A0188" w:rsidRDefault="00176B9C" w:rsidP="00176B9C">
            <w:pPr>
              <w:pStyle w:val="ListParagraph"/>
              <w:numPr>
                <w:ilvl w:val="0"/>
                <w:numId w:val="18"/>
              </w:numPr>
              <w:spacing w:after="0"/>
              <w:rPr>
                <w:lang w:val="fr-FR"/>
              </w:rPr>
            </w:pPr>
            <w:r w:rsidRPr="006A0188">
              <w:rPr>
                <w:lang w:val="fr-FR"/>
              </w:rPr>
              <w:t>Les capacités des techniciens et</w:t>
            </w:r>
            <w:r w:rsidR="00EE4B71">
              <w:rPr>
                <w:lang w:val="fr-FR"/>
              </w:rPr>
              <w:t xml:space="preserve"> ingénieurs sont renforcées et l</w:t>
            </w:r>
            <w:r w:rsidRPr="006A0188">
              <w:rPr>
                <w:lang w:val="fr-FR"/>
              </w:rPr>
              <w:t>es différents intervenants sont impliqués et sensibilisés</w:t>
            </w:r>
            <w:r w:rsidR="00EE4B71">
              <w:rPr>
                <w:lang w:val="fr-FR"/>
              </w:rPr>
              <w:t>.</w:t>
            </w:r>
          </w:p>
          <w:p w:rsidR="009B4319" w:rsidRPr="0017134B" w:rsidRDefault="009B4319" w:rsidP="0017134B">
            <w:pPr>
              <w:spacing w:after="0" w:line="240" w:lineRule="auto"/>
              <w:ind w:left="360"/>
              <w:rPr>
                <w:color w:val="244061"/>
                <w:sz w:val="16"/>
                <w:szCs w:val="16"/>
                <w:lang w:val="fr-FR"/>
              </w:rPr>
            </w:pPr>
          </w:p>
        </w:tc>
      </w:tr>
      <w:tr w:rsidR="009B4319" w:rsidRPr="00C97309" w:rsidTr="00465C55">
        <w:trPr>
          <w:trHeight w:val="234"/>
        </w:trPr>
        <w:tc>
          <w:tcPr>
            <w:tcW w:w="3403" w:type="dxa"/>
            <w:shd w:val="clear" w:color="auto" w:fill="DBE5F1"/>
          </w:tcPr>
          <w:p w:rsidR="009B4319" w:rsidRPr="00C97309" w:rsidRDefault="009B4319" w:rsidP="00C00826">
            <w:pPr>
              <w:spacing w:after="0" w:line="240" w:lineRule="auto"/>
              <w:rPr>
                <w:bCs/>
                <w:color w:val="244061"/>
                <w:lang w:val="fr-FR"/>
              </w:rPr>
            </w:pPr>
            <w:r w:rsidRPr="00C97309">
              <w:rPr>
                <w:bCs/>
                <w:color w:val="244061"/>
                <w:lang w:val="fr-FR"/>
              </w:rPr>
              <w:lastRenderedPageBreak/>
              <w:t xml:space="preserve">Montant total demandé (USD) </w:t>
            </w:r>
          </w:p>
        </w:tc>
        <w:tc>
          <w:tcPr>
            <w:tcW w:w="6090" w:type="dxa"/>
            <w:shd w:val="clear" w:color="auto" w:fill="FFFFFF"/>
          </w:tcPr>
          <w:p w:rsidR="009B4319" w:rsidRPr="00C97309" w:rsidRDefault="00E93138" w:rsidP="00C00826">
            <w:pPr>
              <w:spacing w:after="0" w:line="240" w:lineRule="auto"/>
              <w:rPr>
                <w:color w:val="244061"/>
                <w:lang w:val="fr-FR"/>
              </w:rPr>
            </w:pPr>
            <w:r>
              <w:rPr>
                <w:color w:val="000000"/>
                <w:lang w:val="fr-FR"/>
              </w:rPr>
              <w:t>$79,500</w:t>
            </w:r>
          </w:p>
        </w:tc>
      </w:tr>
      <w:tr w:rsidR="009B4319" w:rsidRPr="00E159B4" w:rsidTr="00465C55">
        <w:tc>
          <w:tcPr>
            <w:tcW w:w="3403" w:type="dxa"/>
            <w:shd w:val="clear" w:color="auto" w:fill="DBE5F1"/>
          </w:tcPr>
          <w:p w:rsidR="009B4319" w:rsidRPr="00C97309" w:rsidRDefault="009B4319" w:rsidP="00465C55">
            <w:pPr>
              <w:pStyle w:val="Default"/>
              <w:rPr>
                <w:bCs/>
                <w:color w:val="244061"/>
                <w:sz w:val="22"/>
                <w:szCs w:val="22"/>
                <w:lang w:val="fr-FR"/>
              </w:rPr>
            </w:pPr>
            <w:r w:rsidRPr="00C97309">
              <w:rPr>
                <w:bCs/>
                <w:color w:val="244061"/>
                <w:sz w:val="22"/>
                <w:szCs w:val="22"/>
                <w:lang w:val="fr-FR"/>
              </w:rPr>
              <w:t>Domaine(s) d’activité concerné(s)</w:t>
            </w:r>
            <w:r w:rsidRPr="00C97309">
              <w:rPr>
                <w:rStyle w:val="FootnoteReference"/>
                <w:rFonts w:cs="Calibri"/>
                <w:bCs/>
                <w:color w:val="244061"/>
                <w:sz w:val="22"/>
                <w:szCs w:val="22"/>
                <w:lang w:val="fr-FR"/>
              </w:rPr>
              <w:footnoteReference w:id="2"/>
            </w:r>
            <w:r w:rsidRPr="00C97309">
              <w:rPr>
                <w:bCs/>
                <w:color w:val="244061"/>
                <w:sz w:val="22"/>
                <w:szCs w:val="22"/>
                <w:lang w:val="fr-FR"/>
              </w:rPr>
              <w:t xml:space="preserve"> défini(s) dans la </w:t>
            </w:r>
            <w:r w:rsidR="00E159B4">
              <w:fldChar w:fldCharType="begin"/>
            </w:r>
            <w:r w:rsidR="00E159B4" w:rsidRPr="00E159B4">
              <w:rPr>
                <w:lang w:val="fr-CH"/>
                <w:rPrChange w:id="1" w:author="Solongo ZULBAATAR" w:date="2014-12-23T10:33:00Z">
                  <w:rPr/>
                </w:rPrChange>
              </w:rPr>
              <w:instrText xml:space="preserve"> HYPERLINK "http://www.unredd.net/index.php?option=com_docman&amp;task=doc_download&amp;gid=4598&amp;Itemid=53" </w:instrText>
            </w:r>
            <w:r w:rsidR="00E159B4">
              <w:fldChar w:fldCharType="separate"/>
            </w:r>
            <w:r w:rsidRPr="00C97309">
              <w:rPr>
                <w:rStyle w:val="Hyperlink"/>
                <w:rFonts w:cs="Calibri"/>
                <w:b/>
                <w:bCs/>
                <w:color w:val="244061"/>
                <w:sz w:val="22"/>
                <w:szCs w:val="22"/>
                <w:lang w:val="fr-FR"/>
              </w:rPr>
              <w:t>Stratégie du Programme ONU-REDD</w:t>
            </w:r>
            <w:r w:rsidR="00E159B4">
              <w:rPr>
                <w:rStyle w:val="Hyperlink"/>
                <w:rFonts w:cs="Calibri"/>
                <w:b/>
                <w:bCs/>
                <w:color w:val="244061"/>
                <w:sz w:val="22"/>
                <w:szCs w:val="22"/>
                <w:lang w:val="fr-FR"/>
              </w:rPr>
              <w:fldChar w:fldCharType="end"/>
            </w:r>
            <w:r w:rsidRPr="00C97309">
              <w:rPr>
                <w:rStyle w:val="Hyperlink"/>
                <w:rFonts w:cs="Calibri"/>
                <w:b/>
                <w:bCs/>
                <w:color w:val="244061"/>
                <w:sz w:val="22"/>
                <w:szCs w:val="22"/>
                <w:lang w:val="fr-FR"/>
              </w:rPr>
              <w:t xml:space="preserve"> 2011-2015</w:t>
            </w:r>
          </w:p>
        </w:tc>
        <w:tc>
          <w:tcPr>
            <w:tcW w:w="6090" w:type="dxa"/>
            <w:shd w:val="clear" w:color="auto" w:fill="FFFFFF"/>
          </w:tcPr>
          <w:p w:rsidR="009B4319" w:rsidRPr="00C97309" w:rsidRDefault="00176B9C" w:rsidP="00176B9C">
            <w:pPr>
              <w:spacing w:after="0" w:line="240" w:lineRule="auto"/>
              <w:rPr>
                <w:color w:val="244061"/>
                <w:lang w:val="fr-FR"/>
              </w:rPr>
            </w:pPr>
            <w:r>
              <w:rPr>
                <w:color w:val="000000"/>
                <w:lang w:val="fr-FR"/>
              </w:rPr>
              <w:t>La Tunisie n’a pas encore développé une stratégie REDD+.</w:t>
            </w:r>
          </w:p>
        </w:tc>
      </w:tr>
      <w:tr w:rsidR="009B4319" w:rsidRPr="00C97309" w:rsidTr="00465C55">
        <w:trPr>
          <w:trHeight w:val="488"/>
        </w:trPr>
        <w:tc>
          <w:tcPr>
            <w:tcW w:w="3403" w:type="dxa"/>
            <w:shd w:val="clear" w:color="auto" w:fill="DBE5F1"/>
          </w:tcPr>
          <w:p w:rsidR="009B4319" w:rsidRPr="00C97309" w:rsidRDefault="009B4319" w:rsidP="00465C55">
            <w:pPr>
              <w:spacing w:after="0" w:line="240" w:lineRule="auto"/>
              <w:rPr>
                <w:bCs/>
                <w:i/>
                <w:color w:val="244061"/>
                <w:lang w:val="fr-FR"/>
              </w:rPr>
            </w:pPr>
            <w:r w:rsidRPr="00C97309">
              <w:rPr>
                <w:bCs/>
                <w:color w:val="244061"/>
                <w:lang w:val="fr-FR"/>
              </w:rPr>
              <w:t>Période prévue de mise en œuvre</w:t>
            </w:r>
            <w:r w:rsidRPr="00C97309">
              <w:rPr>
                <w:rStyle w:val="FootnoteReference"/>
                <w:bCs/>
                <w:color w:val="244061"/>
                <w:lang w:val="fr-FR"/>
              </w:rPr>
              <w:footnoteReference w:id="3"/>
            </w:r>
          </w:p>
        </w:tc>
        <w:tc>
          <w:tcPr>
            <w:tcW w:w="6090" w:type="dxa"/>
            <w:shd w:val="clear" w:color="auto" w:fill="FFFFFF"/>
          </w:tcPr>
          <w:p w:rsidR="009B4319" w:rsidRPr="00C97309" w:rsidRDefault="00E11527" w:rsidP="00E11527">
            <w:pPr>
              <w:spacing w:after="0" w:line="240" w:lineRule="auto"/>
              <w:rPr>
                <w:color w:val="244061"/>
                <w:lang w:val="fr-FR"/>
              </w:rPr>
            </w:pPr>
            <w:r>
              <w:rPr>
                <w:color w:val="244061"/>
                <w:lang w:val="fr-FR"/>
              </w:rPr>
              <w:t>Janvier 2015</w:t>
            </w:r>
            <w:r w:rsidR="00E93138">
              <w:rPr>
                <w:color w:val="244061"/>
                <w:lang w:val="fr-FR"/>
              </w:rPr>
              <w:t xml:space="preserve"> – </w:t>
            </w:r>
            <w:r>
              <w:rPr>
                <w:color w:val="244061"/>
                <w:lang w:val="fr-FR"/>
              </w:rPr>
              <w:t xml:space="preserve">septembre </w:t>
            </w:r>
            <w:r w:rsidR="00E93138">
              <w:rPr>
                <w:color w:val="244061"/>
                <w:lang w:val="fr-FR"/>
              </w:rPr>
              <w:t>2015</w:t>
            </w:r>
          </w:p>
        </w:tc>
      </w:tr>
      <w:tr w:rsidR="009B4319" w:rsidRPr="00E159B4" w:rsidTr="00465C55">
        <w:trPr>
          <w:trHeight w:val="174"/>
        </w:trPr>
        <w:tc>
          <w:tcPr>
            <w:tcW w:w="9493" w:type="dxa"/>
            <w:gridSpan w:val="2"/>
            <w:shd w:val="clear" w:color="auto" w:fill="DBE5F1"/>
          </w:tcPr>
          <w:p w:rsidR="009B4319" w:rsidRPr="00C97309" w:rsidRDefault="009B4319" w:rsidP="00C00826">
            <w:pPr>
              <w:widowControl w:val="0"/>
              <w:autoSpaceDE w:val="0"/>
              <w:autoSpaceDN w:val="0"/>
              <w:adjustRightInd w:val="0"/>
              <w:spacing w:after="0" w:line="240" w:lineRule="auto"/>
              <w:rPr>
                <w:rFonts w:cs="Calibri"/>
                <w:bCs/>
                <w:color w:val="244061"/>
                <w:lang w:val="fr-FR"/>
              </w:rPr>
            </w:pPr>
            <w:r w:rsidRPr="00C97309">
              <w:rPr>
                <w:rFonts w:cs="Calibri"/>
                <w:bCs/>
                <w:color w:val="244061"/>
                <w:lang w:val="fr-FR"/>
              </w:rPr>
              <w:t>Veuillez sélectionner ci-dessous le type de financement approprié :</w:t>
            </w:r>
          </w:p>
        </w:tc>
      </w:tr>
      <w:tr w:rsidR="009B4319" w:rsidRPr="00E159B4" w:rsidTr="00465C55">
        <w:trPr>
          <w:trHeight w:val="155"/>
        </w:trPr>
        <w:tc>
          <w:tcPr>
            <w:tcW w:w="9493" w:type="dxa"/>
            <w:gridSpan w:val="2"/>
            <w:tcBorders>
              <w:bottom w:val="single" w:sz="12" w:space="0" w:color="1F497D"/>
            </w:tcBorders>
          </w:tcPr>
          <w:p w:rsidR="009B4319" w:rsidRPr="00C97309" w:rsidRDefault="009B4319" w:rsidP="00CB7636">
            <w:pPr>
              <w:widowControl w:val="0"/>
              <w:shd w:val="clear" w:color="auto" w:fill="FFFFFF"/>
              <w:autoSpaceDE w:val="0"/>
              <w:autoSpaceDN w:val="0"/>
              <w:adjustRightInd w:val="0"/>
              <w:spacing w:after="0" w:line="240" w:lineRule="auto"/>
              <w:rPr>
                <w:rFonts w:cs="Calibri"/>
                <w:bCs/>
                <w:color w:val="244061"/>
                <w:sz w:val="20"/>
                <w:szCs w:val="20"/>
                <w:lang w:val="fr-FR"/>
              </w:rPr>
            </w:pPr>
            <w:r w:rsidRPr="00C97309">
              <w:rPr>
                <w:rFonts w:cs="Calibri"/>
                <w:bCs/>
                <w:color w:val="244061"/>
                <w:sz w:val="20"/>
                <w:szCs w:val="20"/>
                <w:lang w:val="fr-FR"/>
              </w:rPr>
              <w:sym w:font="Wingdings" w:char="F071"/>
            </w:r>
            <w:r w:rsidRPr="00C97309">
              <w:rPr>
                <w:rFonts w:cs="Calibri"/>
                <w:bCs/>
                <w:color w:val="244061"/>
                <w:sz w:val="20"/>
                <w:szCs w:val="20"/>
                <w:lang w:val="fr-FR"/>
              </w:rPr>
              <w:t xml:space="preserve">  Demande de financement d’activités REDD+ mises en œuvre à l’appui des Programmes nationaux ONU-REDD existants. </w:t>
            </w:r>
          </w:p>
          <w:p w:rsidR="009B4319" w:rsidRPr="00C97309" w:rsidRDefault="00E93138" w:rsidP="003C21F9">
            <w:pPr>
              <w:widowControl w:val="0"/>
              <w:shd w:val="clear" w:color="auto" w:fill="DBE5F1"/>
              <w:autoSpaceDE w:val="0"/>
              <w:autoSpaceDN w:val="0"/>
              <w:adjustRightInd w:val="0"/>
              <w:spacing w:after="0" w:line="240" w:lineRule="auto"/>
              <w:rPr>
                <w:rFonts w:cs="Calibri"/>
                <w:bCs/>
                <w:color w:val="244061"/>
                <w:sz w:val="20"/>
                <w:szCs w:val="20"/>
                <w:lang w:val="fr-FR"/>
              </w:rPr>
            </w:pPr>
            <w:r>
              <w:rPr>
                <w:rFonts w:cs="Calibri"/>
                <w:bCs/>
                <w:color w:val="244061"/>
                <w:sz w:val="20"/>
                <w:szCs w:val="20"/>
                <w:lang w:val="fr-FR"/>
              </w:rPr>
              <w:t>X</w:t>
            </w:r>
            <w:r w:rsidR="009B4319" w:rsidRPr="00C97309">
              <w:rPr>
                <w:rFonts w:cs="Calibri"/>
                <w:bCs/>
                <w:color w:val="244061"/>
                <w:sz w:val="20"/>
                <w:szCs w:val="20"/>
                <w:lang w:val="fr-FR"/>
              </w:rPr>
              <w:t xml:space="preserve">  Demande de financement d’activités REDD+ complémentaires à d’autres activités REDD+ définies au niveau national (stratégies nationales, processus RPP et/ou activités REDD+ financées bilatéralement) ou pour le lancement d’autres activités REDD+ (le pays n’a pas de Programme national ONU-REDD).</w:t>
            </w:r>
          </w:p>
          <w:p w:rsidR="009B4319" w:rsidRPr="00C97309" w:rsidRDefault="009B4319" w:rsidP="00465C55">
            <w:pPr>
              <w:widowControl w:val="0"/>
              <w:shd w:val="clear" w:color="auto" w:fill="FFFFFF"/>
              <w:autoSpaceDE w:val="0"/>
              <w:autoSpaceDN w:val="0"/>
              <w:adjustRightInd w:val="0"/>
              <w:spacing w:after="0" w:line="240" w:lineRule="auto"/>
              <w:rPr>
                <w:b/>
                <w:bCs/>
                <w:color w:val="244061"/>
                <w:lang w:val="fr-FR"/>
              </w:rPr>
            </w:pPr>
          </w:p>
        </w:tc>
      </w:tr>
    </w:tbl>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B4319" w:rsidRPr="00E159B4" w:rsidTr="00465C55">
        <w:trPr>
          <w:cantSplit/>
        </w:trPr>
        <w:tc>
          <w:tcPr>
            <w:tcW w:w="9576" w:type="dxa"/>
            <w:shd w:val="clear" w:color="auto" w:fill="DBE5F1"/>
          </w:tcPr>
          <w:p w:rsidR="009B4319" w:rsidRPr="00C97309" w:rsidRDefault="009B4319" w:rsidP="00371EFE">
            <w:pPr>
              <w:spacing w:after="0" w:line="240" w:lineRule="auto"/>
              <w:rPr>
                <w:b/>
                <w:color w:val="244061"/>
                <w:lang w:val="fr-FR"/>
              </w:rPr>
            </w:pPr>
            <w:r w:rsidRPr="00C97309">
              <w:rPr>
                <w:b/>
                <w:color w:val="244061"/>
                <w:lang w:val="fr-FR"/>
              </w:rPr>
              <w:t>II. HISTORIQUE</w:t>
            </w:r>
            <w:r w:rsidRPr="00C97309">
              <w:rPr>
                <w:rStyle w:val="FootnoteReference"/>
                <w:b/>
                <w:color w:val="244061"/>
                <w:lang w:val="fr-FR"/>
              </w:rPr>
              <w:footnoteReference w:id="4"/>
            </w:r>
          </w:p>
          <w:p w:rsidR="009B4319" w:rsidRPr="00C97309" w:rsidRDefault="009B4319" w:rsidP="00371EFE">
            <w:pPr>
              <w:spacing w:after="0" w:line="240" w:lineRule="auto"/>
              <w:rPr>
                <w:rFonts w:cs="Calibri"/>
                <w:color w:val="1F497D"/>
                <w:lang w:val="fr-FR"/>
              </w:rPr>
            </w:pPr>
            <w:r w:rsidRPr="00C97309">
              <w:rPr>
                <w:rFonts w:cs="Calibri"/>
                <w:color w:val="1F497D"/>
                <w:lang w:val="fr-FR"/>
              </w:rPr>
              <w:t xml:space="preserve">Veuillez décrire l’historique de la demande. Exemples de contenus pertinents : </w:t>
            </w:r>
          </w:p>
          <w:p w:rsidR="009B4319" w:rsidRPr="00C97309" w:rsidRDefault="009B4319" w:rsidP="00371EFE">
            <w:pPr>
              <w:pStyle w:val="ListParagraph"/>
              <w:numPr>
                <w:ilvl w:val="0"/>
                <w:numId w:val="5"/>
              </w:numPr>
              <w:spacing w:after="0"/>
              <w:ind w:left="284" w:hanging="284"/>
              <w:rPr>
                <w:rFonts w:cs="Calibri"/>
                <w:color w:val="1F497D"/>
                <w:lang w:val="fr-FR"/>
              </w:rPr>
            </w:pPr>
            <w:r w:rsidRPr="00C97309">
              <w:rPr>
                <w:rFonts w:cs="Calibri"/>
                <w:color w:val="1F497D"/>
                <w:lang w:val="fr-FR"/>
              </w:rPr>
              <w:t>Description succincte de la situation de la préparation à la REDD+ dans le pays et des efforts déployés en faveur de la REDD+.</w:t>
            </w:r>
          </w:p>
          <w:p w:rsidR="009B4319" w:rsidRPr="00C97309" w:rsidRDefault="009B4319" w:rsidP="00176B09">
            <w:pPr>
              <w:pStyle w:val="NoSpacing"/>
              <w:numPr>
                <w:ilvl w:val="0"/>
                <w:numId w:val="5"/>
              </w:numPr>
              <w:spacing w:line="276" w:lineRule="auto"/>
              <w:ind w:left="284" w:hanging="284"/>
              <w:rPr>
                <w:color w:val="1F497D"/>
                <w:lang w:eastAsia="en-GB"/>
              </w:rPr>
            </w:pPr>
            <w:r w:rsidRPr="00C97309">
              <w:rPr>
                <w:rFonts w:cs="Calibri"/>
                <w:color w:val="244061"/>
                <w:sz w:val="21"/>
                <w:szCs w:val="21"/>
              </w:rPr>
              <w:t>Justification de l’appui nécessaire (qui doit représenter une contribution spécifique et supplémentaire aux efforts nationaux REDD+ avec pour objectif de combler des lacunes ou de favoriser d’autres activités</w:t>
            </w:r>
            <w:r w:rsidRPr="00C97309">
              <w:rPr>
                <w:color w:val="1F497D"/>
                <w:lang w:eastAsia="en-GB"/>
              </w:rPr>
              <w:t xml:space="preserve">). </w:t>
            </w:r>
          </w:p>
          <w:p w:rsidR="009B4319" w:rsidRPr="00C97309" w:rsidRDefault="009B4319" w:rsidP="00176B09">
            <w:pPr>
              <w:pStyle w:val="ListParagraph"/>
              <w:numPr>
                <w:ilvl w:val="0"/>
                <w:numId w:val="6"/>
              </w:numPr>
              <w:spacing w:after="0" w:line="240" w:lineRule="auto"/>
              <w:ind w:left="284" w:hanging="284"/>
              <w:rPr>
                <w:color w:val="1F497D"/>
                <w:lang w:val="fr-FR"/>
              </w:rPr>
            </w:pPr>
            <w:r w:rsidRPr="00C97309">
              <w:rPr>
                <w:color w:val="1F497D"/>
                <w:lang w:val="fr-FR"/>
              </w:rPr>
              <w:t xml:space="preserve">Établir clairement les liens avec les stratégies nationales REDD+. </w:t>
            </w:r>
          </w:p>
          <w:p w:rsidR="009B4319" w:rsidRPr="00C97309" w:rsidRDefault="009B4319" w:rsidP="003C215F">
            <w:pPr>
              <w:pStyle w:val="ListParagraph"/>
              <w:numPr>
                <w:ilvl w:val="0"/>
                <w:numId w:val="6"/>
              </w:numPr>
              <w:spacing w:after="0" w:line="240" w:lineRule="auto"/>
              <w:ind w:left="284" w:hanging="284"/>
              <w:rPr>
                <w:b/>
                <w:color w:val="1F497D"/>
                <w:sz w:val="28"/>
                <w:szCs w:val="28"/>
                <w:lang w:val="fr-FR"/>
              </w:rPr>
            </w:pPr>
            <w:r w:rsidRPr="00C97309">
              <w:rPr>
                <w:rFonts w:cs="Calibri"/>
                <w:color w:val="244061"/>
                <w:sz w:val="21"/>
                <w:szCs w:val="21"/>
                <w:lang w:val="fr-FR"/>
              </w:rPr>
              <w:t>Si le pays est doté d’un Programme national ONU-REDD ou s’il en est question, examiner comment l’appui demandé s’inscrit dans le Programme national/le processus R-PP</w:t>
            </w:r>
            <w:r w:rsidRPr="00C97309">
              <w:rPr>
                <w:color w:val="1F497D"/>
                <w:lang w:val="fr-FR"/>
              </w:rPr>
              <w:t>.</w:t>
            </w:r>
          </w:p>
          <w:p w:rsidR="009B4319" w:rsidRPr="00176B9C" w:rsidRDefault="009B4319" w:rsidP="00465C55">
            <w:pPr>
              <w:pStyle w:val="ListParagraph"/>
              <w:numPr>
                <w:ilvl w:val="0"/>
                <w:numId w:val="6"/>
              </w:numPr>
              <w:spacing w:after="0" w:line="240" w:lineRule="auto"/>
              <w:ind w:left="284" w:hanging="284"/>
              <w:rPr>
                <w:b/>
                <w:color w:val="1F497D"/>
                <w:sz w:val="28"/>
                <w:szCs w:val="28"/>
                <w:lang w:val="fr-FR"/>
              </w:rPr>
            </w:pPr>
            <w:r w:rsidRPr="00C97309">
              <w:rPr>
                <w:color w:val="1F497D"/>
                <w:lang w:val="fr-FR"/>
              </w:rPr>
              <w:t xml:space="preserve">Si l’appui tient compte des résultats d’une évaluation des besoins du pays, veuillez le contextualiser dans l’ensemble des résultats de l’évaluation.  </w:t>
            </w:r>
          </w:p>
          <w:p w:rsidR="00176B9C" w:rsidRPr="00176B9C" w:rsidRDefault="00176B9C" w:rsidP="00176B9C">
            <w:pPr>
              <w:spacing w:after="0" w:line="240" w:lineRule="auto"/>
              <w:rPr>
                <w:b/>
                <w:color w:val="1F497D"/>
                <w:sz w:val="28"/>
                <w:szCs w:val="28"/>
                <w:lang w:val="fr-FR"/>
              </w:rPr>
            </w:pPr>
          </w:p>
        </w:tc>
      </w:tr>
      <w:tr w:rsidR="009B4319" w:rsidRPr="00E159B4" w:rsidTr="00465C55">
        <w:trPr>
          <w:cantSplit/>
        </w:trPr>
        <w:tc>
          <w:tcPr>
            <w:tcW w:w="9576" w:type="dxa"/>
          </w:tcPr>
          <w:p w:rsidR="00872168" w:rsidRDefault="000D7310" w:rsidP="00242B10">
            <w:pPr>
              <w:spacing w:after="0"/>
              <w:rPr>
                <w:lang w:val="fr-FR"/>
              </w:rPr>
            </w:pPr>
            <w:r w:rsidRPr="00C76E63">
              <w:rPr>
                <w:lang w:val="fr-FR"/>
              </w:rPr>
              <w:t>La Tunisie est devenue un pays partenaire ONU-REDD en décembre 2013</w:t>
            </w:r>
            <w:r w:rsidR="00872168">
              <w:rPr>
                <w:lang w:val="fr-FR"/>
              </w:rPr>
              <w:t xml:space="preserve"> et </w:t>
            </w:r>
            <w:r w:rsidR="00872168" w:rsidRPr="00872168">
              <w:rPr>
                <w:lang w:val="fr-FR"/>
              </w:rPr>
              <w:t xml:space="preserve">est maintenant </w:t>
            </w:r>
            <w:r w:rsidR="00242B10">
              <w:rPr>
                <w:lang w:val="fr-FR"/>
              </w:rPr>
              <w:t xml:space="preserve">engagée </w:t>
            </w:r>
            <w:r w:rsidR="00872168" w:rsidRPr="00872168">
              <w:rPr>
                <w:lang w:val="fr-FR"/>
              </w:rPr>
              <w:t>dans le processus d'éla</w:t>
            </w:r>
            <w:r w:rsidR="00872168">
              <w:rPr>
                <w:lang w:val="fr-FR"/>
              </w:rPr>
              <w:t>boration de sa stratégie REDD +</w:t>
            </w:r>
            <w:r w:rsidRPr="00C76E63">
              <w:rPr>
                <w:lang w:val="fr-FR"/>
              </w:rPr>
              <w:t>.</w:t>
            </w:r>
            <w:r w:rsidR="005B65D5">
              <w:rPr>
                <w:lang w:val="fr-FR"/>
              </w:rPr>
              <w:t xml:space="preserve"> </w:t>
            </w:r>
            <w:r w:rsidR="00242B10">
              <w:rPr>
                <w:lang w:val="fr-FR"/>
              </w:rPr>
              <w:t>Elle est en particulier</w:t>
            </w:r>
            <w:r w:rsidR="00872168">
              <w:rPr>
                <w:lang w:val="fr-FR"/>
              </w:rPr>
              <w:t xml:space="preserve"> en train de faire</w:t>
            </w:r>
            <w:r w:rsidR="00872168" w:rsidRPr="00872168">
              <w:rPr>
                <w:lang w:val="fr-FR"/>
              </w:rPr>
              <w:t xml:space="preserve"> une analyse de l'architecture institutionnelle de la REDD + (</w:t>
            </w:r>
            <w:r w:rsidR="00872168">
              <w:rPr>
                <w:lang w:val="fr-FR"/>
              </w:rPr>
              <w:t xml:space="preserve">supporté par </w:t>
            </w:r>
            <w:r w:rsidR="005B65D5">
              <w:rPr>
                <w:lang w:val="fr-FR"/>
              </w:rPr>
              <w:t xml:space="preserve">le </w:t>
            </w:r>
            <w:r w:rsidR="00872168" w:rsidRPr="00872168">
              <w:rPr>
                <w:lang w:val="fr-FR"/>
              </w:rPr>
              <w:t>PNUD) et a fait une dema</w:t>
            </w:r>
            <w:r w:rsidR="00872168">
              <w:rPr>
                <w:lang w:val="fr-FR"/>
              </w:rPr>
              <w:t xml:space="preserve">nde au Secrétariat ONU-REDD pour une évaluation des besoins d’appui pour la mise en place de son </w:t>
            </w:r>
            <w:r w:rsidR="005B65D5">
              <w:rPr>
                <w:lang w:val="fr-FR"/>
              </w:rPr>
              <w:t>Système N</w:t>
            </w:r>
            <w:r w:rsidR="00872168">
              <w:rPr>
                <w:lang w:val="fr-FR"/>
              </w:rPr>
              <w:t xml:space="preserve">ational de </w:t>
            </w:r>
            <w:r w:rsidR="005B65D5">
              <w:rPr>
                <w:lang w:val="fr-FR"/>
              </w:rPr>
              <w:t>S</w:t>
            </w:r>
            <w:r w:rsidR="00872168">
              <w:rPr>
                <w:lang w:val="fr-FR"/>
              </w:rPr>
              <w:t xml:space="preserve">urveillance des </w:t>
            </w:r>
            <w:r w:rsidR="005B65D5">
              <w:rPr>
                <w:lang w:val="fr-FR"/>
              </w:rPr>
              <w:t>F</w:t>
            </w:r>
            <w:r w:rsidR="00872168">
              <w:rPr>
                <w:lang w:val="fr-FR"/>
              </w:rPr>
              <w:t>or</w:t>
            </w:r>
            <w:r w:rsidR="005B65D5">
              <w:rPr>
                <w:lang w:val="fr-FR"/>
              </w:rPr>
              <w:t>ê</w:t>
            </w:r>
            <w:r w:rsidR="00872168">
              <w:rPr>
                <w:lang w:val="fr-FR"/>
              </w:rPr>
              <w:t xml:space="preserve">ts. </w:t>
            </w:r>
          </w:p>
          <w:p w:rsidR="00486DED" w:rsidRPr="005B65D5" w:rsidRDefault="00486DED" w:rsidP="00486DED">
            <w:pPr>
              <w:spacing w:after="0"/>
              <w:rPr>
                <w:b/>
                <w:sz w:val="20"/>
                <w:szCs w:val="20"/>
                <w:lang w:val="fr-FR"/>
              </w:rPr>
            </w:pPr>
          </w:p>
          <w:p w:rsidR="00242B10" w:rsidRDefault="00C76E63" w:rsidP="002F018E">
            <w:pPr>
              <w:shd w:val="clear" w:color="auto" w:fill="FFFFFF"/>
              <w:spacing w:after="0" w:line="240" w:lineRule="auto"/>
              <w:rPr>
                <w:lang w:val="fr-FR"/>
              </w:rPr>
            </w:pPr>
            <w:r>
              <w:rPr>
                <w:rFonts w:cs="Arial"/>
                <w:iCs/>
                <w:lang w:val="fr-FR"/>
              </w:rPr>
              <w:t>La Tunisie</w:t>
            </w:r>
            <w:r w:rsidR="00322D0F" w:rsidRPr="00F3099F">
              <w:rPr>
                <w:rFonts w:cs="Arial"/>
                <w:iCs/>
                <w:lang w:val="fr-FR"/>
              </w:rPr>
              <w:t xml:space="preserve"> vise à clarifier la situation foncière dans le pays pour contribuer à l'é</w:t>
            </w:r>
            <w:r w:rsidR="00322D0F">
              <w:rPr>
                <w:rFonts w:cs="Arial"/>
                <w:iCs/>
                <w:lang w:val="fr-FR"/>
              </w:rPr>
              <w:t>laboration de sa stratégie REDD</w:t>
            </w:r>
            <w:r w:rsidR="00322D0F" w:rsidRPr="00F3099F">
              <w:rPr>
                <w:rFonts w:cs="Arial"/>
                <w:iCs/>
                <w:lang w:val="fr-FR"/>
              </w:rPr>
              <w:t xml:space="preserve">+ et </w:t>
            </w:r>
            <w:r w:rsidR="00322D0F">
              <w:rPr>
                <w:rFonts w:cs="Arial"/>
                <w:iCs/>
                <w:lang w:val="fr-FR"/>
              </w:rPr>
              <w:t xml:space="preserve">ainsi </w:t>
            </w:r>
            <w:r w:rsidR="00322D0F" w:rsidRPr="00F3099F">
              <w:rPr>
                <w:rFonts w:cs="Arial"/>
                <w:iCs/>
                <w:lang w:val="fr-FR"/>
              </w:rPr>
              <w:t xml:space="preserve"> jeter les bases pour </w:t>
            </w:r>
            <w:r w:rsidR="00322D0F">
              <w:rPr>
                <w:rFonts w:cs="Arial"/>
                <w:iCs/>
                <w:lang w:val="fr-FR"/>
              </w:rPr>
              <w:t xml:space="preserve">une </w:t>
            </w:r>
            <w:r w:rsidR="00322D0F" w:rsidRPr="00F3099F">
              <w:rPr>
                <w:rFonts w:cs="Arial"/>
                <w:iCs/>
                <w:lang w:val="fr-FR"/>
              </w:rPr>
              <w:t xml:space="preserve"> mise en œuvre efficace. Ce travail commencer</w:t>
            </w:r>
            <w:r w:rsidR="00322D0F">
              <w:rPr>
                <w:rFonts w:cs="Arial"/>
                <w:iCs/>
                <w:lang w:val="fr-FR"/>
              </w:rPr>
              <w:t>a</w:t>
            </w:r>
            <w:r w:rsidR="00322D0F" w:rsidRPr="00F3099F">
              <w:rPr>
                <w:rFonts w:cs="Arial"/>
                <w:iCs/>
                <w:lang w:val="fr-FR"/>
              </w:rPr>
              <w:t xml:space="preserve"> par entreprendre une étude exploratoire </w:t>
            </w:r>
            <w:r w:rsidR="00322D0F">
              <w:rPr>
                <w:rFonts w:cs="Arial"/>
                <w:iCs/>
                <w:lang w:val="fr-FR"/>
              </w:rPr>
              <w:t>qui</w:t>
            </w:r>
            <w:r w:rsidR="005B65D5">
              <w:rPr>
                <w:rFonts w:cs="Arial"/>
                <w:iCs/>
                <w:lang w:val="fr-FR"/>
              </w:rPr>
              <w:t xml:space="preserve"> </w:t>
            </w:r>
            <w:r w:rsidR="00322D0F">
              <w:rPr>
                <w:rFonts w:cs="Arial"/>
                <w:iCs/>
                <w:lang w:val="fr-FR"/>
              </w:rPr>
              <w:t xml:space="preserve">analysera les questions </w:t>
            </w:r>
            <w:r w:rsidR="005B65D5">
              <w:rPr>
                <w:rFonts w:cs="Arial"/>
                <w:iCs/>
                <w:lang w:val="fr-FR"/>
              </w:rPr>
              <w:t>foncières</w:t>
            </w:r>
            <w:r w:rsidR="00322D0F" w:rsidRPr="00F3099F">
              <w:rPr>
                <w:rFonts w:cs="Arial"/>
                <w:iCs/>
                <w:lang w:val="fr-FR"/>
              </w:rPr>
              <w:t xml:space="preserve"> dans le cadre de l'élabora</w:t>
            </w:r>
            <w:r w:rsidR="00322D0F">
              <w:rPr>
                <w:rFonts w:cs="Arial"/>
                <w:iCs/>
                <w:lang w:val="fr-FR"/>
              </w:rPr>
              <w:t>tion du Programme national ONU-REDD</w:t>
            </w:r>
            <w:r w:rsidR="00322D0F" w:rsidRPr="00F3099F">
              <w:rPr>
                <w:rFonts w:cs="Arial"/>
                <w:iCs/>
                <w:lang w:val="fr-FR"/>
              </w:rPr>
              <w:t xml:space="preserve">. Cette étude fournira </w:t>
            </w:r>
            <w:r w:rsidR="00322D0F">
              <w:rPr>
                <w:rFonts w:cs="Arial"/>
                <w:iCs/>
                <w:lang w:val="fr-FR"/>
              </w:rPr>
              <w:t xml:space="preserve">une base </w:t>
            </w:r>
            <w:r w:rsidR="00242B10">
              <w:rPr>
                <w:rFonts w:cs="Arial"/>
                <w:iCs/>
                <w:lang w:val="fr-FR"/>
              </w:rPr>
              <w:t xml:space="preserve">de données </w:t>
            </w:r>
            <w:r w:rsidR="004B7F15">
              <w:rPr>
                <w:rFonts w:cs="Arial"/>
                <w:iCs/>
                <w:lang w:val="fr-FR"/>
              </w:rPr>
              <w:t>pertinente</w:t>
            </w:r>
            <w:r w:rsidR="00322D0F" w:rsidRPr="00F3099F">
              <w:rPr>
                <w:rFonts w:cs="Arial"/>
                <w:iCs/>
                <w:lang w:val="fr-FR"/>
              </w:rPr>
              <w:t xml:space="preserve"> sur l</w:t>
            </w:r>
            <w:r w:rsidR="007E5C86">
              <w:rPr>
                <w:rFonts w:cs="Arial"/>
                <w:iCs/>
                <w:lang w:val="fr-FR"/>
              </w:rPr>
              <w:t>es</w:t>
            </w:r>
            <w:r w:rsidR="00322D0F" w:rsidRPr="00F3099F">
              <w:rPr>
                <w:rFonts w:cs="Arial"/>
                <w:iCs/>
                <w:lang w:val="fr-FR"/>
              </w:rPr>
              <w:t xml:space="preserve"> question</w:t>
            </w:r>
            <w:r w:rsidR="007E5C86">
              <w:rPr>
                <w:rFonts w:cs="Arial"/>
                <w:iCs/>
                <w:lang w:val="fr-FR"/>
              </w:rPr>
              <w:t>s</w:t>
            </w:r>
            <w:r w:rsidR="00322D0F" w:rsidRPr="00F3099F">
              <w:rPr>
                <w:rFonts w:cs="Arial"/>
                <w:iCs/>
                <w:lang w:val="fr-FR"/>
              </w:rPr>
              <w:t xml:space="preserve"> foncière</w:t>
            </w:r>
            <w:r w:rsidR="007E5C86">
              <w:rPr>
                <w:rFonts w:cs="Arial"/>
                <w:iCs/>
                <w:lang w:val="fr-FR"/>
              </w:rPr>
              <w:t>s</w:t>
            </w:r>
            <w:r w:rsidR="00322D0F" w:rsidRPr="00F3099F">
              <w:rPr>
                <w:rFonts w:cs="Arial"/>
                <w:iCs/>
                <w:lang w:val="fr-FR"/>
              </w:rPr>
              <w:t xml:space="preserve"> </w:t>
            </w:r>
            <w:r w:rsidR="00322D0F">
              <w:rPr>
                <w:rFonts w:cs="Arial"/>
                <w:iCs/>
                <w:lang w:val="fr-FR"/>
              </w:rPr>
              <w:t>et</w:t>
            </w:r>
            <w:r w:rsidR="00322D0F" w:rsidRPr="00F3099F">
              <w:rPr>
                <w:rFonts w:cs="Arial"/>
                <w:iCs/>
                <w:lang w:val="fr-FR"/>
              </w:rPr>
              <w:t xml:space="preserve"> proposer</w:t>
            </w:r>
            <w:r w:rsidR="00322D0F">
              <w:rPr>
                <w:rFonts w:cs="Arial"/>
                <w:iCs/>
                <w:lang w:val="fr-FR"/>
              </w:rPr>
              <w:t>a</w:t>
            </w:r>
            <w:r w:rsidR="00322D0F" w:rsidRPr="00F3099F">
              <w:rPr>
                <w:rFonts w:cs="Arial"/>
                <w:iCs/>
                <w:lang w:val="fr-FR"/>
              </w:rPr>
              <w:t xml:space="preserve"> une</w:t>
            </w:r>
            <w:r w:rsidR="00322D0F">
              <w:rPr>
                <w:rFonts w:cs="Arial"/>
                <w:iCs/>
                <w:lang w:val="fr-FR"/>
              </w:rPr>
              <w:t xml:space="preserve"> liste de recommandations </w:t>
            </w:r>
            <w:r w:rsidR="004B7F15">
              <w:rPr>
                <w:rFonts w:cs="Arial"/>
                <w:iCs/>
                <w:lang w:val="fr-FR"/>
              </w:rPr>
              <w:t xml:space="preserve"> qui se</w:t>
            </w:r>
            <w:r w:rsidR="00F2223F">
              <w:rPr>
                <w:rFonts w:cs="Arial"/>
                <w:iCs/>
                <w:lang w:val="fr-FR"/>
              </w:rPr>
              <w:t>r</w:t>
            </w:r>
            <w:r w:rsidR="004B7F15">
              <w:rPr>
                <w:rFonts w:cs="Arial"/>
                <w:iCs/>
                <w:lang w:val="fr-FR"/>
              </w:rPr>
              <w:t>viront</w:t>
            </w:r>
            <w:r w:rsidR="00242B10">
              <w:rPr>
                <w:rFonts w:cs="Arial"/>
                <w:iCs/>
                <w:lang w:val="fr-FR"/>
              </w:rPr>
              <w:t xml:space="preserve">  </w:t>
            </w:r>
            <w:r w:rsidR="00242B10" w:rsidRPr="002F018E">
              <w:rPr>
                <w:rFonts w:cs="Arial"/>
                <w:iCs/>
                <w:lang w:val="fr-FR"/>
              </w:rPr>
              <w:t xml:space="preserve">au </w:t>
            </w:r>
            <w:r w:rsidR="00322D0F" w:rsidRPr="002F018E">
              <w:rPr>
                <w:rFonts w:cs="Arial"/>
                <w:iCs/>
                <w:lang w:val="fr-FR"/>
              </w:rPr>
              <w:t>développement de la stratégie REDD+ de la Tunisie</w:t>
            </w:r>
            <w:r w:rsidR="00322D0F" w:rsidRPr="00F3099F">
              <w:rPr>
                <w:rFonts w:cs="Arial"/>
                <w:iCs/>
                <w:lang w:val="fr-FR"/>
              </w:rPr>
              <w:t xml:space="preserve">. </w:t>
            </w:r>
            <w:r w:rsidR="00322D0F">
              <w:rPr>
                <w:rFonts w:cs="Arial"/>
                <w:iCs/>
                <w:lang w:val="fr-FR"/>
              </w:rPr>
              <w:t xml:space="preserve">Cette étude s’inscrira également dans le contexte de la </w:t>
            </w:r>
            <w:r w:rsidR="00322D0F" w:rsidRPr="001F0476">
              <w:rPr>
                <w:lang w:val="fr-FR"/>
              </w:rPr>
              <w:t xml:space="preserve">Stratégie Nationale de Développement et de Gestion </w:t>
            </w:r>
            <w:r w:rsidR="00322D0F" w:rsidRPr="005F6CE7">
              <w:rPr>
                <w:lang w:val="fr-FR"/>
              </w:rPr>
              <w:t xml:space="preserve">Durable des Forêts et des Parcours </w:t>
            </w:r>
            <w:r w:rsidR="000777CF">
              <w:rPr>
                <w:lang w:val="fr-FR"/>
              </w:rPr>
              <w:t xml:space="preserve">(2015 – 2024) </w:t>
            </w:r>
            <w:r w:rsidR="00322D0F" w:rsidRPr="005F6CE7">
              <w:rPr>
                <w:lang w:val="fr-FR"/>
              </w:rPr>
              <w:t>en soutenant l’élaboration d</w:t>
            </w:r>
            <w:r w:rsidR="00242B10">
              <w:rPr>
                <w:lang w:val="fr-FR"/>
              </w:rPr>
              <w:t>’un</w:t>
            </w:r>
            <w:r w:rsidR="00322D0F" w:rsidRPr="005F6CE7">
              <w:rPr>
                <w:lang w:val="fr-FR"/>
              </w:rPr>
              <w:t xml:space="preserve"> plan directeur </w:t>
            </w:r>
            <w:r w:rsidR="00322D0F" w:rsidRPr="005F6CE7">
              <w:rPr>
                <w:bCs/>
                <w:iCs/>
                <w:lang w:val="fr-FR"/>
              </w:rPr>
              <w:t>d’assainissement de la situation foncière et en s’assurant que celui-ci tienne compte des enjeux fonciers spécifiques à la REDD+</w:t>
            </w:r>
            <w:r w:rsidR="00322D0F" w:rsidRPr="005F6CE7">
              <w:rPr>
                <w:lang w:val="fr-FR"/>
              </w:rPr>
              <w:t xml:space="preserve">. </w:t>
            </w:r>
          </w:p>
          <w:p w:rsidR="00322D0F" w:rsidRDefault="00242B10" w:rsidP="005D6E81">
            <w:pPr>
              <w:shd w:val="clear" w:color="auto" w:fill="FFFFFF"/>
              <w:spacing w:after="0" w:line="240" w:lineRule="auto"/>
              <w:rPr>
                <w:rFonts w:cs="Arial"/>
                <w:iCs/>
                <w:lang w:val="fr-FR"/>
              </w:rPr>
            </w:pPr>
            <w:r>
              <w:rPr>
                <w:lang w:val="fr-FR"/>
              </w:rPr>
              <w:t>Il est prévu également l’organisation de d</w:t>
            </w:r>
            <w:r w:rsidR="00322D0F" w:rsidRPr="005F6CE7">
              <w:rPr>
                <w:rFonts w:cs="Arial"/>
                <w:iCs/>
                <w:lang w:val="fr-FR"/>
              </w:rPr>
              <w:t>eux</w:t>
            </w:r>
            <w:r w:rsidR="00322D0F" w:rsidRPr="00982A25">
              <w:rPr>
                <w:rFonts w:cs="Arial"/>
                <w:iCs/>
                <w:lang w:val="fr-FR"/>
              </w:rPr>
              <w:t xml:space="preserve"> atelier</w:t>
            </w:r>
            <w:r w:rsidR="00322D0F">
              <w:rPr>
                <w:rFonts w:cs="Arial"/>
                <w:iCs/>
                <w:lang w:val="fr-FR"/>
              </w:rPr>
              <w:t>s</w:t>
            </w:r>
            <w:r w:rsidR="00322D0F" w:rsidRPr="00982A25">
              <w:rPr>
                <w:rFonts w:cs="Arial"/>
                <w:iCs/>
                <w:lang w:val="fr-FR"/>
              </w:rPr>
              <w:t xml:space="preserve">, </w:t>
            </w:r>
            <w:r>
              <w:rPr>
                <w:rFonts w:cs="Arial"/>
                <w:iCs/>
                <w:lang w:val="fr-FR"/>
              </w:rPr>
              <w:t>ayant pour objectifs</w:t>
            </w:r>
            <w:r w:rsidRPr="00982A25">
              <w:rPr>
                <w:rFonts w:cs="Arial"/>
                <w:iCs/>
                <w:lang w:val="fr-FR"/>
              </w:rPr>
              <w:t xml:space="preserve"> </w:t>
            </w:r>
            <w:r w:rsidR="00322D0F" w:rsidRPr="00982A25">
              <w:rPr>
                <w:rFonts w:cs="Arial"/>
                <w:iCs/>
                <w:lang w:val="fr-FR"/>
              </w:rPr>
              <w:t xml:space="preserve">de </w:t>
            </w:r>
            <w:r>
              <w:rPr>
                <w:rFonts w:cs="Arial"/>
                <w:iCs/>
                <w:lang w:val="fr-FR"/>
              </w:rPr>
              <w:t xml:space="preserve">lancer et </w:t>
            </w:r>
            <w:r w:rsidR="00322D0F" w:rsidRPr="00982A25">
              <w:rPr>
                <w:rFonts w:cs="Arial"/>
                <w:iCs/>
                <w:lang w:val="fr-FR"/>
              </w:rPr>
              <w:t xml:space="preserve">stimuler la discussion </w:t>
            </w:r>
            <w:r>
              <w:rPr>
                <w:rFonts w:cs="Arial"/>
                <w:iCs/>
                <w:lang w:val="fr-FR"/>
              </w:rPr>
              <w:t xml:space="preserve">sur les questions foncières </w:t>
            </w:r>
            <w:r w:rsidR="00322D0F" w:rsidRPr="00982A25">
              <w:rPr>
                <w:rFonts w:cs="Arial"/>
                <w:iCs/>
                <w:lang w:val="fr-FR"/>
              </w:rPr>
              <w:t xml:space="preserve">et de recueillir des informations </w:t>
            </w:r>
            <w:r w:rsidR="00322D0F">
              <w:rPr>
                <w:rFonts w:cs="Arial"/>
                <w:iCs/>
                <w:lang w:val="fr-FR"/>
              </w:rPr>
              <w:t>auprès</w:t>
            </w:r>
            <w:r w:rsidR="00322D0F" w:rsidRPr="00982A25">
              <w:rPr>
                <w:rFonts w:cs="Arial"/>
                <w:iCs/>
                <w:lang w:val="fr-FR"/>
              </w:rPr>
              <w:t xml:space="preserve"> de plusieurs parties prenantes</w:t>
            </w:r>
            <w:r w:rsidR="00322D0F" w:rsidRPr="000637D5">
              <w:rPr>
                <w:rFonts w:cs="Arial"/>
                <w:iCs/>
                <w:lang w:val="fr-FR"/>
              </w:rPr>
              <w:t>.  En plus</w:t>
            </w:r>
            <w:r>
              <w:rPr>
                <w:rFonts w:cs="Arial"/>
                <w:iCs/>
                <w:lang w:val="fr-FR"/>
              </w:rPr>
              <w:t xml:space="preserve"> des</w:t>
            </w:r>
            <w:r w:rsidR="00322D0F" w:rsidRPr="000637D5">
              <w:rPr>
                <w:rFonts w:cs="Arial"/>
                <w:iCs/>
                <w:lang w:val="fr-FR"/>
              </w:rPr>
              <w:t xml:space="preserve"> </w:t>
            </w:r>
            <w:r>
              <w:rPr>
                <w:rFonts w:cs="Arial"/>
                <w:iCs/>
                <w:lang w:val="fr-FR"/>
              </w:rPr>
              <w:t xml:space="preserve">deux </w:t>
            </w:r>
            <w:r w:rsidR="00322D0F" w:rsidRPr="000637D5">
              <w:rPr>
                <w:rFonts w:cs="Arial"/>
                <w:iCs/>
                <w:lang w:val="fr-FR"/>
              </w:rPr>
              <w:t xml:space="preserve">ateliers </w:t>
            </w:r>
            <w:r>
              <w:rPr>
                <w:rFonts w:cs="Arial"/>
                <w:iCs/>
                <w:lang w:val="fr-FR"/>
              </w:rPr>
              <w:t>il est prévu l’organisation d’une</w:t>
            </w:r>
            <w:r w:rsidRPr="000637D5">
              <w:rPr>
                <w:rFonts w:cs="Arial"/>
                <w:iCs/>
                <w:lang w:val="fr-FR"/>
              </w:rPr>
              <w:t xml:space="preserve"> </w:t>
            </w:r>
            <w:r w:rsidR="00322D0F" w:rsidRPr="000637D5">
              <w:rPr>
                <w:rFonts w:cs="Arial"/>
                <w:iCs/>
                <w:lang w:val="fr-FR"/>
              </w:rPr>
              <w:t>réunion de décideurs</w:t>
            </w:r>
            <w:r>
              <w:rPr>
                <w:rFonts w:cs="Arial"/>
                <w:iCs/>
                <w:lang w:val="fr-FR"/>
              </w:rPr>
              <w:t xml:space="preserve"> en la matière. Tout ceci aboutirait</w:t>
            </w:r>
            <w:r w:rsidR="00322D0F" w:rsidRPr="000637D5">
              <w:rPr>
                <w:rFonts w:cs="Arial"/>
                <w:iCs/>
                <w:lang w:val="fr-FR"/>
              </w:rPr>
              <w:t xml:space="preserve"> </w:t>
            </w:r>
            <w:r>
              <w:rPr>
                <w:rFonts w:cs="Arial"/>
                <w:iCs/>
                <w:lang w:val="fr-FR"/>
              </w:rPr>
              <w:t>au</w:t>
            </w:r>
            <w:r w:rsidR="00322D0F" w:rsidRPr="000637D5">
              <w:rPr>
                <w:rFonts w:cs="Arial"/>
                <w:iCs/>
                <w:lang w:val="fr-FR"/>
              </w:rPr>
              <w:t xml:space="preserve"> développe</w:t>
            </w:r>
            <w:r>
              <w:rPr>
                <w:rFonts w:cs="Arial"/>
                <w:iCs/>
                <w:lang w:val="fr-FR"/>
              </w:rPr>
              <w:t>ment</w:t>
            </w:r>
            <w:r w:rsidR="00322D0F" w:rsidRPr="000637D5">
              <w:rPr>
                <w:rFonts w:cs="Arial"/>
                <w:iCs/>
                <w:lang w:val="fr-FR"/>
              </w:rPr>
              <w:t xml:space="preserve"> </w:t>
            </w:r>
            <w:r>
              <w:rPr>
                <w:rFonts w:cs="Arial"/>
                <w:iCs/>
                <w:lang w:val="fr-FR"/>
              </w:rPr>
              <w:t>d’</w:t>
            </w:r>
            <w:r w:rsidR="00322D0F" w:rsidRPr="000637D5">
              <w:rPr>
                <w:rFonts w:cs="Arial"/>
                <w:iCs/>
                <w:lang w:val="fr-FR"/>
              </w:rPr>
              <w:t xml:space="preserve">une stratégie autour des </w:t>
            </w:r>
            <w:r w:rsidR="005D6E81">
              <w:rPr>
                <w:rFonts w:cs="Arial"/>
                <w:iCs/>
                <w:lang w:val="fr-FR"/>
              </w:rPr>
              <w:t>questions</w:t>
            </w:r>
            <w:r w:rsidR="005D6E81" w:rsidRPr="000637D5">
              <w:rPr>
                <w:rFonts w:cs="Arial"/>
                <w:iCs/>
                <w:lang w:val="fr-FR"/>
              </w:rPr>
              <w:t xml:space="preserve"> </w:t>
            </w:r>
            <w:r w:rsidR="00322D0F" w:rsidRPr="000637D5">
              <w:rPr>
                <w:rFonts w:cs="Arial"/>
                <w:iCs/>
                <w:lang w:val="fr-FR"/>
              </w:rPr>
              <w:t xml:space="preserve">foncières à plus long terme en  Tunisie, </w:t>
            </w:r>
            <w:r w:rsidR="005D6E81">
              <w:rPr>
                <w:rFonts w:cs="Arial"/>
                <w:iCs/>
                <w:lang w:val="fr-FR"/>
              </w:rPr>
              <w:t xml:space="preserve">qui engloberait entre autres </w:t>
            </w:r>
            <w:r w:rsidR="00322D0F" w:rsidRPr="000637D5">
              <w:rPr>
                <w:rFonts w:cs="Arial"/>
                <w:iCs/>
                <w:lang w:val="fr-FR"/>
              </w:rPr>
              <w:t xml:space="preserve">: </w:t>
            </w:r>
          </w:p>
          <w:p w:rsidR="00486DED" w:rsidRPr="00C76E63" w:rsidRDefault="00486DED" w:rsidP="00486DED">
            <w:pPr>
              <w:shd w:val="clear" w:color="auto" w:fill="FFFFFF"/>
              <w:spacing w:after="0" w:line="240" w:lineRule="auto"/>
              <w:rPr>
                <w:lang w:val="fr-FR"/>
              </w:rPr>
            </w:pPr>
          </w:p>
          <w:p w:rsidR="00705370" w:rsidRDefault="00322D0F" w:rsidP="00486DED">
            <w:pPr>
              <w:pStyle w:val="ListParagraph"/>
              <w:numPr>
                <w:ilvl w:val="0"/>
                <w:numId w:val="14"/>
              </w:numPr>
              <w:spacing w:after="0"/>
              <w:jc w:val="both"/>
              <w:rPr>
                <w:lang w:val="fr-FR" w:bidi="ar-MA"/>
              </w:rPr>
            </w:pPr>
            <w:r w:rsidRPr="000637D5">
              <w:rPr>
                <w:lang w:val="fr-FR" w:bidi="ar-MA"/>
              </w:rPr>
              <w:t>l’élaboration d’une base numérique de l’assise foncière des forêts tunisiennes</w:t>
            </w:r>
            <w:r w:rsidR="00705370">
              <w:rPr>
                <w:lang w:val="fr-FR" w:bidi="ar-MA"/>
              </w:rPr>
              <w:t> ;</w:t>
            </w:r>
          </w:p>
          <w:p w:rsidR="00322D0F" w:rsidRPr="000637D5" w:rsidRDefault="00705370" w:rsidP="00705370">
            <w:pPr>
              <w:pStyle w:val="ListParagraph"/>
              <w:numPr>
                <w:ilvl w:val="0"/>
                <w:numId w:val="14"/>
              </w:numPr>
              <w:spacing w:after="0"/>
              <w:jc w:val="both"/>
              <w:rPr>
                <w:lang w:val="fr-FR" w:bidi="ar-MA"/>
              </w:rPr>
            </w:pPr>
            <w:r>
              <w:rPr>
                <w:lang w:val="fr-FR" w:bidi="ar-MA"/>
              </w:rPr>
              <w:t xml:space="preserve">l’élaboration d’une </w:t>
            </w:r>
            <w:r w:rsidRPr="000637D5">
              <w:rPr>
                <w:lang w:val="fr-FR" w:bidi="ar-MA"/>
              </w:rPr>
              <w:t>base numérique de l’assise foncière des</w:t>
            </w:r>
            <w:r>
              <w:rPr>
                <w:lang w:val="fr-FR" w:bidi="ar-MA"/>
              </w:rPr>
              <w:t xml:space="preserve"> terrains privés à vocation forestière</w:t>
            </w:r>
          </w:p>
          <w:p w:rsidR="00322D0F" w:rsidRPr="000637D5" w:rsidRDefault="00322D0F" w:rsidP="005D6E81">
            <w:pPr>
              <w:pStyle w:val="ListParagraph"/>
              <w:numPr>
                <w:ilvl w:val="0"/>
                <w:numId w:val="14"/>
              </w:numPr>
              <w:spacing w:after="0"/>
              <w:jc w:val="both"/>
              <w:rPr>
                <w:lang w:val="fr-FR" w:bidi="ar-MA"/>
              </w:rPr>
            </w:pPr>
            <w:r w:rsidRPr="000637D5">
              <w:rPr>
                <w:lang w:val="fr-FR" w:bidi="ar-MA"/>
              </w:rPr>
              <w:t>la formation des techniciens en termes d’utilisation de</w:t>
            </w:r>
            <w:r w:rsidR="005D6E81">
              <w:rPr>
                <w:lang w:val="fr-FR" w:bidi="ar-MA"/>
              </w:rPr>
              <w:t>s</w:t>
            </w:r>
            <w:r w:rsidRPr="000637D5">
              <w:rPr>
                <w:lang w:val="fr-FR" w:bidi="ar-MA"/>
              </w:rPr>
              <w:t xml:space="preserve"> nouvelle</w:t>
            </w:r>
            <w:r w:rsidR="005D6E81">
              <w:rPr>
                <w:lang w:val="fr-FR" w:bidi="ar-MA"/>
              </w:rPr>
              <w:t>s</w:t>
            </w:r>
            <w:r w:rsidRPr="000637D5">
              <w:rPr>
                <w:lang w:val="fr-FR" w:bidi="ar-MA"/>
              </w:rPr>
              <w:t xml:space="preserve"> technologie</w:t>
            </w:r>
            <w:r w:rsidR="005D6E81">
              <w:rPr>
                <w:lang w:val="fr-FR" w:bidi="ar-MA"/>
              </w:rPr>
              <w:t>s</w:t>
            </w:r>
            <w:r w:rsidRPr="000637D5">
              <w:rPr>
                <w:lang w:val="fr-FR" w:bidi="ar-MA"/>
              </w:rPr>
              <w:t xml:space="preserve"> </w:t>
            </w:r>
            <w:r w:rsidR="005D6E81">
              <w:rPr>
                <w:lang w:val="fr-FR" w:bidi="ar-MA"/>
              </w:rPr>
              <w:t xml:space="preserve">en matière </w:t>
            </w:r>
            <w:r w:rsidRPr="000637D5">
              <w:rPr>
                <w:lang w:val="fr-FR" w:bidi="ar-MA"/>
              </w:rPr>
              <w:t>de cartographie et des systèmes d’informations géographiques.</w:t>
            </w:r>
          </w:p>
          <w:p w:rsidR="00322D0F" w:rsidRPr="000637D5" w:rsidRDefault="005D6E81" w:rsidP="005D6E81">
            <w:pPr>
              <w:pStyle w:val="ListParagraph"/>
              <w:numPr>
                <w:ilvl w:val="0"/>
                <w:numId w:val="14"/>
              </w:numPr>
              <w:spacing w:after="0"/>
              <w:jc w:val="both"/>
              <w:rPr>
                <w:lang w:val="fr-FR" w:bidi="ar-MA"/>
              </w:rPr>
            </w:pPr>
            <w:r>
              <w:rPr>
                <w:lang w:val="fr-FR" w:bidi="ar-MA"/>
              </w:rPr>
              <w:t>La mise à disposition des</w:t>
            </w:r>
            <w:r w:rsidRPr="000637D5">
              <w:rPr>
                <w:lang w:val="fr-FR" w:bidi="ar-MA"/>
              </w:rPr>
              <w:t xml:space="preserve"> </w:t>
            </w:r>
            <w:r w:rsidR="00322D0F" w:rsidRPr="000637D5">
              <w:rPr>
                <w:lang w:val="fr-FR" w:bidi="ar-MA"/>
              </w:rPr>
              <w:t>moyens</w:t>
            </w:r>
            <w:r w:rsidR="00322D0F">
              <w:rPr>
                <w:lang w:val="fr-FR" w:bidi="ar-MA"/>
              </w:rPr>
              <w:t xml:space="preserve"> humains</w:t>
            </w:r>
            <w:r w:rsidR="00322D0F" w:rsidRPr="000637D5">
              <w:rPr>
                <w:lang w:val="fr-FR" w:bidi="ar-MA"/>
              </w:rPr>
              <w:t xml:space="preserve"> </w:t>
            </w:r>
            <w:r>
              <w:rPr>
                <w:lang w:val="fr-FR" w:bidi="ar-MA"/>
              </w:rPr>
              <w:t xml:space="preserve">nécessaires </w:t>
            </w:r>
            <w:r w:rsidR="00322D0F" w:rsidRPr="000637D5">
              <w:rPr>
                <w:lang w:val="fr-FR" w:bidi="ar-MA"/>
              </w:rPr>
              <w:t>et matériels appropriés pour le rétablissement des bornes et l’identification pratique des limites réel</w:t>
            </w:r>
            <w:r w:rsidR="00EE63EF">
              <w:rPr>
                <w:lang w:val="fr-FR" w:bidi="ar-MA"/>
              </w:rPr>
              <w:t>le</w:t>
            </w:r>
            <w:r w:rsidR="00322D0F" w:rsidRPr="000637D5">
              <w:rPr>
                <w:lang w:val="fr-FR" w:bidi="ar-MA"/>
              </w:rPr>
              <w:t xml:space="preserve">s du domaine forestier de l’état.  </w:t>
            </w:r>
          </w:p>
          <w:p w:rsidR="00322D0F" w:rsidRPr="00C97309" w:rsidRDefault="00322D0F" w:rsidP="000D7310">
            <w:pPr>
              <w:shd w:val="clear" w:color="auto" w:fill="FFFFFF"/>
              <w:spacing w:after="100" w:line="240" w:lineRule="auto"/>
              <w:rPr>
                <w:b/>
                <w:color w:val="1F497D"/>
                <w:lang w:val="fr-FR"/>
              </w:rPr>
            </w:pPr>
          </w:p>
        </w:tc>
      </w:tr>
    </w:tbl>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8"/>
      </w:tblGrid>
      <w:tr w:rsidR="009B4319" w:rsidRPr="00E159B4" w:rsidTr="005F6CE7">
        <w:trPr>
          <w:cantSplit/>
        </w:trPr>
        <w:tc>
          <w:tcPr>
            <w:tcW w:w="9738" w:type="dxa"/>
            <w:shd w:val="clear" w:color="auto" w:fill="DBE5F1"/>
          </w:tcPr>
          <w:p w:rsidR="009B4319" w:rsidRPr="00C97309" w:rsidRDefault="009B4319" w:rsidP="001D56F8">
            <w:pPr>
              <w:spacing w:after="0" w:line="240" w:lineRule="auto"/>
              <w:rPr>
                <w:b/>
                <w:color w:val="0F243E"/>
                <w:lang w:val="fr-FR"/>
              </w:rPr>
            </w:pPr>
            <w:r w:rsidRPr="00C97309">
              <w:rPr>
                <w:b/>
                <w:color w:val="0F243E"/>
                <w:lang w:val="fr-FR"/>
              </w:rPr>
              <w:t>III. OBJECTIFS PRÉCIS</w:t>
            </w:r>
          </w:p>
          <w:p w:rsidR="009B4319" w:rsidRPr="00C97309" w:rsidRDefault="009B4319" w:rsidP="001D56F8">
            <w:pPr>
              <w:spacing w:after="0" w:line="240" w:lineRule="auto"/>
              <w:rPr>
                <w:color w:val="1F497D"/>
                <w:lang w:val="fr-FR"/>
              </w:rPr>
            </w:pPr>
            <w:r w:rsidRPr="00C97309">
              <w:rPr>
                <w:color w:val="1F497D"/>
                <w:lang w:val="fr-FR"/>
              </w:rPr>
              <w:t xml:space="preserve">Veuillez décrire les principaux objectifs et activités de la demande. </w:t>
            </w:r>
          </w:p>
          <w:p w:rsidR="009B4319" w:rsidRPr="00C97309" w:rsidRDefault="009B4319" w:rsidP="003C21F9">
            <w:pPr>
              <w:pStyle w:val="ListParagraph"/>
              <w:numPr>
                <w:ilvl w:val="0"/>
                <w:numId w:val="9"/>
              </w:numPr>
              <w:spacing w:after="0" w:line="240" w:lineRule="auto"/>
              <w:ind w:left="284" w:hanging="284"/>
              <w:rPr>
                <w:rFonts w:cs="Calibri"/>
                <w:color w:val="244061"/>
                <w:lang w:val="fr-FR"/>
              </w:rPr>
            </w:pPr>
            <w:r w:rsidRPr="00C97309">
              <w:rPr>
                <w:color w:val="1F497D"/>
                <w:lang w:val="fr-FR"/>
              </w:rPr>
              <w:t>Fournir des informations détaillées sur le type d’appui demandé et inclure tous les besoins nécessitant un appui en nature, comme la connaissance, le renforcement des capacités ou des informations techniques</w:t>
            </w:r>
            <w:r w:rsidRPr="00C97309">
              <w:rPr>
                <w:color w:val="244061"/>
                <w:lang w:val="fr-FR"/>
              </w:rPr>
              <w:t>.</w:t>
            </w:r>
          </w:p>
          <w:p w:rsidR="00BD4E7C" w:rsidRPr="006A0188" w:rsidRDefault="009B4319" w:rsidP="006A0188">
            <w:pPr>
              <w:pStyle w:val="ListParagraph"/>
              <w:numPr>
                <w:ilvl w:val="0"/>
                <w:numId w:val="9"/>
              </w:numPr>
              <w:spacing w:after="0" w:line="240" w:lineRule="auto"/>
              <w:ind w:left="284" w:hanging="284"/>
              <w:rPr>
                <w:b/>
                <w:color w:val="1F497D"/>
                <w:sz w:val="28"/>
                <w:szCs w:val="28"/>
                <w:lang w:val="fr-FR"/>
              </w:rPr>
            </w:pPr>
            <w:r w:rsidRPr="00C97309">
              <w:rPr>
                <w:rFonts w:cs="Calibri"/>
                <w:color w:val="244061"/>
                <w:sz w:val="21"/>
                <w:szCs w:val="21"/>
                <w:lang w:val="fr-FR"/>
              </w:rPr>
              <w:t xml:space="preserve">Si le pays est doté d’un Programme national ONU-REDD, décrire comment l’appui demandé comblera les lacunes / viendra compléter le financement déjà perçu en faveur du Programme national. </w:t>
            </w:r>
          </w:p>
        </w:tc>
      </w:tr>
      <w:tr w:rsidR="009B4319" w:rsidRPr="00E159B4" w:rsidTr="005F6CE7">
        <w:trPr>
          <w:cantSplit/>
          <w:trHeight w:val="14665"/>
        </w:trPr>
        <w:tc>
          <w:tcPr>
            <w:tcW w:w="9738" w:type="dxa"/>
          </w:tcPr>
          <w:p w:rsidR="006A0188" w:rsidRDefault="00BD4E7C" w:rsidP="00486DED">
            <w:pPr>
              <w:widowControl w:val="0"/>
              <w:autoSpaceDE w:val="0"/>
              <w:autoSpaceDN w:val="0"/>
              <w:adjustRightInd w:val="0"/>
              <w:spacing w:after="0" w:line="312" w:lineRule="auto"/>
              <w:jc w:val="both"/>
              <w:rPr>
                <w:rFonts w:cs="Arial"/>
                <w:iCs/>
                <w:lang w:val="fr-FR"/>
              </w:rPr>
            </w:pPr>
            <w:r w:rsidRPr="000637D5">
              <w:rPr>
                <w:rFonts w:cs="Arial"/>
                <w:iCs/>
                <w:lang w:val="fr-FR"/>
              </w:rPr>
              <w:t>L'étude exploratoire, les ateliers, et la réunion seront menés</w:t>
            </w:r>
            <w:r w:rsidRPr="00F3099F">
              <w:rPr>
                <w:rFonts w:cs="Arial"/>
                <w:iCs/>
                <w:lang w:val="fr-FR"/>
              </w:rPr>
              <w:t xml:space="preserve"> par un consultant national avec l'appui techniq</w:t>
            </w:r>
            <w:r>
              <w:rPr>
                <w:rFonts w:cs="Arial"/>
                <w:iCs/>
                <w:lang w:val="fr-FR"/>
              </w:rPr>
              <w:t>ue fourni par la FAO et la contribution d'autres agences</w:t>
            </w:r>
            <w:r w:rsidRPr="00F3099F">
              <w:rPr>
                <w:rFonts w:cs="Arial"/>
                <w:iCs/>
                <w:lang w:val="fr-FR"/>
              </w:rPr>
              <w:t xml:space="preserve"> d</w:t>
            </w:r>
            <w:r>
              <w:rPr>
                <w:rFonts w:cs="Arial"/>
                <w:iCs/>
                <w:lang w:val="fr-FR"/>
              </w:rPr>
              <w:t>u Programme</w:t>
            </w:r>
            <w:r w:rsidR="005D6E81">
              <w:rPr>
                <w:rFonts w:cs="Arial"/>
                <w:iCs/>
                <w:lang w:val="fr-FR"/>
              </w:rPr>
              <w:t xml:space="preserve"> </w:t>
            </w:r>
            <w:r>
              <w:rPr>
                <w:rFonts w:cs="Arial"/>
                <w:iCs/>
                <w:lang w:val="fr-FR"/>
              </w:rPr>
              <w:t>ONU</w:t>
            </w:r>
            <w:r w:rsidRPr="00F3099F">
              <w:rPr>
                <w:rFonts w:cs="Arial"/>
                <w:iCs/>
                <w:lang w:val="fr-FR"/>
              </w:rPr>
              <w:t xml:space="preserve">-REDD. Une brève description des </w:t>
            </w:r>
            <w:r w:rsidR="006A0188" w:rsidRPr="006A0188">
              <w:rPr>
                <w:rFonts w:cs="Arial"/>
                <w:iCs/>
                <w:lang w:val="fr-FR"/>
              </w:rPr>
              <w:t>r</w:t>
            </w:r>
            <w:r w:rsidR="006A0188" w:rsidRPr="006A0188">
              <w:rPr>
                <w:lang w:val="fr-FR"/>
              </w:rPr>
              <w:t xml:space="preserve">ésultats et des </w:t>
            </w:r>
            <w:r w:rsidRPr="006A0188">
              <w:rPr>
                <w:rFonts w:cs="Arial"/>
                <w:iCs/>
                <w:lang w:val="fr-FR"/>
              </w:rPr>
              <w:t>a</w:t>
            </w:r>
            <w:r>
              <w:rPr>
                <w:rFonts w:cs="Arial"/>
                <w:iCs/>
                <w:lang w:val="fr-FR"/>
              </w:rPr>
              <w:t xml:space="preserve">ctivités </w:t>
            </w:r>
            <w:r w:rsidRPr="00F3099F">
              <w:rPr>
                <w:rFonts w:cs="Arial"/>
                <w:iCs/>
                <w:lang w:val="fr-FR"/>
              </w:rPr>
              <w:t>est fournie ci-dessous.</w:t>
            </w:r>
          </w:p>
          <w:p w:rsidR="006A0188" w:rsidRPr="006A0188" w:rsidRDefault="002B591D" w:rsidP="00486DED">
            <w:pPr>
              <w:widowControl w:val="0"/>
              <w:autoSpaceDE w:val="0"/>
              <w:autoSpaceDN w:val="0"/>
              <w:adjustRightInd w:val="0"/>
              <w:spacing w:after="0" w:line="312" w:lineRule="auto"/>
              <w:jc w:val="both"/>
              <w:rPr>
                <w:rFonts w:cs="Arial"/>
                <w:b/>
                <w:iCs/>
                <w:lang w:val="fr-FR"/>
              </w:rPr>
            </w:pPr>
            <w:r>
              <w:rPr>
                <w:rFonts w:cs="Arial"/>
                <w:b/>
                <w:iCs/>
                <w:lang w:val="fr-FR"/>
              </w:rPr>
              <w:t>Objectif</w:t>
            </w:r>
            <w:r w:rsidR="006A0188" w:rsidRPr="006A0188">
              <w:rPr>
                <w:rFonts w:cs="Arial"/>
                <w:b/>
                <w:iCs/>
                <w:lang w:val="fr-FR"/>
              </w:rPr>
              <w:t>s</w:t>
            </w:r>
          </w:p>
          <w:p w:rsidR="00BD4E7C" w:rsidRPr="006A0188" w:rsidRDefault="002B591D" w:rsidP="00486DED">
            <w:pPr>
              <w:pStyle w:val="ListParagraph"/>
              <w:numPr>
                <w:ilvl w:val="0"/>
                <w:numId w:val="20"/>
              </w:numPr>
              <w:spacing w:after="0"/>
              <w:jc w:val="both"/>
              <w:rPr>
                <w:lang w:val="fr-FR"/>
              </w:rPr>
            </w:pPr>
            <w:r>
              <w:rPr>
                <w:lang w:val="fr-FR"/>
              </w:rPr>
              <w:t>Clarifier l</w:t>
            </w:r>
            <w:r w:rsidR="00BD4E7C" w:rsidRPr="006A0188">
              <w:rPr>
                <w:lang w:val="fr-FR"/>
              </w:rPr>
              <w:t>a  situation du domaine foncier forestier et pastoral en Tunisie et les implicatio</w:t>
            </w:r>
            <w:r>
              <w:rPr>
                <w:lang w:val="fr-FR"/>
              </w:rPr>
              <w:t>ns pour la REDD+</w:t>
            </w:r>
            <w:r w:rsidR="00BD4E7C" w:rsidRPr="006A0188">
              <w:rPr>
                <w:lang w:val="fr-FR"/>
              </w:rPr>
              <w:t xml:space="preserve">. </w:t>
            </w:r>
          </w:p>
          <w:p w:rsidR="00BD4E7C" w:rsidRPr="006A0188" w:rsidRDefault="002B591D" w:rsidP="00486DED">
            <w:pPr>
              <w:pStyle w:val="ListParagraph"/>
              <w:numPr>
                <w:ilvl w:val="0"/>
                <w:numId w:val="20"/>
              </w:numPr>
              <w:spacing w:after="0"/>
              <w:rPr>
                <w:lang w:val="fr-FR"/>
              </w:rPr>
            </w:pPr>
            <w:r>
              <w:rPr>
                <w:lang w:val="fr-FR"/>
              </w:rPr>
              <w:t>Développer u</w:t>
            </w:r>
            <w:r w:rsidR="00BD4E7C" w:rsidRPr="006A0188">
              <w:rPr>
                <w:lang w:val="fr-FR"/>
              </w:rPr>
              <w:t xml:space="preserve">n plan de travail pour répondre aux défis </w:t>
            </w:r>
            <w:r>
              <w:rPr>
                <w:lang w:val="fr-FR"/>
              </w:rPr>
              <w:t>fonciers de la REDD+ qui</w:t>
            </w:r>
            <w:r w:rsidR="00BD4E7C" w:rsidRPr="006A0188">
              <w:rPr>
                <w:lang w:val="fr-FR"/>
              </w:rPr>
              <w:t xml:space="preserve"> soutient l'élaboration de la stratégie REDD+ du pays.</w:t>
            </w:r>
          </w:p>
          <w:p w:rsidR="00BD4E7C" w:rsidRPr="006A0188" w:rsidRDefault="001E7F31" w:rsidP="00F2223F">
            <w:pPr>
              <w:pStyle w:val="ListParagraph"/>
              <w:numPr>
                <w:ilvl w:val="0"/>
                <w:numId w:val="20"/>
              </w:numPr>
              <w:spacing w:after="0"/>
              <w:rPr>
                <w:lang w:val="fr-FR"/>
              </w:rPr>
            </w:pPr>
            <w:r>
              <w:rPr>
                <w:lang w:val="fr-FR"/>
              </w:rPr>
              <w:t xml:space="preserve">Intégrer </w:t>
            </w:r>
            <w:r w:rsidRPr="00176B9C">
              <w:rPr>
                <w:lang w:val="fr-FR"/>
              </w:rPr>
              <w:t>des considérations spécifiques</w:t>
            </w:r>
            <w:r w:rsidRPr="006A0188">
              <w:rPr>
                <w:lang w:val="fr-FR"/>
              </w:rPr>
              <w:t xml:space="preserve"> à la REDD+</w:t>
            </w:r>
            <w:r>
              <w:rPr>
                <w:lang w:val="fr-FR"/>
              </w:rPr>
              <w:t xml:space="preserve"> dans l</w:t>
            </w:r>
            <w:r w:rsidR="00BD4E7C" w:rsidRPr="006A0188">
              <w:rPr>
                <w:lang w:val="fr-FR"/>
              </w:rPr>
              <w:t xml:space="preserve">e plan </w:t>
            </w:r>
            <w:r w:rsidR="00BD4E7C" w:rsidRPr="00176B9C">
              <w:rPr>
                <w:lang w:val="fr-FR"/>
              </w:rPr>
              <w:t xml:space="preserve">directeur </w:t>
            </w:r>
            <w:r w:rsidR="00BD4E7C" w:rsidRPr="00176B9C">
              <w:rPr>
                <w:bCs/>
                <w:iCs/>
                <w:lang w:val="fr-FR"/>
              </w:rPr>
              <w:t xml:space="preserve">d’assainissement de la situation foncière élaboré dans le cadre de la </w:t>
            </w:r>
            <w:r w:rsidR="00BD4E7C" w:rsidRPr="00176B9C">
              <w:rPr>
                <w:lang w:val="fr-FR"/>
              </w:rPr>
              <w:t>Stratégie Nationale de Développement et de Gestion Durable des Forêts et des Parcours</w:t>
            </w:r>
            <w:r w:rsidR="00BD4E7C" w:rsidRPr="006A0188">
              <w:rPr>
                <w:lang w:val="fr-FR"/>
              </w:rPr>
              <w:t>.</w:t>
            </w:r>
          </w:p>
          <w:p w:rsidR="00BD4E7C" w:rsidRPr="006A0188" w:rsidRDefault="002B591D" w:rsidP="00486DED">
            <w:pPr>
              <w:pStyle w:val="ListParagraph"/>
              <w:numPr>
                <w:ilvl w:val="0"/>
                <w:numId w:val="20"/>
              </w:numPr>
              <w:spacing w:after="0"/>
              <w:rPr>
                <w:lang w:val="fr-FR"/>
              </w:rPr>
            </w:pPr>
            <w:r>
              <w:rPr>
                <w:lang w:val="fr-FR"/>
              </w:rPr>
              <w:t>Renforcer l</w:t>
            </w:r>
            <w:r w:rsidR="00BD4E7C" w:rsidRPr="006A0188">
              <w:rPr>
                <w:lang w:val="fr-FR"/>
              </w:rPr>
              <w:t>es capacités des techniciens et</w:t>
            </w:r>
            <w:r>
              <w:rPr>
                <w:lang w:val="fr-FR"/>
              </w:rPr>
              <w:t xml:space="preserve"> ingénieurs et l</w:t>
            </w:r>
            <w:r w:rsidR="00BD4E7C" w:rsidRPr="006A0188">
              <w:rPr>
                <w:lang w:val="fr-FR"/>
              </w:rPr>
              <w:t>es différents intervenants</w:t>
            </w:r>
            <w:r w:rsidR="00042DBA">
              <w:rPr>
                <w:lang w:val="fr-FR"/>
              </w:rPr>
              <w:t>.</w:t>
            </w:r>
          </w:p>
          <w:p w:rsidR="00486DED" w:rsidRDefault="00486DED" w:rsidP="00486DED">
            <w:pPr>
              <w:spacing w:after="0"/>
              <w:rPr>
                <w:b/>
                <w:lang w:val="fr-FR"/>
              </w:rPr>
            </w:pPr>
          </w:p>
          <w:p w:rsidR="006A0188" w:rsidRDefault="00BD4E7C" w:rsidP="00486DED">
            <w:pPr>
              <w:spacing w:after="0"/>
              <w:rPr>
                <w:b/>
                <w:lang w:val="fr-FR"/>
              </w:rPr>
            </w:pPr>
            <w:r w:rsidRPr="006A0188">
              <w:rPr>
                <w:b/>
                <w:lang w:val="fr-FR"/>
              </w:rPr>
              <w:t xml:space="preserve">Activités </w:t>
            </w:r>
          </w:p>
          <w:p w:rsidR="00BD4E7C" w:rsidRPr="00877984" w:rsidRDefault="00BD4E7C" w:rsidP="00486DED">
            <w:pPr>
              <w:pStyle w:val="ListParagraph"/>
              <w:numPr>
                <w:ilvl w:val="0"/>
                <w:numId w:val="19"/>
              </w:numPr>
              <w:spacing w:after="0"/>
              <w:rPr>
                <w:lang w:val="fr-FR"/>
              </w:rPr>
            </w:pPr>
            <w:r w:rsidRPr="00877984">
              <w:rPr>
                <w:lang w:val="fr-FR"/>
              </w:rPr>
              <w:t>Préparation de la conception de l'étude et le plan de travail</w:t>
            </w:r>
            <w:r>
              <w:rPr>
                <w:lang w:val="fr-FR"/>
              </w:rPr>
              <w:t xml:space="preserve"> avec le consultant national</w:t>
            </w:r>
            <w:r w:rsidRPr="00877984">
              <w:rPr>
                <w:lang w:val="fr-FR"/>
              </w:rPr>
              <w:t>;</w:t>
            </w:r>
          </w:p>
          <w:p w:rsidR="00BD4E7C" w:rsidRPr="00877984" w:rsidRDefault="00BD4E7C" w:rsidP="00486DED">
            <w:pPr>
              <w:pStyle w:val="ListParagraph"/>
              <w:numPr>
                <w:ilvl w:val="0"/>
                <w:numId w:val="19"/>
              </w:numPr>
              <w:spacing w:after="0"/>
              <w:rPr>
                <w:lang w:val="fr-FR"/>
              </w:rPr>
            </w:pPr>
            <w:r w:rsidRPr="00877984">
              <w:rPr>
                <w:lang w:val="fr-FR"/>
              </w:rPr>
              <w:t>Identification des acteurs (institutions) clés qui interviennent dans le</w:t>
            </w:r>
            <w:r>
              <w:rPr>
                <w:lang w:val="fr-FR"/>
              </w:rPr>
              <w:t>s</w:t>
            </w:r>
            <w:r w:rsidRPr="00877984">
              <w:rPr>
                <w:lang w:val="fr-FR"/>
              </w:rPr>
              <w:t xml:space="preserve"> domaine</w:t>
            </w:r>
            <w:r>
              <w:rPr>
                <w:lang w:val="fr-FR"/>
              </w:rPr>
              <w:t>s</w:t>
            </w:r>
            <w:r w:rsidRPr="00877984">
              <w:rPr>
                <w:lang w:val="fr-FR"/>
              </w:rPr>
              <w:t xml:space="preserve"> foncier et forestier;</w:t>
            </w:r>
          </w:p>
          <w:p w:rsidR="00BD4E7C" w:rsidRPr="00877984" w:rsidRDefault="00BD4E7C" w:rsidP="00BE7AC9">
            <w:pPr>
              <w:pStyle w:val="BodyText"/>
              <w:numPr>
                <w:ilvl w:val="0"/>
                <w:numId w:val="19"/>
              </w:numPr>
              <w:spacing w:after="0" w:line="276" w:lineRule="auto"/>
              <w:rPr>
                <w:rFonts w:ascii="Calibri" w:eastAsiaTheme="minorHAnsi" w:hAnsi="Calibri" w:cstheme="minorBidi"/>
                <w:sz w:val="22"/>
                <w:szCs w:val="22"/>
                <w:lang w:eastAsia="en-US"/>
              </w:rPr>
            </w:pPr>
            <w:r w:rsidRPr="00877984">
              <w:rPr>
                <w:rFonts w:ascii="Calibri" w:eastAsiaTheme="minorHAnsi" w:hAnsi="Calibri" w:cstheme="minorBidi"/>
                <w:sz w:val="22"/>
                <w:szCs w:val="22"/>
                <w:lang w:eastAsia="en-US"/>
              </w:rPr>
              <w:t>collecte et analyse de la documentation existante</w:t>
            </w:r>
            <w:r>
              <w:rPr>
                <w:rFonts w:ascii="Calibri" w:eastAsiaTheme="minorHAnsi" w:hAnsi="Calibri" w:cstheme="minorBidi"/>
                <w:sz w:val="22"/>
                <w:szCs w:val="22"/>
                <w:lang w:eastAsia="en-US"/>
              </w:rPr>
              <w:t>, des pratiques</w:t>
            </w:r>
            <w:r w:rsidRPr="00877984">
              <w:rPr>
                <w:rFonts w:ascii="Calibri" w:eastAsiaTheme="minorHAnsi" w:hAnsi="Calibri" w:cstheme="minorBidi"/>
                <w:sz w:val="22"/>
                <w:szCs w:val="22"/>
                <w:lang w:eastAsia="en-US"/>
              </w:rPr>
              <w:t xml:space="preserve">, </w:t>
            </w:r>
            <w:r w:rsidR="00BE7AC9">
              <w:rPr>
                <w:rFonts w:ascii="Calibri" w:eastAsiaTheme="minorHAnsi" w:hAnsi="Calibri" w:cstheme="minorBidi"/>
                <w:sz w:val="22"/>
                <w:szCs w:val="22"/>
                <w:lang w:eastAsia="en-US"/>
              </w:rPr>
              <w:t>d</w:t>
            </w:r>
            <w:r w:rsidRPr="00877984">
              <w:rPr>
                <w:rFonts w:ascii="Calibri" w:eastAsiaTheme="minorHAnsi" w:hAnsi="Calibri" w:cstheme="minorBidi"/>
                <w:sz w:val="22"/>
                <w:szCs w:val="22"/>
                <w:lang w:eastAsia="en-US"/>
              </w:rPr>
              <w:t xml:space="preserve">es politiques, </w:t>
            </w:r>
            <w:r w:rsidR="00BE7AC9">
              <w:rPr>
                <w:rFonts w:ascii="Calibri" w:eastAsiaTheme="minorHAnsi" w:hAnsi="Calibri" w:cstheme="minorBidi"/>
                <w:sz w:val="22"/>
                <w:szCs w:val="22"/>
                <w:lang w:eastAsia="en-US"/>
              </w:rPr>
              <w:t xml:space="preserve">des </w:t>
            </w:r>
            <w:r w:rsidRPr="00877984">
              <w:rPr>
                <w:rFonts w:ascii="Calibri" w:eastAsiaTheme="minorHAnsi" w:hAnsi="Calibri" w:cstheme="minorBidi"/>
                <w:sz w:val="22"/>
                <w:szCs w:val="22"/>
                <w:lang w:eastAsia="en-US"/>
              </w:rPr>
              <w:t xml:space="preserve">lois et </w:t>
            </w:r>
            <w:r w:rsidR="00BE7AC9">
              <w:rPr>
                <w:rFonts w:ascii="Calibri" w:eastAsiaTheme="minorHAnsi" w:hAnsi="Calibri" w:cstheme="minorBidi"/>
                <w:sz w:val="22"/>
                <w:szCs w:val="22"/>
                <w:lang w:eastAsia="en-US"/>
              </w:rPr>
              <w:t xml:space="preserve">des </w:t>
            </w:r>
            <w:r w:rsidRPr="00877984">
              <w:rPr>
                <w:rFonts w:ascii="Calibri" w:eastAsiaTheme="minorHAnsi" w:hAnsi="Calibri" w:cstheme="minorBidi"/>
                <w:sz w:val="22"/>
                <w:szCs w:val="22"/>
                <w:lang w:eastAsia="en-US"/>
              </w:rPr>
              <w:t>règlement</w:t>
            </w:r>
            <w:r>
              <w:rPr>
                <w:rFonts w:ascii="Calibri" w:eastAsiaTheme="minorHAnsi" w:hAnsi="Calibri" w:cstheme="minorBidi"/>
                <w:sz w:val="22"/>
                <w:szCs w:val="22"/>
                <w:lang w:eastAsia="en-US"/>
              </w:rPr>
              <w:t>ation</w:t>
            </w:r>
            <w:r w:rsidRPr="00877984">
              <w:rPr>
                <w:rFonts w:ascii="Calibri" w:eastAsiaTheme="minorHAnsi" w:hAnsi="Calibri" w:cstheme="minorBidi"/>
                <w:sz w:val="22"/>
                <w:szCs w:val="22"/>
                <w:lang w:eastAsia="en-US"/>
              </w:rPr>
              <w:t>s (PLR) relati</w:t>
            </w:r>
            <w:r>
              <w:rPr>
                <w:rFonts w:ascii="Calibri" w:eastAsiaTheme="minorHAnsi" w:hAnsi="Calibri" w:cstheme="minorBidi"/>
                <w:sz w:val="22"/>
                <w:szCs w:val="22"/>
                <w:lang w:eastAsia="en-US"/>
              </w:rPr>
              <w:t>ve</w:t>
            </w:r>
            <w:r w:rsidRPr="00877984">
              <w:rPr>
                <w:rFonts w:ascii="Calibri" w:eastAsiaTheme="minorHAnsi" w:hAnsi="Calibri" w:cstheme="minorBidi"/>
                <w:sz w:val="22"/>
                <w:szCs w:val="22"/>
                <w:lang w:eastAsia="en-US"/>
              </w:rPr>
              <w:t>s au</w:t>
            </w:r>
            <w:r>
              <w:rPr>
                <w:rFonts w:ascii="Calibri" w:eastAsiaTheme="minorHAnsi" w:hAnsi="Calibri" w:cstheme="minorBidi"/>
                <w:sz w:val="22"/>
                <w:szCs w:val="22"/>
                <w:lang w:eastAsia="en-US"/>
              </w:rPr>
              <w:t>x</w:t>
            </w:r>
            <w:r w:rsidRPr="00877984">
              <w:rPr>
                <w:rFonts w:ascii="Calibri" w:eastAsiaTheme="minorHAnsi" w:hAnsi="Calibri" w:cstheme="minorBidi"/>
                <w:sz w:val="22"/>
                <w:szCs w:val="22"/>
                <w:lang w:eastAsia="en-US"/>
              </w:rPr>
              <w:t xml:space="preserve"> domaine</w:t>
            </w:r>
            <w:r>
              <w:rPr>
                <w:rFonts w:ascii="Calibri" w:eastAsiaTheme="minorHAnsi" w:hAnsi="Calibri" w:cstheme="minorBidi"/>
                <w:sz w:val="22"/>
                <w:szCs w:val="22"/>
                <w:lang w:eastAsia="en-US"/>
              </w:rPr>
              <w:t>s</w:t>
            </w:r>
            <w:r w:rsidRPr="00877984">
              <w:rPr>
                <w:rFonts w:ascii="Calibri" w:eastAsiaTheme="minorHAnsi" w:hAnsi="Calibri" w:cstheme="minorBidi"/>
                <w:sz w:val="22"/>
                <w:szCs w:val="22"/>
                <w:lang w:eastAsia="en-US"/>
              </w:rPr>
              <w:t xml:space="preserve"> foncier</w:t>
            </w:r>
            <w:r>
              <w:rPr>
                <w:rFonts w:ascii="Calibri" w:eastAsiaTheme="minorHAnsi" w:hAnsi="Calibri" w:cstheme="minorBidi"/>
                <w:sz w:val="22"/>
                <w:szCs w:val="22"/>
                <w:lang w:eastAsia="en-US"/>
              </w:rPr>
              <w:t>s</w:t>
            </w:r>
            <w:r w:rsidR="00BE7AC9">
              <w:rPr>
                <w:rFonts w:ascii="Calibri" w:eastAsiaTheme="minorHAnsi" w:hAnsi="Calibri" w:cstheme="minorBidi"/>
                <w:sz w:val="22"/>
                <w:szCs w:val="22"/>
                <w:lang w:eastAsia="en-US"/>
              </w:rPr>
              <w:t xml:space="preserve"> </w:t>
            </w:r>
            <w:r>
              <w:rPr>
                <w:rFonts w:ascii="Calibri" w:eastAsiaTheme="minorHAnsi" w:hAnsi="Calibri" w:cstheme="minorBidi"/>
                <w:sz w:val="22"/>
                <w:szCs w:val="22"/>
                <w:lang w:eastAsia="en-US"/>
              </w:rPr>
              <w:t>pour les forêts</w:t>
            </w:r>
            <w:r w:rsidR="00176B9C">
              <w:rPr>
                <w:rFonts w:ascii="Calibri" w:eastAsiaTheme="minorHAnsi" w:hAnsi="Calibri" w:cstheme="minorBidi"/>
                <w:sz w:val="22"/>
                <w:szCs w:val="22"/>
                <w:lang w:eastAsia="en-US"/>
              </w:rPr>
              <w:t xml:space="preserve"> et REDD+</w:t>
            </w:r>
            <w:r w:rsidRPr="00877984">
              <w:rPr>
                <w:rFonts w:ascii="Calibri" w:eastAsiaTheme="minorHAnsi" w:hAnsi="Calibri" w:cstheme="minorBidi"/>
                <w:sz w:val="22"/>
                <w:szCs w:val="22"/>
                <w:lang w:eastAsia="en-US"/>
              </w:rPr>
              <w:t>;</w:t>
            </w:r>
          </w:p>
          <w:p w:rsidR="00BD4E7C" w:rsidRDefault="00BD4E7C" w:rsidP="00486DED">
            <w:pPr>
              <w:pStyle w:val="BodyText"/>
              <w:numPr>
                <w:ilvl w:val="0"/>
                <w:numId w:val="19"/>
              </w:numPr>
              <w:spacing w:after="0" w:line="276" w:lineRule="auto"/>
              <w:rPr>
                <w:rFonts w:ascii="Calibri" w:eastAsiaTheme="minorHAnsi" w:hAnsi="Calibri" w:cstheme="minorBidi"/>
                <w:sz w:val="22"/>
                <w:szCs w:val="22"/>
                <w:lang w:eastAsia="en-US"/>
              </w:rPr>
            </w:pPr>
            <w:r w:rsidRPr="00877984">
              <w:rPr>
                <w:rFonts w:ascii="Calibri" w:eastAsiaTheme="minorHAnsi" w:hAnsi="Calibri" w:cstheme="minorBidi"/>
                <w:sz w:val="22"/>
                <w:szCs w:val="22"/>
                <w:lang w:eastAsia="en-US"/>
              </w:rPr>
              <w:t>Organisation d'un ateli</w:t>
            </w:r>
            <w:r>
              <w:rPr>
                <w:rFonts w:ascii="Calibri" w:eastAsiaTheme="minorHAnsi" w:hAnsi="Calibri" w:cstheme="minorBidi"/>
                <w:sz w:val="22"/>
                <w:szCs w:val="22"/>
                <w:lang w:eastAsia="en-US"/>
              </w:rPr>
              <w:t>er d’un</w:t>
            </w:r>
            <w:r w:rsidRPr="00877984">
              <w:rPr>
                <w:rFonts w:ascii="Calibri" w:eastAsiaTheme="minorHAnsi" w:hAnsi="Calibri" w:cstheme="minorBidi"/>
                <w:sz w:val="22"/>
                <w:szCs w:val="22"/>
                <w:lang w:eastAsia="en-US"/>
              </w:rPr>
              <w:t xml:space="preserve"> jour pour introduire le</w:t>
            </w:r>
            <w:r>
              <w:rPr>
                <w:rFonts w:ascii="Calibri" w:eastAsiaTheme="minorHAnsi" w:hAnsi="Calibri" w:cstheme="minorBidi"/>
                <w:sz w:val="22"/>
                <w:szCs w:val="22"/>
                <w:lang w:eastAsia="en-US"/>
              </w:rPr>
              <w:t xml:space="preserve"> domaine</w:t>
            </w:r>
            <w:r w:rsidRPr="00877984">
              <w:rPr>
                <w:rFonts w:ascii="Calibri" w:eastAsiaTheme="minorHAnsi" w:hAnsi="Calibri" w:cstheme="minorBidi"/>
                <w:sz w:val="22"/>
                <w:szCs w:val="22"/>
                <w:lang w:eastAsia="en-US"/>
              </w:rPr>
              <w:t xml:space="preserve"> foncier dans le contexte de la REDD</w:t>
            </w:r>
            <w:r>
              <w:rPr>
                <w:rFonts w:ascii="Calibri" w:eastAsiaTheme="minorHAnsi" w:hAnsi="Calibri" w:cstheme="minorBidi"/>
                <w:sz w:val="22"/>
                <w:szCs w:val="22"/>
                <w:lang w:eastAsia="en-US"/>
              </w:rPr>
              <w:t>+</w:t>
            </w:r>
            <w:r w:rsidRPr="00877984">
              <w:rPr>
                <w:rFonts w:ascii="Calibri" w:eastAsiaTheme="minorHAnsi" w:hAnsi="Calibri" w:cstheme="minorBidi"/>
                <w:sz w:val="22"/>
                <w:szCs w:val="22"/>
                <w:lang w:eastAsia="en-US"/>
              </w:rPr>
              <w:t xml:space="preserve"> et pour obtenir des commentaires sur les enjeux et les priorités de la Tunisie dans ce domaine;</w:t>
            </w:r>
          </w:p>
          <w:p w:rsidR="00BD4E7C" w:rsidRDefault="00BE7AC9" w:rsidP="00BE7AC9">
            <w:pPr>
              <w:pStyle w:val="BodyText"/>
              <w:numPr>
                <w:ilvl w:val="0"/>
                <w:numId w:val="19"/>
              </w:numPr>
              <w:spacing w:after="0" w:line="276" w:lineRule="auto"/>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Organisation d’un </w:t>
            </w:r>
            <w:r w:rsidR="00BD4E7C">
              <w:rPr>
                <w:rFonts w:ascii="Calibri" w:eastAsiaTheme="minorHAnsi" w:hAnsi="Calibri" w:cstheme="minorBidi"/>
                <w:sz w:val="22"/>
                <w:szCs w:val="22"/>
                <w:lang w:eastAsia="en-US"/>
              </w:rPr>
              <w:t>Deuxième atelier d’un jour pour la p</w:t>
            </w:r>
            <w:r w:rsidR="00BD4E7C" w:rsidRPr="009D0463">
              <w:rPr>
                <w:rFonts w:ascii="Calibri" w:eastAsiaTheme="minorHAnsi" w:hAnsi="Calibri" w:cstheme="minorBidi"/>
                <w:sz w:val="22"/>
                <w:szCs w:val="22"/>
                <w:lang w:eastAsia="en-US"/>
              </w:rPr>
              <w:t>résentation d'une v</w:t>
            </w:r>
            <w:r w:rsidR="00BD4E7C">
              <w:rPr>
                <w:rFonts w:ascii="Calibri" w:eastAsiaTheme="minorHAnsi" w:hAnsi="Calibri" w:cstheme="minorBidi"/>
                <w:sz w:val="22"/>
                <w:szCs w:val="22"/>
                <w:lang w:eastAsia="en-US"/>
              </w:rPr>
              <w:t xml:space="preserve">ersion préliminaire de l'étude et la discussion </w:t>
            </w:r>
            <w:r>
              <w:rPr>
                <w:rFonts w:ascii="Calibri" w:eastAsiaTheme="minorHAnsi" w:hAnsi="Calibri" w:cstheme="minorBidi"/>
                <w:sz w:val="22"/>
                <w:szCs w:val="22"/>
                <w:lang w:eastAsia="en-US"/>
              </w:rPr>
              <w:t>d</w:t>
            </w:r>
            <w:r w:rsidR="00BD4E7C">
              <w:rPr>
                <w:rFonts w:ascii="Calibri" w:eastAsiaTheme="minorHAnsi" w:hAnsi="Calibri" w:cstheme="minorBidi"/>
                <w:sz w:val="22"/>
                <w:szCs w:val="22"/>
                <w:lang w:eastAsia="en-US"/>
              </w:rPr>
              <w:t xml:space="preserve">es recommandations. </w:t>
            </w:r>
          </w:p>
          <w:p w:rsidR="000D7310" w:rsidRDefault="00BD4E7C" w:rsidP="00BE7AC9">
            <w:pPr>
              <w:pStyle w:val="BodyText"/>
              <w:numPr>
                <w:ilvl w:val="0"/>
                <w:numId w:val="19"/>
              </w:numPr>
              <w:spacing w:after="0" w:line="276" w:lineRule="auto"/>
              <w:rPr>
                <w:rFonts w:ascii="Calibri" w:eastAsiaTheme="minorHAnsi" w:hAnsi="Calibri" w:cstheme="minorBidi"/>
                <w:sz w:val="22"/>
                <w:szCs w:val="22"/>
                <w:lang w:eastAsia="en-US"/>
              </w:rPr>
            </w:pPr>
            <w:r>
              <w:rPr>
                <w:rFonts w:ascii="Calibri" w:eastAsiaTheme="minorHAnsi" w:hAnsi="Calibri" w:cstheme="minorBidi"/>
                <w:sz w:val="22"/>
                <w:szCs w:val="22"/>
                <w:lang w:eastAsia="en-US"/>
              </w:rPr>
              <w:t>R</w:t>
            </w:r>
            <w:r w:rsidRPr="009D0463">
              <w:rPr>
                <w:rFonts w:ascii="Calibri" w:eastAsiaTheme="minorHAnsi" w:hAnsi="Calibri" w:cstheme="minorBidi"/>
                <w:sz w:val="22"/>
                <w:szCs w:val="22"/>
                <w:lang w:eastAsia="en-US"/>
              </w:rPr>
              <w:t>éunion du groupe de décideurs</w:t>
            </w:r>
            <w:r>
              <w:rPr>
                <w:rFonts w:ascii="Calibri" w:eastAsiaTheme="minorHAnsi" w:hAnsi="Calibri" w:cstheme="minorBidi"/>
                <w:sz w:val="22"/>
                <w:szCs w:val="22"/>
                <w:lang w:eastAsia="en-US"/>
              </w:rPr>
              <w:t xml:space="preserve"> clés</w:t>
            </w:r>
            <w:r w:rsidR="00BE7AC9">
              <w:rPr>
                <w:rFonts w:ascii="Calibri" w:eastAsiaTheme="minorHAnsi" w:hAnsi="Calibri" w:cstheme="minorBidi"/>
                <w:sz w:val="22"/>
                <w:szCs w:val="22"/>
                <w:lang w:eastAsia="en-US"/>
              </w:rPr>
              <w:t xml:space="preserve"> </w:t>
            </w:r>
            <w:r>
              <w:rPr>
                <w:rFonts w:ascii="Calibri" w:eastAsiaTheme="minorHAnsi" w:hAnsi="Calibri" w:cstheme="minorBidi"/>
                <w:sz w:val="22"/>
                <w:szCs w:val="22"/>
                <w:lang w:eastAsia="en-US"/>
              </w:rPr>
              <w:t>impliqués dans l’</w:t>
            </w:r>
            <w:r w:rsidRPr="009D0463">
              <w:rPr>
                <w:rFonts w:ascii="Calibri" w:eastAsiaTheme="minorHAnsi" w:hAnsi="Calibri" w:cstheme="minorBidi"/>
                <w:sz w:val="22"/>
                <w:szCs w:val="22"/>
                <w:lang w:eastAsia="en-US"/>
              </w:rPr>
              <w:t>élabor</w:t>
            </w:r>
            <w:r>
              <w:rPr>
                <w:rFonts w:ascii="Calibri" w:eastAsiaTheme="minorHAnsi" w:hAnsi="Calibri" w:cstheme="minorBidi"/>
                <w:sz w:val="22"/>
                <w:szCs w:val="22"/>
                <w:lang w:eastAsia="en-US"/>
              </w:rPr>
              <w:t>ation de</w:t>
            </w:r>
            <w:r w:rsidRPr="009D0463">
              <w:rPr>
                <w:rFonts w:ascii="Calibri" w:eastAsiaTheme="minorHAnsi" w:hAnsi="Calibri" w:cstheme="minorBidi"/>
                <w:sz w:val="22"/>
                <w:szCs w:val="22"/>
                <w:lang w:eastAsia="en-US"/>
              </w:rPr>
              <w:t xml:space="preserve"> la stratégie et </w:t>
            </w:r>
            <w:r w:rsidR="00BE7AC9">
              <w:rPr>
                <w:rFonts w:ascii="Calibri" w:eastAsiaTheme="minorHAnsi" w:hAnsi="Calibri" w:cstheme="minorBidi"/>
                <w:sz w:val="22"/>
                <w:szCs w:val="22"/>
                <w:lang w:eastAsia="en-US"/>
              </w:rPr>
              <w:t>du</w:t>
            </w:r>
            <w:r w:rsidR="00BE7AC9" w:rsidRPr="009D0463">
              <w:rPr>
                <w:rFonts w:ascii="Calibri" w:eastAsiaTheme="minorHAnsi" w:hAnsi="Calibri" w:cstheme="minorBidi"/>
                <w:sz w:val="22"/>
                <w:szCs w:val="22"/>
                <w:lang w:eastAsia="en-US"/>
              </w:rPr>
              <w:t xml:space="preserve"> </w:t>
            </w:r>
            <w:r w:rsidRPr="009D0463">
              <w:rPr>
                <w:rFonts w:ascii="Calibri" w:eastAsiaTheme="minorHAnsi" w:hAnsi="Calibri" w:cstheme="minorBidi"/>
                <w:sz w:val="22"/>
                <w:szCs w:val="22"/>
                <w:lang w:eastAsia="en-US"/>
              </w:rPr>
              <w:t>plan d'action future</w:t>
            </w:r>
            <w:r>
              <w:rPr>
                <w:rFonts w:ascii="Calibri" w:eastAsiaTheme="minorHAnsi" w:hAnsi="Calibri" w:cstheme="minorBidi"/>
                <w:sz w:val="22"/>
                <w:szCs w:val="22"/>
                <w:lang w:eastAsia="en-US"/>
              </w:rPr>
              <w:t xml:space="preserve"> afin d’approuver le plan de travail </w:t>
            </w:r>
            <w:r w:rsidRPr="001F0476">
              <w:rPr>
                <w:rFonts w:ascii="Calibri" w:eastAsiaTheme="minorHAnsi" w:hAnsi="Calibri" w:cstheme="minorBidi"/>
                <w:sz w:val="22"/>
                <w:szCs w:val="22"/>
                <w:lang w:eastAsia="en-US"/>
              </w:rPr>
              <w:t>visant à répondre aux défis fonciers de la REDD+</w:t>
            </w:r>
            <w:r w:rsidR="005F6CE7">
              <w:rPr>
                <w:rFonts w:ascii="Calibri" w:eastAsiaTheme="minorHAnsi" w:hAnsi="Calibri" w:cstheme="minorBidi"/>
                <w:sz w:val="22"/>
                <w:szCs w:val="22"/>
                <w:lang w:eastAsia="en-US"/>
              </w:rPr>
              <w:t>.</w:t>
            </w:r>
          </w:p>
          <w:p w:rsidR="00BD4E7C" w:rsidRPr="000D7310" w:rsidRDefault="00BD4E7C" w:rsidP="00BE7AC9">
            <w:pPr>
              <w:pStyle w:val="BodyText"/>
              <w:numPr>
                <w:ilvl w:val="0"/>
                <w:numId w:val="19"/>
              </w:numPr>
              <w:spacing w:after="0" w:line="276" w:lineRule="auto"/>
              <w:rPr>
                <w:rFonts w:ascii="Calibri" w:eastAsiaTheme="minorHAnsi" w:hAnsi="Calibri" w:cstheme="minorBidi"/>
                <w:sz w:val="22"/>
                <w:szCs w:val="22"/>
                <w:lang w:eastAsia="en-US"/>
              </w:rPr>
            </w:pPr>
            <w:r w:rsidRPr="000D7310">
              <w:rPr>
                <w:rFonts w:ascii="Calibri" w:eastAsiaTheme="minorHAnsi" w:hAnsi="Calibri" w:cstheme="minorBidi"/>
                <w:sz w:val="22"/>
                <w:szCs w:val="22"/>
                <w:lang w:eastAsia="en-US"/>
              </w:rPr>
              <w:t xml:space="preserve">intégration de </w:t>
            </w:r>
            <w:r w:rsidR="000D7310">
              <w:rPr>
                <w:rFonts w:ascii="Calibri" w:eastAsiaTheme="minorHAnsi" w:hAnsi="Calibri" w:cstheme="minorBidi"/>
                <w:sz w:val="22"/>
                <w:szCs w:val="22"/>
                <w:lang w:eastAsia="en-US"/>
              </w:rPr>
              <w:t xml:space="preserve">tous les </w:t>
            </w:r>
            <w:r w:rsidRPr="000D7310">
              <w:rPr>
                <w:rFonts w:ascii="Calibri" w:eastAsiaTheme="minorHAnsi" w:hAnsi="Calibri" w:cstheme="minorBidi"/>
                <w:sz w:val="22"/>
                <w:szCs w:val="22"/>
                <w:lang w:eastAsia="en-US"/>
              </w:rPr>
              <w:t xml:space="preserve">commentaires et </w:t>
            </w:r>
            <w:r w:rsidR="004B3E90">
              <w:rPr>
                <w:rFonts w:ascii="Calibri" w:eastAsiaTheme="minorHAnsi" w:hAnsi="Calibri" w:cstheme="minorBidi"/>
                <w:sz w:val="22"/>
                <w:szCs w:val="22"/>
                <w:lang w:eastAsia="en-US"/>
              </w:rPr>
              <w:t xml:space="preserve"> la </w:t>
            </w:r>
            <w:r w:rsidR="00BE7AC9">
              <w:rPr>
                <w:rFonts w:ascii="Calibri" w:eastAsiaTheme="minorHAnsi" w:hAnsi="Calibri" w:cstheme="minorBidi"/>
                <w:sz w:val="22"/>
                <w:szCs w:val="22"/>
                <w:lang w:eastAsia="en-US"/>
              </w:rPr>
              <w:t>clôture</w:t>
            </w:r>
            <w:r w:rsidRPr="000D7310">
              <w:rPr>
                <w:rFonts w:ascii="Calibri" w:eastAsiaTheme="minorHAnsi" w:hAnsi="Calibri" w:cstheme="minorBidi"/>
                <w:sz w:val="22"/>
                <w:szCs w:val="22"/>
                <w:lang w:eastAsia="en-US"/>
              </w:rPr>
              <w:t xml:space="preserve"> de l'étude</w:t>
            </w:r>
            <w:r w:rsidR="000D7310">
              <w:rPr>
                <w:rFonts w:ascii="Calibri" w:eastAsiaTheme="minorHAnsi" w:hAnsi="Calibri" w:cstheme="minorBidi"/>
                <w:sz w:val="22"/>
                <w:szCs w:val="22"/>
                <w:lang w:eastAsia="en-US"/>
              </w:rPr>
              <w:t>.</w:t>
            </w:r>
          </w:p>
          <w:p w:rsidR="009B4319" w:rsidRPr="00C97309" w:rsidRDefault="009B4319" w:rsidP="00486DED">
            <w:pPr>
              <w:spacing w:after="0" w:line="240" w:lineRule="auto"/>
              <w:rPr>
                <w:b/>
                <w:color w:val="1F497D"/>
                <w:lang w:val="fr-FR"/>
              </w:rPr>
            </w:pPr>
          </w:p>
        </w:tc>
      </w:tr>
    </w:tbl>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B4319" w:rsidRPr="00E159B4" w:rsidTr="00465C55">
        <w:trPr>
          <w:cantSplit/>
        </w:trPr>
        <w:tc>
          <w:tcPr>
            <w:tcW w:w="9576" w:type="dxa"/>
            <w:shd w:val="clear" w:color="auto" w:fill="DBE5F1"/>
          </w:tcPr>
          <w:p w:rsidR="009B4319" w:rsidRPr="00C97309" w:rsidRDefault="009B4319" w:rsidP="00D70C4B">
            <w:pPr>
              <w:spacing w:after="0" w:line="240" w:lineRule="auto"/>
              <w:rPr>
                <w:b/>
                <w:color w:val="0F243E"/>
                <w:lang w:val="fr-FR"/>
              </w:rPr>
            </w:pPr>
            <w:r w:rsidRPr="00C97309">
              <w:rPr>
                <w:b/>
                <w:color w:val="0F243E"/>
                <w:lang w:val="fr-FR"/>
              </w:rPr>
              <w:t>IV. MISE EN OEUVRE</w:t>
            </w:r>
          </w:p>
          <w:p w:rsidR="009B4319" w:rsidRPr="00C97309" w:rsidRDefault="009B4319" w:rsidP="003C21F9">
            <w:pPr>
              <w:spacing w:after="0" w:line="240" w:lineRule="auto"/>
              <w:rPr>
                <w:color w:val="1F497D"/>
                <w:lang w:val="fr-FR"/>
              </w:rPr>
            </w:pPr>
            <w:r w:rsidRPr="00C97309">
              <w:rPr>
                <w:color w:val="1F497D"/>
                <w:lang w:val="fr-FR"/>
              </w:rPr>
              <w:t>Veuillez décrire les dispositions à prendre pour mettre en œuvre les activités prévues.</w:t>
            </w:r>
          </w:p>
          <w:p w:rsidR="009B4319" w:rsidRPr="00C97309" w:rsidRDefault="009B4319" w:rsidP="00CB7636">
            <w:pPr>
              <w:pStyle w:val="ListParagraph"/>
              <w:numPr>
                <w:ilvl w:val="0"/>
                <w:numId w:val="8"/>
              </w:numPr>
              <w:spacing w:after="0" w:line="240" w:lineRule="auto"/>
              <w:ind w:left="284" w:hanging="284"/>
              <w:rPr>
                <w:rFonts w:cs="Calibri"/>
                <w:color w:val="244061"/>
                <w:lang w:val="fr-FR"/>
              </w:rPr>
            </w:pPr>
            <w:r w:rsidRPr="00C97309">
              <w:rPr>
                <w:color w:val="1F497D"/>
                <w:lang w:val="fr-FR"/>
              </w:rPr>
              <w:t xml:space="preserve">Nommer les principales institutions responsables de la mise en œuvre et les institutions partenaires. </w:t>
            </w:r>
          </w:p>
          <w:p w:rsidR="009B4319" w:rsidRPr="00C97309" w:rsidRDefault="009B4319" w:rsidP="00465C55">
            <w:pPr>
              <w:pStyle w:val="ListParagraph"/>
              <w:numPr>
                <w:ilvl w:val="0"/>
                <w:numId w:val="8"/>
              </w:numPr>
              <w:spacing w:after="0" w:line="240" w:lineRule="auto"/>
              <w:ind w:left="284" w:hanging="284"/>
              <w:rPr>
                <w:b/>
                <w:color w:val="1F497D"/>
                <w:sz w:val="28"/>
                <w:szCs w:val="28"/>
                <w:lang w:val="fr-FR"/>
              </w:rPr>
            </w:pPr>
            <w:r w:rsidRPr="00C97309">
              <w:rPr>
                <w:rFonts w:cs="Calibri"/>
                <w:color w:val="244061"/>
                <w:lang w:val="fr-FR"/>
              </w:rPr>
              <w:t>Expliquer quelles ont été les mesures prises pour mobiliser les peuples autochtones et la société civile, selon le cas</w:t>
            </w:r>
          </w:p>
        </w:tc>
      </w:tr>
      <w:tr w:rsidR="009B4319" w:rsidRPr="00A30B44" w:rsidTr="00465C55">
        <w:trPr>
          <w:cantSplit/>
        </w:trPr>
        <w:tc>
          <w:tcPr>
            <w:tcW w:w="9576" w:type="dxa"/>
          </w:tcPr>
          <w:p w:rsidR="0017134B" w:rsidRDefault="00D53866" w:rsidP="00BE7AC9">
            <w:pPr>
              <w:spacing w:after="0" w:line="240" w:lineRule="auto"/>
              <w:rPr>
                <w:lang w:val="fr-FR"/>
              </w:rPr>
            </w:pPr>
            <w:r>
              <w:rPr>
                <w:lang w:val="fr-FR"/>
              </w:rPr>
              <w:t xml:space="preserve">Le gouvernement tunisien est le partenaire principal </w:t>
            </w:r>
            <w:r w:rsidRPr="00DD2D08">
              <w:rPr>
                <w:lang w:val="fr-FR"/>
              </w:rPr>
              <w:t>représenté par M. Rafik</w:t>
            </w:r>
            <w:r w:rsidR="00BE7AC9">
              <w:rPr>
                <w:lang w:val="fr-FR"/>
              </w:rPr>
              <w:t xml:space="preserve"> </w:t>
            </w:r>
            <w:r w:rsidRPr="00DD2D08">
              <w:rPr>
                <w:lang w:val="fr-FR"/>
              </w:rPr>
              <w:t xml:space="preserve">Aini, </w:t>
            </w:r>
            <w:r w:rsidR="00BE7AC9" w:rsidRPr="00DD2D08">
              <w:rPr>
                <w:lang w:val="fr-FR"/>
              </w:rPr>
              <w:t xml:space="preserve">Point Focal </w:t>
            </w:r>
            <w:r w:rsidRPr="00DD2D08">
              <w:rPr>
                <w:lang w:val="fr-FR"/>
              </w:rPr>
              <w:t xml:space="preserve">REDD +, </w:t>
            </w:r>
            <w:r w:rsidR="00BE7AC9">
              <w:rPr>
                <w:lang w:val="fr-FR"/>
              </w:rPr>
              <w:t>fonctionnaire</w:t>
            </w:r>
            <w:r w:rsidR="00BE7AC9" w:rsidRPr="00DD2D08">
              <w:rPr>
                <w:lang w:val="fr-FR"/>
              </w:rPr>
              <w:t xml:space="preserve"> </w:t>
            </w:r>
            <w:r w:rsidRPr="00DD2D08">
              <w:rPr>
                <w:lang w:val="fr-FR"/>
              </w:rPr>
              <w:t xml:space="preserve">au </w:t>
            </w:r>
            <w:r w:rsidR="00BE7AC9">
              <w:rPr>
                <w:lang w:val="fr-FR"/>
              </w:rPr>
              <w:t>M</w:t>
            </w:r>
            <w:r w:rsidRPr="00DD2D08">
              <w:rPr>
                <w:lang w:val="fr-FR"/>
              </w:rPr>
              <w:t xml:space="preserve">inistère de l'Agriculture. </w:t>
            </w:r>
          </w:p>
          <w:p w:rsidR="00F030B1" w:rsidRDefault="00F030B1" w:rsidP="00F030B1">
            <w:pPr>
              <w:spacing w:after="0" w:line="240" w:lineRule="auto"/>
              <w:rPr>
                <w:lang w:val="fr-FR"/>
              </w:rPr>
            </w:pPr>
          </w:p>
          <w:p w:rsidR="0017134B" w:rsidRDefault="0017134B" w:rsidP="00BE7AC9">
            <w:pPr>
              <w:spacing w:after="0" w:line="240" w:lineRule="auto"/>
              <w:rPr>
                <w:lang w:val="fr-FR"/>
              </w:rPr>
            </w:pPr>
            <w:r w:rsidRPr="00D54895">
              <w:rPr>
                <w:lang w:val="fr-FR"/>
              </w:rPr>
              <w:t>Un consultant national</w:t>
            </w:r>
            <w:r w:rsidR="000777CF">
              <w:rPr>
                <w:lang w:val="fr-FR"/>
              </w:rPr>
              <w:t xml:space="preserve">, basé </w:t>
            </w:r>
            <w:r w:rsidR="00BE7AC9">
              <w:rPr>
                <w:lang w:val="fr-FR"/>
              </w:rPr>
              <w:t>au niveau de</w:t>
            </w:r>
            <w:r w:rsidR="00E11527">
              <w:rPr>
                <w:lang w:val="fr-FR"/>
              </w:rPr>
              <w:t xml:space="preserve"> la</w:t>
            </w:r>
            <w:r w:rsidR="000777CF">
              <w:rPr>
                <w:lang w:val="fr-FR"/>
              </w:rPr>
              <w:t xml:space="preserve"> Direction Générale des </w:t>
            </w:r>
            <w:r w:rsidR="00BE7AC9">
              <w:rPr>
                <w:lang w:val="fr-FR"/>
              </w:rPr>
              <w:t>Forêts</w:t>
            </w:r>
            <w:r w:rsidR="000777CF">
              <w:rPr>
                <w:lang w:val="fr-FR"/>
              </w:rPr>
              <w:t>,</w:t>
            </w:r>
            <w:r w:rsidRPr="00D54895">
              <w:rPr>
                <w:lang w:val="fr-FR"/>
              </w:rPr>
              <w:t xml:space="preserve"> sera chargé</w:t>
            </w:r>
            <w:r>
              <w:rPr>
                <w:lang w:val="fr-FR"/>
              </w:rPr>
              <w:t xml:space="preserve"> : i) </w:t>
            </w:r>
            <w:r w:rsidRPr="00D54895">
              <w:rPr>
                <w:lang w:val="fr-FR"/>
              </w:rPr>
              <w:t>d'élaborer l'étude</w:t>
            </w:r>
            <w:r>
              <w:rPr>
                <w:lang w:val="fr-FR"/>
              </w:rPr>
              <w:t xml:space="preserve"> conformément aux </w:t>
            </w:r>
            <w:r w:rsidR="00BE7AC9">
              <w:rPr>
                <w:lang w:val="fr-FR"/>
              </w:rPr>
              <w:t>TdR  </w:t>
            </w:r>
            <w:r>
              <w:rPr>
                <w:lang w:val="fr-FR"/>
              </w:rPr>
              <w:t xml:space="preserve">qui seront  élaborés  </w:t>
            </w:r>
            <w:r w:rsidR="00BE7AC9">
              <w:rPr>
                <w:lang w:val="fr-FR"/>
              </w:rPr>
              <w:t xml:space="preserve">par </w:t>
            </w:r>
            <w:r>
              <w:rPr>
                <w:lang w:val="fr-FR"/>
              </w:rPr>
              <w:t>la DGF en collaboration étroite avec la FAO et les représentants des autres agences du programme UN-REDD ; ii)  d’organiser les deux ateliers et la réunion avec les décideurs</w:t>
            </w:r>
            <w:r w:rsidRPr="00D54895">
              <w:rPr>
                <w:lang w:val="fr-FR"/>
              </w:rPr>
              <w:t>.</w:t>
            </w:r>
            <w:r w:rsidR="00B40E52">
              <w:rPr>
                <w:lang w:val="fr-FR"/>
              </w:rPr>
              <w:t xml:space="preserve"> </w:t>
            </w:r>
            <w:r w:rsidRPr="005E57D5">
              <w:rPr>
                <w:lang w:val="fr-FR"/>
              </w:rPr>
              <w:t xml:space="preserve">Le consultant national aura des relations de confiance </w:t>
            </w:r>
            <w:r>
              <w:rPr>
                <w:lang w:val="fr-FR"/>
              </w:rPr>
              <w:t xml:space="preserve">lui </w:t>
            </w:r>
            <w:r w:rsidRPr="005E57D5">
              <w:rPr>
                <w:lang w:val="fr-FR"/>
              </w:rPr>
              <w:t>permett</w:t>
            </w:r>
            <w:r w:rsidR="00B40E52">
              <w:rPr>
                <w:lang w:val="fr-FR"/>
              </w:rPr>
              <w:t>a</w:t>
            </w:r>
            <w:r>
              <w:rPr>
                <w:lang w:val="fr-FR"/>
              </w:rPr>
              <w:t>nt</w:t>
            </w:r>
            <w:r w:rsidRPr="005E57D5">
              <w:rPr>
                <w:lang w:val="fr-FR"/>
              </w:rPr>
              <w:t xml:space="preserve"> de recueillir une rétroaction continue sur le travail des agents gouvernementaux et d'autres parties prenantes, y compris les agences </w:t>
            </w:r>
            <w:r>
              <w:rPr>
                <w:lang w:val="fr-FR"/>
              </w:rPr>
              <w:t>de l’ONU</w:t>
            </w:r>
            <w:r w:rsidRPr="005E57D5">
              <w:rPr>
                <w:lang w:val="fr-FR"/>
              </w:rPr>
              <w:t xml:space="preserve">. </w:t>
            </w:r>
            <w:r w:rsidR="004B5923" w:rsidRPr="00DD2D08">
              <w:rPr>
                <w:lang w:val="fr-FR"/>
              </w:rPr>
              <w:t xml:space="preserve">Un plan de travail détaillé assorti d'objectifs spécifiques et des dates d'échéance </w:t>
            </w:r>
            <w:r w:rsidR="004B5923">
              <w:rPr>
                <w:lang w:val="fr-FR"/>
              </w:rPr>
              <w:t>sera convenu à l'avance avec le consultant</w:t>
            </w:r>
            <w:r w:rsidR="004B5923" w:rsidRPr="00DD2D08">
              <w:rPr>
                <w:lang w:val="fr-FR"/>
              </w:rPr>
              <w:t xml:space="preserve">. </w:t>
            </w:r>
            <w:r w:rsidR="00B40E52">
              <w:rPr>
                <w:lang w:val="fr-FR"/>
              </w:rPr>
              <w:t xml:space="preserve">La </w:t>
            </w:r>
            <w:r w:rsidR="004B5923" w:rsidRPr="00DD2D08">
              <w:rPr>
                <w:lang w:val="fr-FR"/>
              </w:rPr>
              <w:t>FAO assurera un suivi régulier de l'avancement des activités et fournir</w:t>
            </w:r>
            <w:r w:rsidR="004B5923">
              <w:rPr>
                <w:lang w:val="fr-FR"/>
              </w:rPr>
              <w:t>a</w:t>
            </w:r>
            <w:r w:rsidR="004B5923" w:rsidRPr="00DD2D08">
              <w:rPr>
                <w:lang w:val="fr-FR"/>
              </w:rPr>
              <w:t xml:space="preserve"> un appui technique au besoin.</w:t>
            </w:r>
          </w:p>
          <w:p w:rsidR="004B5923" w:rsidRPr="005E57D5" w:rsidRDefault="004B5923" w:rsidP="00F030B1">
            <w:pPr>
              <w:spacing w:after="0" w:line="240" w:lineRule="auto"/>
              <w:rPr>
                <w:lang w:val="fr-FR"/>
              </w:rPr>
            </w:pPr>
          </w:p>
          <w:p w:rsidR="004B5923" w:rsidRDefault="00DD2D08" w:rsidP="00B40E52">
            <w:pPr>
              <w:spacing w:after="0" w:line="240" w:lineRule="auto"/>
              <w:rPr>
                <w:lang w:val="fr-FR"/>
              </w:rPr>
            </w:pPr>
            <w:r w:rsidRPr="00DD2D08">
              <w:rPr>
                <w:lang w:val="fr-FR"/>
              </w:rPr>
              <w:t xml:space="preserve">Le coordonnateur </w:t>
            </w:r>
            <w:r>
              <w:rPr>
                <w:lang w:val="fr-FR"/>
              </w:rPr>
              <w:t xml:space="preserve">de </w:t>
            </w:r>
            <w:r w:rsidR="00B40E52">
              <w:rPr>
                <w:lang w:val="fr-FR"/>
              </w:rPr>
              <w:t xml:space="preserve">la </w:t>
            </w:r>
            <w:r>
              <w:rPr>
                <w:lang w:val="fr-FR"/>
              </w:rPr>
              <w:t>FAO pour l’</w:t>
            </w:r>
            <w:r w:rsidRPr="00DD2D08">
              <w:rPr>
                <w:lang w:val="fr-FR"/>
              </w:rPr>
              <w:t>Afriq</w:t>
            </w:r>
            <w:r w:rsidR="0017134B">
              <w:rPr>
                <w:lang w:val="fr-FR"/>
              </w:rPr>
              <w:t>ue (Philippe Crète) ainsi que la</w:t>
            </w:r>
            <w:r w:rsidRPr="00DD2D08">
              <w:rPr>
                <w:lang w:val="fr-FR"/>
              </w:rPr>
              <w:t xml:space="preserve"> spécialiste </w:t>
            </w:r>
            <w:r w:rsidR="00B40E52">
              <w:rPr>
                <w:lang w:val="fr-FR"/>
              </w:rPr>
              <w:t>« </w:t>
            </w:r>
            <w:r w:rsidR="00D53866">
              <w:rPr>
                <w:lang w:val="fr-FR"/>
              </w:rPr>
              <w:t>REDD</w:t>
            </w:r>
            <w:r w:rsidRPr="00DD2D08">
              <w:rPr>
                <w:lang w:val="fr-FR"/>
              </w:rPr>
              <w:t xml:space="preserve">+ </w:t>
            </w:r>
            <w:r w:rsidR="00D53866">
              <w:rPr>
                <w:lang w:val="fr-FR"/>
              </w:rPr>
              <w:t>et foncier</w:t>
            </w:r>
            <w:r w:rsidR="00B40E52">
              <w:rPr>
                <w:lang w:val="fr-FR"/>
              </w:rPr>
              <w:t> »</w:t>
            </w:r>
            <w:r w:rsidR="00D53866">
              <w:rPr>
                <w:lang w:val="fr-FR"/>
              </w:rPr>
              <w:t xml:space="preserve"> (Amanda Bradley) seront</w:t>
            </w:r>
            <w:r w:rsidRPr="00DD2D08">
              <w:rPr>
                <w:lang w:val="fr-FR"/>
              </w:rPr>
              <w:t xml:space="preserve"> responsable</w:t>
            </w:r>
            <w:r w:rsidR="00B40E52">
              <w:rPr>
                <w:lang w:val="fr-FR"/>
              </w:rPr>
              <w:t>s</w:t>
            </w:r>
            <w:r w:rsidRPr="00DD2D08">
              <w:rPr>
                <w:lang w:val="fr-FR"/>
              </w:rPr>
              <w:t xml:space="preserve"> </w:t>
            </w:r>
            <w:r w:rsidR="00D53866" w:rsidRPr="00D53866">
              <w:rPr>
                <w:lang w:val="fr-FR"/>
              </w:rPr>
              <w:t>pour surveiller et guider les activités du projet.</w:t>
            </w:r>
            <w:r w:rsidR="00B40E52">
              <w:rPr>
                <w:lang w:val="fr-FR"/>
              </w:rPr>
              <w:t xml:space="preserve"> </w:t>
            </w:r>
            <w:r w:rsidR="0017134B">
              <w:rPr>
                <w:lang w:val="fr-FR"/>
              </w:rPr>
              <w:t xml:space="preserve">La spécialiste </w:t>
            </w:r>
            <w:r w:rsidR="00B40E52">
              <w:rPr>
                <w:lang w:val="fr-FR"/>
              </w:rPr>
              <w:t>« </w:t>
            </w:r>
            <w:r w:rsidR="0017134B">
              <w:rPr>
                <w:lang w:val="fr-FR"/>
              </w:rPr>
              <w:t>REDD+ et foncier</w:t>
            </w:r>
            <w:r w:rsidR="00B40E52">
              <w:rPr>
                <w:lang w:val="fr-FR"/>
              </w:rPr>
              <w:t> »</w:t>
            </w:r>
            <w:r w:rsidR="0017134B">
              <w:rPr>
                <w:lang w:val="fr-FR"/>
              </w:rPr>
              <w:t xml:space="preserve"> </w:t>
            </w:r>
            <w:r w:rsidR="0017134B" w:rsidRPr="005E57D5">
              <w:rPr>
                <w:lang w:val="fr-FR"/>
              </w:rPr>
              <w:t>examinera la conception de l'étude de délimitation et sout</w:t>
            </w:r>
            <w:r w:rsidR="0017134B">
              <w:rPr>
                <w:lang w:val="fr-FR"/>
              </w:rPr>
              <w:t>iendra</w:t>
            </w:r>
            <w:r w:rsidR="00B40E52">
              <w:rPr>
                <w:lang w:val="fr-FR"/>
              </w:rPr>
              <w:t xml:space="preserve"> </w:t>
            </w:r>
            <w:r w:rsidR="00872168">
              <w:rPr>
                <w:lang w:val="fr-FR"/>
              </w:rPr>
              <w:t>le consultant national dans</w:t>
            </w:r>
            <w:r w:rsidR="0017134B" w:rsidRPr="005E57D5">
              <w:rPr>
                <w:lang w:val="fr-FR"/>
              </w:rPr>
              <w:t xml:space="preserve"> son travail.</w:t>
            </w:r>
            <w:r w:rsidR="0017134B">
              <w:rPr>
                <w:lang w:val="fr-FR"/>
              </w:rPr>
              <w:t xml:space="preserve">  Elle </w:t>
            </w:r>
            <w:r w:rsidRPr="00DD2D08">
              <w:rPr>
                <w:lang w:val="fr-FR"/>
              </w:rPr>
              <w:t>communiquer</w:t>
            </w:r>
            <w:r w:rsidR="0017134B">
              <w:rPr>
                <w:lang w:val="fr-FR"/>
              </w:rPr>
              <w:t>a</w:t>
            </w:r>
            <w:r w:rsidRPr="00DD2D08">
              <w:rPr>
                <w:lang w:val="fr-FR"/>
              </w:rPr>
              <w:t xml:space="preserve"> et coordonner</w:t>
            </w:r>
            <w:r w:rsidR="0017134B">
              <w:rPr>
                <w:lang w:val="fr-FR"/>
              </w:rPr>
              <w:t>a</w:t>
            </w:r>
            <w:r w:rsidRPr="00DD2D08">
              <w:rPr>
                <w:lang w:val="fr-FR"/>
              </w:rPr>
              <w:t xml:space="preserve"> régulièrement avec le bureau de la FAO en Tunisie, y compris le Représentant de la FAO M. Benoît Horemans et M. Ahmed Bougacha</w:t>
            </w:r>
            <w:r w:rsidR="004B5923">
              <w:rPr>
                <w:lang w:val="fr-FR"/>
              </w:rPr>
              <w:t xml:space="preserve">. </w:t>
            </w:r>
          </w:p>
          <w:p w:rsidR="004B5923" w:rsidRDefault="004B5923" w:rsidP="00F030B1">
            <w:pPr>
              <w:spacing w:after="0" w:line="240" w:lineRule="auto"/>
              <w:rPr>
                <w:lang w:val="fr-FR"/>
              </w:rPr>
            </w:pPr>
          </w:p>
          <w:p w:rsidR="00042DBA" w:rsidRPr="00042DBA" w:rsidRDefault="004B5923" w:rsidP="00F030B1">
            <w:pPr>
              <w:spacing w:after="0" w:line="240" w:lineRule="auto"/>
              <w:rPr>
                <w:lang w:val="fr-FR"/>
              </w:rPr>
            </w:pPr>
            <w:r w:rsidRPr="005E57D5">
              <w:rPr>
                <w:lang w:val="fr-FR"/>
              </w:rPr>
              <w:t>L'équipe consultative régionale (y compris la FAO, le PNUD et le personnel du PNUE et LTO FAO RAP) sera chargé</w:t>
            </w:r>
            <w:r>
              <w:rPr>
                <w:lang w:val="fr-FR"/>
              </w:rPr>
              <w:t>e</w:t>
            </w:r>
            <w:r w:rsidRPr="005E57D5">
              <w:rPr>
                <w:lang w:val="fr-FR"/>
              </w:rPr>
              <w:t xml:space="preserve"> d'assurer la cohérence et l'int</w:t>
            </w:r>
            <w:r>
              <w:rPr>
                <w:lang w:val="fr-FR"/>
              </w:rPr>
              <w:t xml:space="preserve">égration des  activités </w:t>
            </w:r>
            <w:r w:rsidRPr="005E57D5">
              <w:rPr>
                <w:lang w:val="fr-FR"/>
              </w:rPr>
              <w:t>avec ce</w:t>
            </w:r>
            <w:r>
              <w:rPr>
                <w:lang w:val="fr-FR"/>
              </w:rPr>
              <w:t xml:space="preserve">ux </w:t>
            </w:r>
            <w:r w:rsidRPr="005E57D5">
              <w:rPr>
                <w:lang w:val="fr-FR"/>
              </w:rPr>
              <w:t xml:space="preserve"> d'autres produits du programme, </w:t>
            </w:r>
            <w:r>
              <w:rPr>
                <w:lang w:val="fr-FR"/>
              </w:rPr>
              <w:t xml:space="preserve">notamment </w:t>
            </w:r>
            <w:r w:rsidRPr="005E57D5">
              <w:rPr>
                <w:lang w:val="fr-FR"/>
              </w:rPr>
              <w:t xml:space="preserve">pour l'identification et l'engagement </w:t>
            </w:r>
            <w:r>
              <w:rPr>
                <w:lang w:val="fr-FR"/>
              </w:rPr>
              <w:t xml:space="preserve">de l’appui </w:t>
            </w:r>
            <w:r w:rsidRPr="005E57D5">
              <w:rPr>
                <w:lang w:val="fr-FR"/>
              </w:rPr>
              <w:t xml:space="preserve"> technique </w:t>
            </w:r>
            <w:r>
              <w:rPr>
                <w:lang w:val="fr-FR"/>
              </w:rPr>
              <w:t xml:space="preserve">nécessaire </w:t>
            </w:r>
            <w:r w:rsidRPr="005E57D5">
              <w:rPr>
                <w:lang w:val="fr-FR"/>
              </w:rPr>
              <w:t xml:space="preserve"> pour assurer </w:t>
            </w:r>
            <w:r>
              <w:rPr>
                <w:lang w:val="fr-FR"/>
              </w:rPr>
              <w:t xml:space="preserve">un </w:t>
            </w:r>
            <w:r w:rsidRPr="005E57D5">
              <w:rPr>
                <w:lang w:val="fr-FR"/>
              </w:rPr>
              <w:t xml:space="preserve"> contrôle</w:t>
            </w:r>
            <w:r>
              <w:rPr>
                <w:lang w:val="fr-FR"/>
              </w:rPr>
              <w:t xml:space="preserve"> adéquat de qualité </w:t>
            </w:r>
            <w:r w:rsidRPr="005E57D5">
              <w:rPr>
                <w:lang w:val="fr-FR"/>
              </w:rPr>
              <w:t xml:space="preserve"> des résultats.</w:t>
            </w:r>
            <w:r w:rsidR="00B40E52">
              <w:rPr>
                <w:lang w:val="fr-FR"/>
              </w:rPr>
              <w:t xml:space="preserve"> </w:t>
            </w:r>
            <w:r w:rsidR="00DD2D08" w:rsidRPr="00DD2D08">
              <w:rPr>
                <w:lang w:val="fr-FR"/>
              </w:rPr>
              <w:t xml:space="preserve">Les partenaires du projet vont veiller à ce qu'un large éventail </w:t>
            </w:r>
            <w:r w:rsidR="00DD2D08" w:rsidRPr="005F6CE7">
              <w:rPr>
                <w:lang w:val="fr-FR"/>
              </w:rPr>
              <w:t>d</w:t>
            </w:r>
            <w:r w:rsidR="00B40E52">
              <w:rPr>
                <w:lang w:val="fr-FR"/>
              </w:rPr>
              <w:t>’</w:t>
            </w:r>
            <w:r w:rsidR="00042DBA">
              <w:rPr>
                <w:lang w:val="fr-FR"/>
              </w:rPr>
              <w:t>intervenant</w:t>
            </w:r>
            <w:r w:rsidR="00DD2D08" w:rsidRPr="005F6CE7">
              <w:rPr>
                <w:lang w:val="fr-FR"/>
              </w:rPr>
              <w:t>s</w:t>
            </w:r>
            <w:r w:rsidR="00DD2D08" w:rsidRPr="00DD2D08">
              <w:rPr>
                <w:lang w:val="fr-FR"/>
              </w:rPr>
              <w:t xml:space="preserve"> </w:t>
            </w:r>
            <w:r w:rsidR="00A30B44" w:rsidRPr="00DD2D08">
              <w:rPr>
                <w:lang w:val="fr-FR"/>
              </w:rPr>
              <w:t>s</w:t>
            </w:r>
            <w:r w:rsidR="00A30B44">
              <w:rPr>
                <w:lang w:val="fr-FR"/>
              </w:rPr>
              <w:t>er</w:t>
            </w:r>
            <w:r w:rsidR="00A30B44" w:rsidRPr="00DD2D08">
              <w:rPr>
                <w:lang w:val="fr-FR"/>
              </w:rPr>
              <w:t>a</w:t>
            </w:r>
            <w:r w:rsidR="00DD2D08" w:rsidRPr="00DD2D08">
              <w:rPr>
                <w:lang w:val="fr-FR"/>
              </w:rPr>
              <w:t xml:space="preserve"> </w:t>
            </w:r>
            <w:r w:rsidR="00A30B44" w:rsidRPr="00DD2D08">
              <w:rPr>
                <w:lang w:val="fr-FR"/>
              </w:rPr>
              <w:t>consulté</w:t>
            </w:r>
            <w:r w:rsidR="00DD2D08" w:rsidRPr="00DD2D08">
              <w:rPr>
                <w:lang w:val="fr-FR"/>
              </w:rPr>
              <w:t xml:space="preserve"> dans la recherche et </w:t>
            </w:r>
            <w:r w:rsidR="005F6CE7">
              <w:rPr>
                <w:lang w:val="fr-FR"/>
              </w:rPr>
              <w:t>sont</w:t>
            </w:r>
            <w:r w:rsidR="00DD2D08" w:rsidRPr="00DD2D08">
              <w:rPr>
                <w:lang w:val="fr-FR"/>
              </w:rPr>
              <w:t xml:space="preserve"> invité</w:t>
            </w:r>
            <w:r w:rsidR="005F6CE7">
              <w:rPr>
                <w:lang w:val="fr-FR"/>
              </w:rPr>
              <w:t>s</w:t>
            </w:r>
            <w:r w:rsidR="00B40E52">
              <w:rPr>
                <w:lang w:val="fr-FR"/>
              </w:rPr>
              <w:t xml:space="preserve"> </w:t>
            </w:r>
            <w:r w:rsidR="005F6CE7">
              <w:rPr>
                <w:lang w:val="fr-FR"/>
              </w:rPr>
              <w:t>aux</w:t>
            </w:r>
            <w:r w:rsidR="00DD2D08" w:rsidRPr="00DD2D08">
              <w:rPr>
                <w:lang w:val="fr-FR"/>
              </w:rPr>
              <w:t xml:space="preserve"> deux ateliers, en pren</w:t>
            </w:r>
            <w:r w:rsidR="005F6CE7">
              <w:rPr>
                <w:lang w:val="fr-FR"/>
              </w:rPr>
              <w:t xml:space="preserve">ant </w:t>
            </w:r>
            <w:r w:rsidR="005F6CE7" w:rsidRPr="005F6CE7">
              <w:rPr>
                <w:lang w:val="fr-FR"/>
              </w:rPr>
              <w:t>également l'équilibre entre les sexes en considération.</w:t>
            </w:r>
          </w:p>
        </w:tc>
      </w:tr>
    </w:tbl>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B4319" w:rsidRPr="00A30B44" w:rsidTr="00465C55">
        <w:trPr>
          <w:cantSplit/>
        </w:trPr>
        <w:tc>
          <w:tcPr>
            <w:tcW w:w="9576" w:type="dxa"/>
            <w:shd w:val="clear" w:color="auto" w:fill="DBE5F1"/>
          </w:tcPr>
          <w:p w:rsidR="009B4319" w:rsidRPr="00C97309" w:rsidRDefault="009B4319" w:rsidP="00D70C4B">
            <w:pPr>
              <w:spacing w:after="0" w:line="240" w:lineRule="auto"/>
              <w:rPr>
                <w:b/>
                <w:color w:val="0F243E"/>
                <w:lang w:val="fr-FR"/>
              </w:rPr>
            </w:pPr>
            <w:r w:rsidRPr="00C97309">
              <w:rPr>
                <w:b/>
                <w:color w:val="0F243E"/>
                <w:lang w:val="fr-FR"/>
              </w:rPr>
              <w:t xml:space="preserve">V. SOURCE DE FINANCEMENT </w:t>
            </w:r>
          </w:p>
          <w:p w:rsidR="009B4319" w:rsidRPr="00C97309" w:rsidRDefault="009B4319" w:rsidP="00105EE6">
            <w:pPr>
              <w:spacing w:after="0" w:line="240" w:lineRule="auto"/>
              <w:rPr>
                <w:color w:val="1F497D"/>
                <w:lang w:val="fr-FR"/>
              </w:rPr>
            </w:pPr>
            <w:r w:rsidRPr="00C97309">
              <w:rPr>
                <w:color w:val="1F497D"/>
                <w:lang w:val="fr-FR"/>
              </w:rPr>
              <w:t xml:space="preserve">Veuillez indiquer toute éventuelle source de cofinancement des activités prévues.   </w:t>
            </w:r>
          </w:p>
          <w:p w:rsidR="009B4319" w:rsidRPr="00C97309" w:rsidRDefault="009B4319" w:rsidP="00465C55">
            <w:pPr>
              <w:pStyle w:val="ListParagraph"/>
              <w:spacing w:after="0" w:line="240" w:lineRule="auto"/>
              <w:ind w:left="284"/>
              <w:rPr>
                <w:b/>
                <w:color w:val="1F497D"/>
                <w:sz w:val="28"/>
                <w:szCs w:val="28"/>
                <w:lang w:val="fr-FR"/>
              </w:rPr>
            </w:pPr>
          </w:p>
        </w:tc>
      </w:tr>
      <w:tr w:rsidR="009B4319" w:rsidRPr="00A30B44" w:rsidTr="00465C55">
        <w:trPr>
          <w:cantSplit/>
        </w:trPr>
        <w:tc>
          <w:tcPr>
            <w:tcW w:w="9576" w:type="dxa"/>
          </w:tcPr>
          <w:p w:rsidR="009B4319" w:rsidRPr="00233A04" w:rsidRDefault="00E93138" w:rsidP="00B40E52">
            <w:pPr>
              <w:spacing w:after="0" w:line="240" w:lineRule="auto"/>
              <w:rPr>
                <w:lang w:val="fr-FR"/>
              </w:rPr>
            </w:pPr>
            <w:r w:rsidRPr="00F2223F">
              <w:rPr>
                <w:lang w:val="fr-FR"/>
              </w:rPr>
              <w:t>Il n'y a pas de cofinancement pour ce projet</w:t>
            </w:r>
            <w:r w:rsidR="000777CF" w:rsidRPr="00F2223F">
              <w:rPr>
                <w:lang w:val="fr-FR"/>
              </w:rPr>
              <w:t xml:space="preserve">, mais la Direction Générale des </w:t>
            </w:r>
            <w:r w:rsidR="00B40E52" w:rsidRPr="00F2223F">
              <w:rPr>
                <w:lang w:val="fr-FR"/>
              </w:rPr>
              <w:t xml:space="preserve">Forêts </w:t>
            </w:r>
            <w:r w:rsidR="000777CF" w:rsidRPr="00F2223F">
              <w:rPr>
                <w:lang w:val="fr-FR"/>
              </w:rPr>
              <w:t xml:space="preserve">fournira </w:t>
            </w:r>
            <w:r w:rsidR="00B40E52" w:rsidRPr="00F2223F">
              <w:rPr>
                <w:lang w:val="fr-FR"/>
              </w:rPr>
              <w:t xml:space="preserve">un </w:t>
            </w:r>
            <w:r w:rsidR="000777CF" w:rsidRPr="00F2223F">
              <w:rPr>
                <w:lang w:val="fr-FR"/>
              </w:rPr>
              <w:t>bureau pour le consultant.</w:t>
            </w:r>
          </w:p>
        </w:tc>
      </w:tr>
    </w:tbl>
    <w:p w:rsidR="009B4319" w:rsidRPr="00C97309" w:rsidRDefault="009B4319">
      <w:pPr>
        <w:rPr>
          <w:lang w:val="fr-FR"/>
        </w:rPr>
      </w:pPr>
    </w:p>
    <w:p w:rsidR="009B4319" w:rsidRPr="00C97309" w:rsidRDefault="009B4319">
      <w:pPr>
        <w:rPr>
          <w:lang w:val="fr-FR"/>
        </w:rPr>
      </w:pPr>
      <w:r w:rsidRPr="00C97309">
        <w:rPr>
          <w:lang w:val="fr-FR"/>
        </w:rPr>
        <w:br w:type="page"/>
      </w:r>
    </w:p>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134"/>
        <w:gridCol w:w="3089"/>
      </w:tblGrid>
      <w:tr w:rsidR="009B4319" w:rsidRPr="00A30B44" w:rsidTr="00465C55">
        <w:tc>
          <w:tcPr>
            <w:tcW w:w="9576" w:type="dxa"/>
            <w:gridSpan w:val="3"/>
            <w:shd w:val="clear" w:color="auto" w:fill="DBE5F1"/>
          </w:tcPr>
          <w:p w:rsidR="009B4319" w:rsidRPr="00C97309" w:rsidRDefault="009B4319" w:rsidP="00F94DD4">
            <w:pPr>
              <w:spacing w:after="0" w:line="240" w:lineRule="auto"/>
              <w:rPr>
                <w:b/>
                <w:color w:val="244061"/>
                <w:lang w:val="fr-FR"/>
              </w:rPr>
            </w:pPr>
            <w:r w:rsidRPr="00C97309">
              <w:rPr>
                <w:b/>
                <w:color w:val="1F497D"/>
                <w:lang w:val="fr-FR"/>
              </w:rPr>
              <w:t>VI. PLAN DE TRAVAIL RÉSUMÉ, AVEC BUDGET ET CALENDRIER</w:t>
            </w:r>
          </w:p>
          <w:p w:rsidR="009B4319" w:rsidRPr="00C97309" w:rsidRDefault="009B4319" w:rsidP="00465C55">
            <w:pPr>
              <w:spacing w:after="0" w:line="240" w:lineRule="auto"/>
              <w:rPr>
                <w:color w:val="1F497D"/>
                <w:sz w:val="21"/>
                <w:szCs w:val="21"/>
                <w:lang w:val="fr-FR"/>
              </w:rPr>
            </w:pPr>
            <w:r w:rsidRPr="00C97309">
              <w:rPr>
                <w:i/>
                <w:color w:val="244061"/>
                <w:sz w:val="21"/>
                <w:szCs w:val="21"/>
                <w:lang w:val="fr-FR"/>
              </w:rPr>
              <w:t>(Veuillez agrandir l’espace selon vos besoins. Vous pouvez également ajouter une annexe avec le plan de travail, le budget et le calendrier</w:t>
            </w:r>
          </w:p>
        </w:tc>
      </w:tr>
      <w:tr w:rsidR="009B4319" w:rsidRPr="00A30B44" w:rsidTr="00465C55">
        <w:tc>
          <w:tcPr>
            <w:tcW w:w="5353" w:type="dxa"/>
            <w:shd w:val="clear" w:color="auto" w:fill="DBE5F1"/>
            <w:vAlign w:val="center"/>
          </w:tcPr>
          <w:p w:rsidR="009B4319" w:rsidRPr="00C97309" w:rsidRDefault="009B4319" w:rsidP="00465C55">
            <w:pPr>
              <w:spacing w:after="0" w:line="240" w:lineRule="auto"/>
              <w:jc w:val="center"/>
              <w:rPr>
                <w:color w:val="1F497D"/>
                <w:lang w:val="fr-FR"/>
              </w:rPr>
            </w:pPr>
            <w:r w:rsidRPr="00C97309">
              <w:rPr>
                <w:color w:val="244061"/>
                <w:lang w:val="fr-FR"/>
              </w:rPr>
              <w:t>Description des réalisations et activités prévues</w:t>
            </w:r>
          </w:p>
        </w:tc>
        <w:tc>
          <w:tcPr>
            <w:tcW w:w="1134" w:type="dxa"/>
            <w:shd w:val="clear" w:color="auto" w:fill="DBE5F1"/>
            <w:vAlign w:val="center"/>
          </w:tcPr>
          <w:p w:rsidR="009B4319" w:rsidRPr="00C97309" w:rsidRDefault="009B4319" w:rsidP="00465C55">
            <w:pPr>
              <w:spacing w:after="0" w:line="240" w:lineRule="auto"/>
              <w:jc w:val="center"/>
              <w:rPr>
                <w:color w:val="1F497D"/>
                <w:lang w:val="fr-FR"/>
              </w:rPr>
            </w:pPr>
            <w:r w:rsidRPr="00C97309">
              <w:rPr>
                <w:color w:val="244061"/>
                <w:lang w:val="fr-FR"/>
              </w:rPr>
              <w:t>Montant (US</w:t>
            </w:r>
            <w:r w:rsidRPr="00C97309">
              <w:rPr>
                <w:rFonts w:cs="Calibri"/>
                <w:color w:val="244061"/>
                <w:lang w:val="fr-FR"/>
              </w:rPr>
              <w:t>D</w:t>
            </w:r>
            <w:r w:rsidRPr="00C97309">
              <w:rPr>
                <w:color w:val="244061"/>
                <w:lang w:val="fr-FR"/>
              </w:rPr>
              <w:t>)</w:t>
            </w:r>
          </w:p>
        </w:tc>
        <w:tc>
          <w:tcPr>
            <w:tcW w:w="3089" w:type="dxa"/>
            <w:shd w:val="clear" w:color="auto" w:fill="DBE5F1"/>
            <w:vAlign w:val="center"/>
          </w:tcPr>
          <w:p w:rsidR="009B4319" w:rsidRPr="00C97309" w:rsidRDefault="009B4319" w:rsidP="00465C55">
            <w:pPr>
              <w:spacing w:after="0" w:line="240" w:lineRule="auto"/>
              <w:jc w:val="center"/>
              <w:rPr>
                <w:color w:val="1F497D"/>
                <w:lang w:val="fr-FR"/>
              </w:rPr>
            </w:pPr>
            <w:r w:rsidRPr="00C97309">
              <w:rPr>
                <w:color w:val="244061"/>
                <w:lang w:val="fr-FR"/>
              </w:rPr>
              <w:t>Période de mise en œuvre (du mois/année au mois/année</w:t>
            </w:r>
            <w:r w:rsidRPr="00C97309">
              <w:rPr>
                <w:i/>
                <w:color w:val="244061"/>
                <w:lang w:val="fr-FR"/>
              </w:rPr>
              <w:t>)</w:t>
            </w:r>
          </w:p>
        </w:tc>
      </w:tr>
      <w:tr w:rsidR="009B4319" w:rsidRPr="00C97309" w:rsidTr="00465C55">
        <w:tc>
          <w:tcPr>
            <w:tcW w:w="5353" w:type="dxa"/>
          </w:tcPr>
          <w:p w:rsidR="009B4319" w:rsidRPr="00CA3350" w:rsidRDefault="00CA3350" w:rsidP="00465C55">
            <w:pPr>
              <w:spacing w:after="0" w:line="240" w:lineRule="auto"/>
              <w:rPr>
                <w:b/>
                <w:lang w:val="fr-FR"/>
              </w:rPr>
            </w:pPr>
            <w:r w:rsidRPr="00CA3350">
              <w:rPr>
                <w:b/>
                <w:lang w:val="fr-FR"/>
              </w:rPr>
              <w:t>Ateliers (2</w:t>
            </w:r>
            <w:r w:rsidR="00486DED">
              <w:rPr>
                <w:b/>
                <w:lang w:val="fr-FR"/>
              </w:rPr>
              <w:t xml:space="preserve"> @$5,000 ea)</w:t>
            </w:r>
          </w:p>
        </w:tc>
        <w:tc>
          <w:tcPr>
            <w:tcW w:w="1134" w:type="dxa"/>
          </w:tcPr>
          <w:p w:rsidR="009B4319" w:rsidRPr="00CA3350" w:rsidRDefault="00CA3350" w:rsidP="00465C55">
            <w:pPr>
              <w:spacing w:after="0" w:line="240" w:lineRule="auto"/>
              <w:rPr>
                <w:lang w:val="fr-FR"/>
              </w:rPr>
            </w:pPr>
            <w:r w:rsidRPr="00CA3350">
              <w:rPr>
                <w:lang w:val="fr-FR"/>
              </w:rPr>
              <w:t>$10,000</w:t>
            </w:r>
          </w:p>
        </w:tc>
        <w:tc>
          <w:tcPr>
            <w:tcW w:w="3089" w:type="dxa"/>
          </w:tcPr>
          <w:p w:rsidR="009B4319" w:rsidRPr="00CA3350" w:rsidRDefault="00F2223F" w:rsidP="00F2223F">
            <w:pPr>
              <w:spacing w:after="0" w:line="240" w:lineRule="auto"/>
              <w:rPr>
                <w:b/>
                <w:lang w:val="fr-FR"/>
              </w:rPr>
            </w:pPr>
            <w:r>
              <w:rPr>
                <w:lang w:val="fr-FR"/>
              </w:rPr>
              <w:t>janvier</w:t>
            </w:r>
            <w:r w:rsidR="00CA3350">
              <w:rPr>
                <w:lang w:val="fr-FR"/>
              </w:rPr>
              <w:t>/</w:t>
            </w:r>
            <w:r>
              <w:rPr>
                <w:lang w:val="fr-FR"/>
              </w:rPr>
              <w:t xml:space="preserve">2015 </w:t>
            </w:r>
            <w:r w:rsidR="00CA3350">
              <w:rPr>
                <w:lang w:val="fr-FR"/>
              </w:rPr>
              <w:t xml:space="preserve">– </w:t>
            </w:r>
            <w:r>
              <w:rPr>
                <w:lang w:val="fr-FR"/>
              </w:rPr>
              <w:t>septembre</w:t>
            </w:r>
            <w:r w:rsidR="00CA3350">
              <w:rPr>
                <w:lang w:val="fr-FR"/>
              </w:rPr>
              <w:t>/2015</w:t>
            </w:r>
          </w:p>
        </w:tc>
      </w:tr>
      <w:tr w:rsidR="009B4319" w:rsidRPr="00C97309" w:rsidTr="00465C55">
        <w:tc>
          <w:tcPr>
            <w:tcW w:w="5353" w:type="dxa"/>
          </w:tcPr>
          <w:p w:rsidR="009B4319" w:rsidRPr="00CA3350" w:rsidRDefault="00CA3350" w:rsidP="00465C55">
            <w:pPr>
              <w:spacing w:after="0" w:line="240" w:lineRule="auto"/>
              <w:rPr>
                <w:b/>
                <w:lang w:val="fr-FR"/>
              </w:rPr>
            </w:pPr>
            <w:r w:rsidRPr="00CA3350">
              <w:rPr>
                <w:b/>
                <w:lang w:val="fr-FR"/>
              </w:rPr>
              <w:t>Réunion (1)</w:t>
            </w:r>
          </w:p>
          <w:p w:rsidR="009B4319" w:rsidRPr="00CA3350" w:rsidRDefault="009B4319" w:rsidP="00465C55">
            <w:pPr>
              <w:spacing w:after="0" w:line="240" w:lineRule="auto"/>
              <w:rPr>
                <w:b/>
                <w:lang w:val="fr-FR"/>
              </w:rPr>
            </w:pPr>
          </w:p>
        </w:tc>
        <w:tc>
          <w:tcPr>
            <w:tcW w:w="1134" w:type="dxa"/>
          </w:tcPr>
          <w:p w:rsidR="009B4319" w:rsidRPr="00CA3350" w:rsidRDefault="00CA3350" w:rsidP="00465C55">
            <w:pPr>
              <w:spacing w:after="0" w:line="240" w:lineRule="auto"/>
              <w:rPr>
                <w:lang w:val="fr-FR"/>
              </w:rPr>
            </w:pPr>
            <w:r w:rsidRPr="00CA3350">
              <w:rPr>
                <w:lang w:val="fr-FR"/>
              </w:rPr>
              <w:t>$5,000</w:t>
            </w:r>
          </w:p>
        </w:tc>
        <w:tc>
          <w:tcPr>
            <w:tcW w:w="3089" w:type="dxa"/>
          </w:tcPr>
          <w:p w:rsidR="009B4319" w:rsidRPr="00CA3350" w:rsidRDefault="00F2223F" w:rsidP="00465C55">
            <w:pPr>
              <w:spacing w:after="0" w:line="240" w:lineRule="auto"/>
              <w:rPr>
                <w:b/>
                <w:lang w:val="fr-FR"/>
              </w:rPr>
            </w:pPr>
            <w:r>
              <w:rPr>
                <w:lang w:val="fr-FR"/>
              </w:rPr>
              <w:t>janvier</w:t>
            </w:r>
            <w:r w:rsidR="00CA3350">
              <w:rPr>
                <w:lang w:val="fr-FR"/>
              </w:rPr>
              <w:t xml:space="preserve">/2014 – </w:t>
            </w:r>
            <w:r>
              <w:rPr>
                <w:lang w:val="fr-FR"/>
              </w:rPr>
              <w:t>septembre</w:t>
            </w:r>
            <w:r w:rsidR="00CA3350">
              <w:rPr>
                <w:lang w:val="fr-FR"/>
              </w:rPr>
              <w:t>/2015</w:t>
            </w:r>
          </w:p>
        </w:tc>
      </w:tr>
      <w:tr w:rsidR="009B4319" w:rsidRPr="00C97309" w:rsidTr="00465C55">
        <w:tc>
          <w:tcPr>
            <w:tcW w:w="5353" w:type="dxa"/>
          </w:tcPr>
          <w:p w:rsidR="009B4319" w:rsidRPr="00CA3350" w:rsidRDefault="00CA3350" w:rsidP="00465C55">
            <w:pPr>
              <w:spacing w:after="0" w:line="240" w:lineRule="auto"/>
              <w:rPr>
                <w:b/>
                <w:lang w:val="fr-FR"/>
              </w:rPr>
            </w:pPr>
            <w:r w:rsidRPr="00CA3350">
              <w:rPr>
                <w:b/>
                <w:lang w:val="fr-FR"/>
              </w:rPr>
              <w:t>Consultant national</w:t>
            </w:r>
            <w:r w:rsidR="00486DED">
              <w:rPr>
                <w:b/>
                <w:lang w:val="fr-FR"/>
              </w:rPr>
              <w:t xml:space="preserve"> ($5500/mth)</w:t>
            </w:r>
          </w:p>
          <w:p w:rsidR="009B4319" w:rsidRPr="00CA3350" w:rsidRDefault="009B4319" w:rsidP="00465C55">
            <w:pPr>
              <w:spacing w:after="0" w:line="240" w:lineRule="auto"/>
              <w:rPr>
                <w:b/>
                <w:lang w:val="fr-FR"/>
              </w:rPr>
            </w:pPr>
          </w:p>
        </w:tc>
        <w:tc>
          <w:tcPr>
            <w:tcW w:w="1134" w:type="dxa"/>
          </w:tcPr>
          <w:p w:rsidR="009B4319" w:rsidRPr="00CA3350" w:rsidRDefault="00CA3350" w:rsidP="00465C55">
            <w:pPr>
              <w:spacing w:after="0" w:line="240" w:lineRule="auto"/>
              <w:rPr>
                <w:lang w:val="fr-FR"/>
              </w:rPr>
            </w:pPr>
            <w:r w:rsidRPr="00CA3350">
              <w:rPr>
                <w:lang w:val="fr-FR"/>
              </w:rPr>
              <w:t>$49,500</w:t>
            </w:r>
          </w:p>
        </w:tc>
        <w:tc>
          <w:tcPr>
            <w:tcW w:w="3089" w:type="dxa"/>
          </w:tcPr>
          <w:p w:rsidR="009B4319" w:rsidRPr="00CA3350" w:rsidRDefault="00F2223F" w:rsidP="00465C55">
            <w:pPr>
              <w:spacing w:after="0" w:line="240" w:lineRule="auto"/>
              <w:rPr>
                <w:b/>
                <w:lang w:val="fr-FR"/>
              </w:rPr>
            </w:pPr>
            <w:r>
              <w:rPr>
                <w:lang w:val="fr-FR"/>
              </w:rPr>
              <w:t>janvier</w:t>
            </w:r>
            <w:r w:rsidR="00CA3350">
              <w:rPr>
                <w:lang w:val="fr-FR"/>
              </w:rPr>
              <w:t xml:space="preserve">/2014 – </w:t>
            </w:r>
            <w:r>
              <w:rPr>
                <w:lang w:val="fr-FR"/>
              </w:rPr>
              <w:t>septembre</w:t>
            </w:r>
            <w:r w:rsidR="00CA3350">
              <w:rPr>
                <w:lang w:val="fr-FR"/>
              </w:rPr>
              <w:t>/2015</w:t>
            </w:r>
          </w:p>
        </w:tc>
      </w:tr>
      <w:tr w:rsidR="009B4319" w:rsidRPr="00C97309" w:rsidTr="00465C55">
        <w:tc>
          <w:tcPr>
            <w:tcW w:w="5353" w:type="dxa"/>
          </w:tcPr>
          <w:p w:rsidR="009B4319" w:rsidRPr="00CA3350" w:rsidRDefault="00CA3350" w:rsidP="00465C55">
            <w:pPr>
              <w:spacing w:after="0" w:line="240" w:lineRule="auto"/>
              <w:rPr>
                <w:b/>
                <w:lang w:val="fr-FR"/>
              </w:rPr>
            </w:pPr>
            <w:r w:rsidRPr="00CA3350">
              <w:rPr>
                <w:b/>
                <w:lang w:val="fr-FR"/>
              </w:rPr>
              <w:t>Publication/diss</w:t>
            </w:r>
            <w:r w:rsidR="00B40E52">
              <w:rPr>
                <w:b/>
                <w:lang w:val="fr-FR"/>
              </w:rPr>
              <w:t>é</w:t>
            </w:r>
            <w:r w:rsidRPr="00CA3350">
              <w:rPr>
                <w:b/>
                <w:lang w:val="fr-FR"/>
              </w:rPr>
              <w:t>mination</w:t>
            </w:r>
            <w:r>
              <w:rPr>
                <w:b/>
                <w:lang w:val="fr-FR"/>
              </w:rPr>
              <w:t xml:space="preserve"> (forfait)</w:t>
            </w:r>
          </w:p>
          <w:p w:rsidR="009B4319" w:rsidRPr="00CA3350" w:rsidRDefault="009B4319" w:rsidP="00465C55">
            <w:pPr>
              <w:spacing w:after="0" w:line="240" w:lineRule="auto"/>
              <w:rPr>
                <w:b/>
                <w:lang w:val="fr-FR"/>
              </w:rPr>
            </w:pPr>
          </w:p>
        </w:tc>
        <w:tc>
          <w:tcPr>
            <w:tcW w:w="1134" w:type="dxa"/>
          </w:tcPr>
          <w:p w:rsidR="009B4319" w:rsidRPr="00CA3350" w:rsidRDefault="00CA3350" w:rsidP="00465C55">
            <w:pPr>
              <w:spacing w:after="0" w:line="240" w:lineRule="auto"/>
              <w:rPr>
                <w:lang w:val="fr-FR"/>
              </w:rPr>
            </w:pPr>
            <w:r w:rsidRPr="00CA3350">
              <w:rPr>
                <w:lang w:val="fr-FR"/>
              </w:rPr>
              <w:t>$5,000</w:t>
            </w:r>
          </w:p>
        </w:tc>
        <w:tc>
          <w:tcPr>
            <w:tcW w:w="3089" w:type="dxa"/>
          </w:tcPr>
          <w:p w:rsidR="009B4319" w:rsidRPr="00CA3350" w:rsidRDefault="00F2223F" w:rsidP="00F2223F">
            <w:pPr>
              <w:spacing w:after="0" w:line="240" w:lineRule="auto"/>
              <w:rPr>
                <w:b/>
                <w:lang w:val="fr-FR"/>
              </w:rPr>
            </w:pPr>
            <w:r>
              <w:rPr>
                <w:lang w:val="fr-FR"/>
              </w:rPr>
              <w:t>janvier</w:t>
            </w:r>
            <w:r w:rsidR="00CA3350">
              <w:rPr>
                <w:lang w:val="fr-FR"/>
              </w:rPr>
              <w:t xml:space="preserve">/2014 – </w:t>
            </w:r>
            <w:r>
              <w:rPr>
                <w:lang w:val="fr-FR"/>
              </w:rPr>
              <w:t>septembre</w:t>
            </w:r>
            <w:r w:rsidR="00CA3350">
              <w:rPr>
                <w:lang w:val="fr-FR"/>
              </w:rPr>
              <w:t>/2015</w:t>
            </w:r>
          </w:p>
        </w:tc>
      </w:tr>
      <w:tr w:rsidR="009B4319" w:rsidRPr="00A30B44" w:rsidTr="00465C55">
        <w:tc>
          <w:tcPr>
            <w:tcW w:w="5353" w:type="dxa"/>
          </w:tcPr>
          <w:p w:rsidR="009B4319" w:rsidRPr="00C97309" w:rsidRDefault="009B4319" w:rsidP="00465C55">
            <w:pPr>
              <w:spacing w:after="0" w:line="240" w:lineRule="auto"/>
              <w:rPr>
                <w:color w:val="1F497D"/>
                <w:lang w:val="fr-FR"/>
              </w:rPr>
            </w:pPr>
            <w:r w:rsidRPr="00C97309">
              <w:rPr>
                <w:i/>
                <w:color w:val="244061"/>
                <w:lang w:val="fr-FR"/>
              </w:rPr>
              <w:t>(Veuillez ajouter des lignes selon vos besoins)</w:t>
            </w:r>
          </w:p>
        </w:tc>
        <w:tc>
          <w:tcPr>
            <w:tcW w:w="1134" w:type="dxa"/>
          </w:tcPr>
          <w:p w:rsidR="009B4319" w:rsidRPr="00C97309" w:rsidRDefault="009B4319" w:rsidP="00465C55">
            <w:pPr>
              <w:spacing w:after="0" w:line="240" w:lineRule="auto"/>
              <w:rPr>
                <w:b/>
                <w:color w:val="1F497D"/>
                <w:lang w:val="fr-FR"/>
              </w:rPr>
            </w:pPr>
          </w:p>
        </w:tc>
        <w:tc>
          <w:tcPr>
            <w:tcW w:w="3089" w:type="dxa"/>
          </w:tcPr>
          <w:p w:rsidR="009B4319" w:rsidRPr="00C97309" w:rsidRDefault="009B4319" w:rsidP="00465C55">
            <w:pPr>
              <w:spacing w:after="0" w:line="240" w:lineRule="auto"/>
              <w:rPr>
                <w:b/>
                <w:color w:val="1F497D"/>
                <w:lang w:val="fr-FR"/>
              </w:rPr>
            </w:pPr>
          </w:p>
        </w:tc>
      </w:tr>
      <w:tr w:rsidR="009B4319" w:rsidRPr="00C97309" w:rsidTr="00465C55">
        <w:trPr>
          <w:trHeight w:val="222"/>
        </w:trPr>
        <w:tc>
          <w:tcPr>
            <w:tcW w:w="5353" w:type="dxa"/>
            <w:shd w:val="clear" w:color="auto" w:fill="DBE5F1"/>
          </w:tcPr>
          <w:p w:rsidR="009B4319" w:rsidRPr="00C97309" w:rsidRDefault="009B4319" w:rsidP="00465C55">
            <w:pPr>
              <w:spacing w:after="0" w:line="240" w:lineRule="auto"/>
              <w:rPr>
                <w:b/>
                <w:i/>
                <w:color w:val="244061"/>
                <w:lang w:val="fr-FR"/>
              </w:rPr>
            </w:pPr>
            <w:r w:rsidRPr="00C97309">
              <w:rPr>
                <w:b/>
                <w:color w:val="244061"/>
                <w:lang w:val="fr-FR"/>
              </w:rPr>
              <w:t>Montant total demandé (USD)</w:t>
            </w:r>
          </w:p>
        </w:tc>
        <w:tc>
          <w:tcPr>
            <w:tcW w:w="4223" w:type="dxa"/>
            <w:gridSpan w:val="2"/>
          </w:tcPr>
          <w:p w:rsidR="009B4319" w:rsidRPr="00322D0F" w:rsidRDefault="00CA3350" w:rsidP="00465C55">
            <w:pPr>
              <w:spacing w:after="0" w:line="240" w:lineRule="auto"/>
              <w:jc w:val="right"/>
              <w:rPr>
                <w:b/>
                <w:sz w:val="28"/>
                <w:szCs w:val="28"/>
                <w:lang w:val="fr-FR"/>
              </w:rPr>
            </w:pPr>
            <w:r w:rsidRPr="00322D0F">
              <w:rPr>
                <w:b/>
                <w:sz w:val="28"/>
                <w:szCs w:val="28"/>
                <w:lang w:val="fr-FR"/>
              </w:rPr>
              <w:t>$79,500</w:t>
            </w:r>
          </w:p>
        </w:tc>
      </w:tr>
    </w:tbl>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B4319" w:rsidRPr="00A30B44" w:rsidTr="00465C55">
        <w:trPr>
          <w:cantSplit/>
        </w:trPr>
        <w:tc>
          <w:tcPr>
            <w:tcW w:w="9576" w:type="dxa"/>
            <w:shd w:val="clear" w:color="auto" w:fill="DBE5F1"/>
          </w:tcPr>
          <w:p w:rsidR="009B4319" w:rsidRPr="00322D0F" w:rsidRDefault="009B4319" w:rsidP="00FD170D">
            <w:pPr>
              <w:spacing w:after="0" w:line="240" w:lineRule="auto"/>
              <w:rPr>
                <w:b/>
                <w:color w:val="0F243E"/>
                <w:lang w:val="fr-FR"/>
              </w:rPr>
            </w:pPr>
            <w:r w:rsidRPr="00322D0F">
              <w:rPr>
                <w:b/>
                <w:color w:val="0F243E"/>
                <w:lang w:val="fr-FR"/>
              </w:rPr>
              <w:t>VII. SUIVI DES AVANCÉES ET NOTIFICATION (RAPPORTS)</w:t>
            </w:r>
          </w:p>
          <w:p w:rsidR="009B4319" w:rsidRPr="00C97309" w:rsidRDefault="009B4319" w:rsidP="00465C55">
            <w:pPr>
              <w:pStyle w:val="CommentText"/>
              <w:spacing w:after="0"/>
              <w:rPr>
                <w:b/>
                <w:color w:val="1F497D"/>
                <w:sz w:val="28"/>
                <w:szCs w:val="28"/>
                <w:lang w:val="fr-FR"/>
              </w:rPr>
            </w:pPr>
            <w:r w:rsidRPr="00322D0F">
              <w:rPr>
                <w:color w:val="1F497D"/>
                <w:sz w:val="22"/>
                <w:szCs w:val="22"/>
                <w:lang w:val="fr-FR"/>
              </w:rPr>
              <w:t>Veuillez expliquer comment les avancées des réalisations et des activités prévues seront contrôlées et notifiées chronologiquement</w:t>
            </w:r>
            <w:r w:rsidRPr="00322D0F">
              <w:rPr>
                <w:rFonts w:cs="Calibri"/>
                <w:color w:val="244061"/>
                <w:sz w:val="22"/>
                <w:szCs w:val="22"/>
                <w:lang w:val="fr-FR"/>
              </w:rPr>
              <w:t>.</w:t>
            </w:r>
          </w:p>
        </w:tc>
      </w:tr>
      <w:tr w:rsidR="009B4319" w:rsidRPr="00A30B44" w:rsidTr="00465C55">
        <w:trPr>
          <w:cantSplit/>
        </w:trPr>
        <w:tc>
          <w:tcPr>
            <w:tcW w:w="9576" w:type="dxa"/>
          </w:tcPr>
          <w:p w:rsidR="00CA3350" w:rsidRDefault="00322D0F" w:rsidP="00B40E52">
            <w:pPr>
              <w:spacing w:after="0" w:line="240" w:lineRule="auto"/>
              <w:rPr>
                <w:color w:val="000000"/>
                <w:lang w:val="fr-FR"/>
              </w:rPr>
            </w:pPr>
            <w:r w:rsidRPr="00322D0F">
              <w:rPr>
                <w:color w:val="000000"/>
                <w:lang w:val="fr-FR"/>
              </w:rPr>
              <w:t xml:space="preserve">Tant </w:t>
            </w:r>
            <w:r>
              <w:rPr>
                <w:color w:val="000000"/>
                <w:lang w:val="fr-FR"/>
              </w:rPr>
              <w:t>du point régional Africain de la FAO focale (Philippe Crete</w:t>
            </w:r>
            <w:r w:rsidRPr="00322D0F">
              <w:rPr>
                <w:color w:val="000000"/>
                <w:lang w:val="fr-FR"/>
              </w:rPr>
              <w:t>) ain</w:t>
            </w:r>
            <w:r>
              <w:rPr>
                <w:color w:val="000000"/>
                <w:lang w:val="fr-FR"/>
              </w:rPr>
              <w:t xml:space="preserve">si que la </w:t>
            </w:r>
            <w:r w:rsidRPr="00322D0F">
              <w:rPr>
                <w:color w:val="000000"/>
                <w:lang w:val="fr-FR"/>
              </w:rPr>
              <w:t>S</w:t>
            </w:r>
            <w:r>
              <w:rPr>
                <w:color w:val="000000"/>
                <w:lang w:val="fr-FR"/>
              </w:rPr>
              <w:t xml:space="preserve">pécialiste </w:t>
            </w:r>
            <w:r w:rsidR="00B40E52">
              <w:rPr>
                <w:color w:val="000000"/>
                <w:lang w:val="fr-FR"/>
              </w:rPr>
              <w:t xml:space="preserve">«  </w:t>
            </w:r>
            <w:r>
              <w:rPr>
                <w:color w:val="000000"/>
                <w:lang w:val="fr-FR"/>
              </w:rPr>
              <w:t>REDD+ et foncier</w:t>
            </w:r>
            <w:r w:rsidR="00B40E52">
              <w:rPr>
                <w:color w:val="000000"/>
                <w:lang w:val="fr-FR"/>
              </w:rPr>
              <w:t> »</w:t>
            </w:r>
            <w:r>
              <w:rPr>
                <w:color w:val="000000"/>
                <w:lang w:val="fr-FR"/>
              </w:rPr>
              <w:t xml:space="preserve"> (Amanda Bradley) seront</w:t>
            </w:r>
            <w:r w:rsidRPr="00322D0F">
              <w:rPr>
                <w:color w:val="000000"/>
                <w:lang w:val="fr-FR"/>
              </w:rPr>
              <w:t xml:space="preserve"> responsable de la surveillance de l'état ​​d'avancement des activités prévues. Un plan de travail détaillé assorti d'objectifs spécifiques et des dates d'échéance </w:t>
            </w:r>
            <w:r>
              <w:rPr>
                <w:color w:val="000000"/>
                <w:lang w:val="fr-FR"/>
              </w:rPr>
              <w:t>sera convenu à l'avance avec le consultant</w:t>
            </w:r>
            <w:r w:rsidRPr="00322D0F">
              <w:rPr>
                <w:color w:val="000000"/>
                <w:lang w:val="fr-FR"/>
              </w:rPr>
              <w:t xml:space="preserve">. </w:t>
            </w:r>
            <w:r w:rsidR="00B40E52">
              <w:rPr>
                <w:color w:val="000000"/>
                <w:lang w:val="fr-FR"/>
              </w:rPr>
              <w:t xml:space="preserve">La </w:t>
            </w:r>
            <w:r w:rsidRPr="00322D0F">
              <w:rPr>
                <w:color w:val="000000"/>
                <w:lang w:val="fr-FR"/>
              </w:rPr>
              <w:t>FAO assurera un suivi régulier de l'avancement des activités et fournir un appui technique au besoin.</w:t>
            </w:r>
          </w:p>
          <w:p w:rsidR="00CA3350" w:rsidRPr="00C97309" w:rsidRDefault="00CA3350" w:rsidP="00465C55">
            <w:pPr>
              <w:spacing w:after="0" w:line="240" w:lineRule="auto"/>
              <w:rPr>
                <w:b/>
                <w:color w:val="1F497D"/>
                <w:lang w:val="fr-FR"/>
              </w:rPr>
            </w:pPr>
          </w:p>
        </w:tc>
      </w:tr>
    </w:tbl>
    <w:p w:rsidR="009B4319" w:rsidRPr="00C97309" w:rsidRDefault="009B4319">
      <w:pPr>
        <w:rPr>
          <w:lang w:val="fr-FR"/>
        </w:rPr>
      </w:pPr>
    </w:p>
    <w:p w:rsidR="009B4319" w:rsidRPr="00C97309" w:rsidRDefault="009B4319">
      <w:pPr>
        <w:rPr>
          <w:lang w:val="fr-FR"/>
        </w:rPr>
      </w:pPr>
    </w:p>
    <w:tbl>
      <w:tblPr>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24" w:space="0" w:color="FFFFFF"/>
        </w:tblBorders>
        <w:tblLayout w:type="fixed"/>
        <w:tblCellMar>
          <w:top w:w="115" w:type="dxa"/>
          <w:left w:w="115" w:type="dxa"/>
          <w:bottom w:w="115" w:type="dxa"/>
          <w:right w:w="115" w:type="dxa"/>
        </w:tblCellMar>
        <w:tblLook w:val="00A0" w:firstRow="1" w:lastRow="0" w:firstColumn="1" w:lastColumn="0" w:noHBand="0" w:noVBand="0"/>
      </w:tblPr>
      <w:tblGrid>
        <w:gridCol w:w="3517"/>
        <w:gridCol w:w="6089"/>
      </w:tblGrid>
      <w:tr w:rsidR="009B4319" w:rsidRPr="00C97309" w:rsidTr="00465C55">
        <w:trPr>
          <w:trHeight w:val="269"/>
        </w:trPr>
        <w:tc>
          <w:tcPr>
            <w:tcW w:w="3517" w:type="dxa"/>
            <w:tcBorders>
              <w:right w:val="single" w:sz="12" w:space="0" w:color="244061"/>
            </w:tcBorders>
            <w:shd w:val="clear" w:color="auto" w:fill="DBE5F1"/>
          </w:tcPr>
          <w:p w:rsidR="009B4319" w:rsidRPr="00C97309" w:rsidRDefault="009B4319" w:rsidP="00FD170D">
            <w:pPr>
              <w:spacing w:after="0" w:line="240" w:lineRule="auto"/>
              <w:rPr>
                <w:b/>
                <w:bCs/>
                <w:color w:val="244061"/>
                <w:lang w:val="fr-FR"/>
              </w:rPr>
            </w:pPr>
            <w:r w:rsidRPr="00C97309">
              <w:rPr>
                <w:b/>
                <w:bCs/>
                <w:color w:val="244061"/>
                <w:lang w:val="fr-FR"/>
              </w:rPr>
              <w:t>IV. POINT FOCAL NATIONAL D’ONU-REDD</w:t>
            </w:r>
          </w:p>
          <w:p w:rsidR="009B4319" w:rsidRPr="00C97309" w:rsidRDefault="009B4319" w:rsidP="00465C55">
            <w:pPr>
              <w:spacing w:after="0" w:line="240" w:lineRule="auto"/>
              <w:ind w:left="284"/>
              <w:rPr>
                <w:b/>
                <w:color w:val="000000"/>
                <w:sz w:val="24"/>
                <w:szCs w:val="24"/>
                <w:lang w:val="fr-FR"/>
              </w:rPr>
            </w:pPr>
            <w:r w:rsidRPr="00C97309">
              <w:rPr>
                <w:b/>
                <w:bCs/>
                <w:color w:val="244061"/>
                <w:lang w:val="fr-FR"/>
              </w:rPr>
              <w:t xml:space="preserve">(nom et titre) </w:t>
            </w:r>
            <w:r w:rsidRPr="00C97309">
              <w:rPr>
                <w:rStyle w:val="FootnoteReference"/>
                <w:b/>
                <w:bCs/>
                <w:color w:val="244061"/>
                <w:lang w:val="fr-FR"/>
              </w:rPr>
              <w:footnoteReference w:id="5"/>
            </w:r>
          </w:p>
        </w:tc>
        <w:tc>
          <w:tcPr>
            <w:tcW w:w="6089" w:type="dxa"/>
            <w:tcBorders>
              <w:left w:val="single" w:sz="12" w:space="0" w:color="244061"/>
            </w:tcBorders>
            <w:shd w:val="clear" w:color="auto" w:fill="FFFFFF"/>
          </w:tcPr>
          <w:p w:rsidR="009B4319" w:rsidRDefault="00E93138" w:rsidP="00465C55">
            <w:pPr>
              <w:spacing w:after="100" w:line="240" w:lineRule="auto"/>
              <w:rPr>
                <w:bCs/>
                <w:color w:val="000000"/>
                <w:lang w:val="fr-FR"/>
              </w:rPr>
            </w:pPr>
            <w:r>
              <w:rPr>
                <w:bCs/>
                <w:color w:val="000000"/>
                <w:lang w:val="fr-FR"/>
              </w:rPr>
              <w:t>Mr. Rafik</w:t>
            </w:r>
            <w:r w:rsidR="00B40E52">
              <w:rPr>
                <w:bCs/>
                <w:color w:val="000000"/>
                <w:lang w:val="fr-FR"/>
              </w:rPr>
              <w:t xml:space="preserve"> </w:t>
            </w:r>
            <w:r>
              <w:rPr>
                <w:bCs/>
                <w:color w:val="000000"/>
                <w:lang w:val="fr-FR"/>
              </w:rPr>
              <w:t>Aini</w:t>
            </w:r>
          </w:p>
          <w:p w:rsidR="00E93138" w:rsidRPr="005B65D5" w:rsidRDefault="00E93138" w:rsidP="00E93138">
            <w:pPr>
              <w:widowControl w:val="0"/>
              <w:autoSpaceDE w:val="0"/>
              <w:autoSpaceDN w:val="0"/>
              <w:adjustRightInd w:val="0"/>
              <w:spacing w:after="0" w:line="240" w:lineRule="auto"/>
              <w:rPr>
                <w:rFonts w:eastAsia="Calibri" w:cs="Times"/>
                <w:lang w:val="fr-FR"/>
              </w:rPr>
            </w:pPr>
            <w:r w:rsidRPr="005B65D5">
              <w:rPr>
                <w:rFonts w:eastAsia="Calibri" w:cs="Times"/>
                <w:lang w:val="fr-FR"/>
              </w:rPr>
              <w:t>Ingénieur</w:t>
            </w:r>
            <w:r w:rsidR="00B40E52">
              <w:rPr>
                <w:rFonts w:eastAsia="Calibri" w:cs="Times"/>
                <w:lang w:val="fr-FR"/>
              </w:rPr>
              <w:t xml:space="preserve"> </w:t>
            </w:r>
            <w:r w:rsidRPr="005B65D5">
              <w:rPr>
                <w:rFonts w:eastAsia="Calibri" w:cs="Times"/>
                <w:lang w:val="fr-FR"/>
              </w:rPr>
              <w:t>Général du Génie Rural, des Eaux et des Forêts</w:t>
            </w:r>
          </w:p>
          <w:p w:rsidR="00E93138" w:rsidRPr="005B65D5" w:rsidRDefault="00E93138" w:rsidP="00E93138">
            <w:pPr>
              <w:widowControl w:val="0"/>
              <w:autoSpaceDE w:val="0"/>
              <w:autoSpaceDN w:val="0"/>
              <w:adjustRightInd w:val="0"/>
              <w:spacing w:after="0" w:line="240" w:lineRule="auto"/>
              <w:rPr>
                <w:rFonts w:eastAsia="Calibri" w:cs="Helvetica Neue"/>
                <w:lang w:val="fr-FR"/>
              </w:rPr>
            </w:pPr>
            <w:r w:rsidRPr="005B65D5">
              <w:rPr>
                <w:rFonts w:eastAsia="Calibri" w:cs="Times"/>
                <w:lang w:val="fr-FR"/>
              </w:rPr>
              <w:t>Directeur du Développement</w:t>
            </w:r>
            <w:r w:rsidR="00B40E52">
              <w:rPr>
                <w:rFonts w:eastAsia="Calibri" w:cs="Times"/>
                <w:lang w:val="fr-FR"/>
              </w:rPr>
              <w:t xml:space="preserve"> </w:t>
            </w:r>
            <w:r w:rsidRPr="005B65D5">
              <w:rPr>
                <w:rFonts w:eastAsia="Calibri" w:cs="Times"/>
                <w:lang w:val="fr-FR"/>
              </w:rPr>
              <w:t>Sylvo-Pastoral</w:t>
            </w:r>
          </w:p>
          <w:p w:rsidR="00E93138" w:rsidRPr="005B65D5" w:rsidRDefault="00E93138" w:rsidP="00E93138">
            <w:pPr>
              <w:widowControl w:val="0"/>
              <w:autoSpaceDE w:val="0"/>
              <w:autoSpaceDN w:val="0"/>
              <w:adjustRightInd w:val="0"/>
              <w:spacing w:after="0" w:line="240" w:lineRule="auto"/>
              <w:rPr>
                <w:rFonts w:eastAsia="Calibri" w:cs="Helvetica Neue"/>
                <w:lang w:val="fr-FR"/>
              </w:rPr>
            </w:pPr>
            <w:r w:rsidRPr="005B65D5">
              <w:rPr>
                <w:rFonts w:eastAsia="Calibri" w:cs="Helvetica Neue"/>
                <w:lang w:val="fr-FR"/>
              </w:rPr>
              <w:t>Direction Générale des Forêts</w:t>
            </w:r>
          </w:p>
          <w:p w:rsidR="00E93138" w:rsidRPr="00C97309" w:rsidRDefault="00E93138" w:rsidP="00B40E52">
            <w:pPr>
              <w:spacing w:after="100" w:line="240" w:lineRule="auto"/>
              <w:rPr>
                <w:bCs/>
                <w:color w:val="000000"/>
                <w:lang w:val="fr-FR"/>
              </w:rPr>
            </w:pPr>
            <w:r w:rsidRPr="00E93138">
              <w:rPr>
                <w:rFonts w:eastAsia="Calibri" w:cs="Helvetica Neue"/>
                <w:lang w:val="en-US"/>
              </w:rPr>
              <w:t>Ministère de l'</w:t>
            </w:r>
            <w:r w:rsidR="00B40E52">
              <w:rPr>
                <w:rFonts w:eastAsia="Calibri" w:cs="Helvetica Neue"/>
                <w:lang w:val="en-US"/>
              </w:rPr>
              <w:t>A</w:t>
            </w:r>
            <w:r w:rsidRPr="00E93138">
              <w:rPr>
                <w:rFonts w:eastAsia="Calibri" w:cs="Helvetica Neue"/>
                <w:lang w:val="en-US"/>
              </w:rPr>
              <w:t>griculture</w:t>
            </w:r>
          </w:p>
        </w:tc>
      </w:tr>
    </w:tbl>
    <w:p w:rsidR="009B4319" w:rsidRPr="00C97309" w:rsidRDefault="009B4319">
      <w:pPr>
        <w:rPr>
          <w:lang w:val="fr-FR"/>
        </w:rPr>
      </w:pPr>
    </w:p>
    <w:p w:rsidR="009B4319" w:rsidRPr="00C97309" w:rsidRDefault="009B4319" w:rsidP="00C018BB">
      <w:pPr>
        <w:spacing w:after="100"/>
        <w:rPr>
          <w:b/>
          <w:color w:val="244061"/>
          <w:sz w:val="28"/>
          <w:szCs w:val="28"/>
          <w:lang w:val="fr-FR"/>
        </w:rPr>
      </w:pPr>
      <w:r w:rsidRPr="00C97309">
        <w:rPr>
          <w:b/>
          <w:color w:val="244061"/>
          <w:sz w:val="28"/>
          <w:szCs w:val="28"/>
          <w:lang w:val="fr-FR"/>
        </w:rPr>
        <w:t>______________________________</w:t>
      </w:r>
    </w:p>
    <w:p w:rsidR="009B4319" w:rsidRPr="00C97309" w:rsidRDefault="009B4319" w:rsidP="00C018BB">
      <w:pPr>
        <w:spacing w:after="100"/>
        <w:rPr>
          <w:b/>
          <w:color w:val="244061"/>
          <w:lang w:val="fr-FR"/>
        </w:rPr>
      </w:pPr>
      <w:r w:rsidRPr="00C97309">
        <w:rPr>
          <w:b/>
          <w:color w:val="244061"/>
          <w:lang w:val="fr-FR"/>
        </w:rPr>
        <w:t>(Signature)</w:t>
      </w:r>
    </w:p>
    <w:tbl>
      <w:tblPr>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ayout w:type="fixed"/>
        <w:tblCellMar>
          <w:top w:w="115" w:type="dxa"/>
          <w:left w:w="115" w:type="dxa"/>
          <w:bottom w:w="115" w:type="dxa"/>
          <w:right w:w="115" w:type="dxa"/>
        </w:tblCellMar>
        <w:tblLook w:val="00A0" w:firstRow="1" w:lastRow="0" w:firstColumn="1" w:lastColumn="0" w:noHBand="0" w:noVBand="0"/>
      </w:tblPr>
      <w:tblGrid>
        <w:gridCol w:w="3517"/>
        <w:gridCol w:w="6089"/>
      </w:tblGrid>
      <w:tr w:rsidR="009B4319" w:rsidRPr="00A30B44" w:rsidTr="00465C55">
        <w:trPr>
          <w:trHeight w:val="269"/>
        </w:trPr>
        <w:tc>
          <w:tcPr>
            <w:tcW w:w="3517" w:type="dxa"/>
            <w:shd w:val="clear" w:color="auto" w:fill="DBE5F1"/>
          </w:tcPr>
          <w:p w:rsidR="009B4319" w:rsidRPr="00C97309" w:rsidRDefault="009B4319" w:rsidP="00465C55">
            <w:pPr>
              <w:spacing w:after="100" w:line="240" w:lineRule="auto"/>
              <w:rPr>
                <w:bCs/>
                <w:color w:val="244061"/>
                <w:lang w:val="fr-FR"/>
              </w:rPr>
            </w:pPr>
            <w:r w:rsidRPr="00C97309">
              <w:rPr>
                <w:b/>
                <w:bCs/>
                <w:color w:val="244061"/>
                <w:lang w:val="fr-FR"/>
              </w:rPr>
              <w:t>Nom et titre</w:t>
            </w:r>
          </w:p>
        </w:tc>
        <w:tc>
          <w:tcPr>
            <w:tcW w:w="6089" w:type="dxa"/>
            <w:shd w:val="clear" w:color="auto" w:fill="FFFFFF"/>
          </w:tcPr>
          <w:p w:rsidR="00E93138" w:rsidRDefault="00E93138" w:rsidP="00E93138">
            <w:pPr>
              <w:spacing w:after="100" w:line="240" w:lineRule="auto"/>
              <w:rPr>
                <w:bCs/>
                <w:color w:val="000000"/>
                <w:lang w:val="fr-FR"/>
              </w:rPr>
            </w:pPr>
            <w:r>
              <w:rPr>
                <w:bCs/>
                <w:color w:val="000000"/>
                <w:lang w:val="fr-FR"/>
              </w:rPr>
              <w:t>Mr. RafikAini</w:t>
            </w:r>
          </w:p>
          <w:p w:rsidR="00E93138" w:rsidRPr="005B65D5" w:rsidRDefault="00E93138" w:rsidP="00E93138">
            <w:pPr>
              <w:widowControl w:val="0"/>
              <w:autoSpaceDE w:val="0"/>
              <w:autoSpaceDN w:val="0"/>
              <w:adjustRightInd w:val="0"/>
              <w:spacing w:after="0" w:line="240" w:lineRule="auto"/>
              <w:rPr>
                <w:rFonts w:eastAsia="Calibri" w:cs="Times"/>
                <w:lang w:val="fr-FR"/>
              </w:rPr>
            </w:pPr>
            <w:r w:rsidRPr="005B65D5">
              <w:rPr>
                <w:rFonts w:eastAsia="Calibri" w:cs="Times"/>
                <w:lang w:val="fr-FR"/>
              </w:rPr>
              <w:t>Ingénieur</w:t>
            </w:r>
            <w:r w:rsidR="00B40E52">
              <w:rPr>
                <w:rFonts w:eastAsia="Calibri" w:cs="Times"/>
                <w:lang w:val="fr-FR"/>
              </w:rPr>
              <w:t xml:space="preserve"> </w:t>
            </w:r>
            <w:r w:rsidRPr="005B65D5">
              <w:rPr>
                <w:rFonts w:eastAsia="Calibri" w:cs="Times"/>
                <w:lang w:val="fr-FR"/>
              </w:rPr>
              <w:t>Général du Génie Rural, des Eaux et des Forêts</w:t>
            </w:r>
          </w:p>
          <w:p w:rsidR="00E93138" w:rsidRPr="005B65D5" w:rsidRDefault="00E93138" w:rsidP="00E93138">
            <w:pPr>
              <w:widowControl w:val="0"/>
              <w:autoSpaceDE w:val="0"/>
              <w:autoSpaceDN w:val="0"/>
              <w:adjustRightInd w:val="0"/>
              <w:spacing w:after="0" w:line="240" w:lineRule="auto"/>
              <w:rPr>
                <w:rFonts w:eastAsia="Calibri" w:cs="Helvetica Neue"/>
                <w:lang w:val="fr-FR"/>
              </w:rPr>
            </w:pPr>
            <w:r w:rsidRPr="005B65D5">
              <w:rPr>
                <w:rFonts w:eastAsia="Calibri" w:cs="Times"/>
                <w:lang w:val="fr-FR"/>
              </w:rPr>
              <w:t>Directeur du Développement</w:t>
            </w:r>
            <w:r w:rsidR="00B40E52">
              <w:rPr>
                <w:rFonts w:eastAsia="Calibri" w:cs="Times"/>
                <w:lang w:val="fr-FR"/>
              </w:rPr>
              <w:t xml:space="preserve"> </w:t>
            </w:r>
            <w:r w:rsidRPr="005B65D5">
              <w:rPr>
                <w:rFonts w:eastAsia="Calibri" w:cs="Times"/>
                <w:lang w:val="fr-FR"/>
              </w:rPr>
              <w:t>Sylvo-Pastoral</w:t>
            </w:r>
          </w:p>
          <w:p w:rsidR="009B4319" w:rsidRPr="005B65D5" w:rsidRDefault="00E93138" w:rsidP="00CA3350">
            <w:pPr>
              <w:widowControl w:val="0"/>
              <w:autoSpaceDE w:val="0"/>
              <w:autoSpaceDN w:val="0"/>
              <w:adjustRightInd w:val="0"/>
              <w:spacing w:after="0" w:line="240" w:lineRule="auto"/>
              <w:rPr>
                <w:rFonts w:eastAsia="Calibri" w:cs="Helvetica Neue"/>
                <w:lang w:val="fr-FR"/>
              </w:rPr>
            </w:pPr>
            <w:r w:rsidRPr="005B65D5">
              <w:rPr>
                <w:rFonts w:eastAsia="Calibri" w:cs="Helvetica Neue"/>
                <w:lang w:val="fr-FR"/>
              </w:rPr>
              <w:t>Direction Générale des Forêts</w:t>
            </w:r>
          </w:p>
        </w:tc>
      </w:tr>
      <w:tr w:rsidR="009B4319" w:rsidRPr="00A30B44" w:rsidTr="00465C55">
        <w:trPr>
          <w:trHeight w:val="359"/>
        </w:trPr>
        <w:tc>
          <w:tcPr>
            <w:tcW w:w="3517" w:type="dxa"/>
            <w:shd w:val="clear" w:color="auto" w:fill="DBE5F1"/>
          </w:tcPr>
          <w:p w:rsidR="009B4319" w:rsidRPr="00C97309" w:rsidRDefault="009B4319" w:rsidP="00465C55">
            <w:pPr>
              <w:spacing w:after="100" w:line="240" w:lineRule="auto"/>
              <w:rPr>
                <w:bCs/>
                <w:color w:val="244061"/>
                <w:lang w:val="fr-FR"/>
              </w:rPr>
            </w:pPr>
            <w:r w:rsidRPr="00C97309">
              <w:rPr>
                <w:b/>
                <w:bCs/>
                <w:color w:val="244061"/>
                <w:lang w:val="fr-FR"/>
              </w:rPr>
              <w:t>Institution et adresse</w:t>
            </w:r>
          </w:p>
        </w:tc>
        <w:tc>
          <w:tcPr>
            <w:tcW w:w="6089" w:type="dxa"/>
            <w:shd w:val="clear" w:color="auto" w:fill="FFFFFF"/>
          </w:tcPr>
          <w:p w:rsidR="00E93138" w:rsidRPr="005B65D5" w:rsidRDefault="00E93138" w:rsidP="00E93138">
            <w:pPr>
              <w:widowControl w:val="0"/>
              <w:autoSpaceDE w:val="0"/>
              <w:autoSpaceDN w:val="0"/>
              <w:adjustRightInd w:val="0"/>
              <w:spacing w:after="0" w:line="240" w:lineRule="auto"/>
              <w:rPr>
                <w:rFonts w:eastAsia="Calibri" w:cs="Helvetica Neue"/>
                <w:lang w:val="fr-FR"/>
              </w:rPr>
            </w:pPr>
            <w:r w:rsidRPr="005B65D5">
              <w:rPr>
                <w:rFonts w:eastAsia="Calibri" w:cs="Helvetica Neue"/>
                <w:lang w:val="fr-FR"/>
              </w:rPr>
              <w:t>Ministère de l'agriculture</w:t>
            </w:r>
          </w:p>
          <w:p w:rsidR="009B4319" w:rsidRPr="005B65D5" w:rsidRDefault="00E93138" w:rsidP="00E93138">
            <w:pPr>
              <w:widowControl w:val="0"/>
              <w:autoSpaceDE w:val="0"/>
              <w:autoSpaceDN w:val="0"/>
              <w:adjustRightInd w:val="0"/>
              <w:spacing w:after="0" w:line="240" w:lineRule="auto"/>
              <w:rPr>
                <w:rFonts w:eastAsia="Calibri" w:cs="Helvetica Neue"/>
                <w:lang w:val="fr-FR"/>
              </w:rPr>
            </w:pPr>
            <w:r w:rsidRPr="005B65D5">
              <w:rPr>
                <w:rFonts w:eastAsia="Calibri" w:cs="Helvetica Neue"/>
                <w:lang w:val="fr-FR"/>
              </w:rPr>
              <w:t>30 rue Alain Savary 1002 Tunis- Tunisie</w:t>
            </w:r>
          </w:p>
        </w:tc>
      </w:tr>
      <w:tr w:rsidR="009B4319" w:rsidRPr="00C97309" w:rsidTr="00465C55">
        <w:trPr>
          <w:trHeight w:val="161"/>
        </w:trPr>
        <w:tc>
          <w:tcPr>
            <w:tcW w:w="3517" w:type="dxa"/>
            <w:shd w:val="clear" w:color="auto" w:fill="DBE5F1"/>
          </w:tcPr>
          <w:p w:rsidR="009B4319" w:rsidRPr="00C97309" w:rsidRDefault="009B4319" w:rsidP="00465C55">
            <w:pPr>
              <w:spacing w:after="100" w:line="240" w:lineRule="auto"/>
              <w:rPr>
                <w:bCs/>
                <w:color w:val="244061"/>
                <w:lang w:val="fr-FR"/>
              </w:rPr>
            </w:pPr>
            <w:r w:rsidRPr="00C97309">
              <w:rPr>
                <w:b/>
                <w:bCs/>
                <w:color w:val="244061"/>
                <w:lang w:val="fr-FR"/>
              </w:rPr>
              <w:t>Numéro de téléphone</w:t>
            </w:r>
          </w:p>
        </w:tc>
        <w:tc>
          <w:tcPr>
            <w:tcW w:w="6089" w:type="dxa"/>
            <w:shd w:val="clear" w:color="auto" w:fill="FFFFFF"/>
          </w:tcPr>
          <w:p w:rsidR="009B4319" w:rsidRPr="00CA3350" w:rsidRDefault="00E93138" w:rsidP="00E93138">
            <w:pPr>
              <w:widowControl w:val="0"/>
              <w:autoSpaceDE w:val="0"/>
              <w:autoSpaceDN w:val="0"/>
              <w:adjustRightInd w:val="0"/>
              <w:spacing w:after="0" w:line="240" w:lineRule="auto"/>
              <w:rPr>
                <w:rFonts w:eastAsia="Calibri" w:cs="Helvetica Neue"/>
                <w:bCs/>
                <w:lang w:val="en-US"/>
              </w:rPr>
            </w:pPr>
            <w:r w:rsidRPr="00CA3350">
              <w:rPr>
                <w:rFonts w:eastAsia="Calibri" w:cs="Helvetica Neue"/>
                <w:bCs/>
                <w:lang w:val="en-US"/>
              </w:rPr>
              <w:t>Mobile: 00216 98356255; Tel/Fax: 00216 71287487</w:t>
            </w:r>
          </w:p>
        </w:tc>
      </w:tr>
      <w:tr w:rsidR="009B4319" w:rsidRPr="00C97309" w:rsidTr="00465C55">
        <w:trPr>
          <w:trHeight w:val="224"/>
        </w:trPr>
        <w:tc>
          <w:tcPr>
            <w:tcW w:w="3517" w:type="dxa"/>
            <w:shd w:val="clear" w:color="auto" w:fill="DBE5F1"/>
          </w:tcPr>
          <w:p w:rsidR="009B4319" w:rsidRPr="00C97309" w:rsidRDefault="009B4319" w:rsidP="00465C55">
            <w:pPr>
              <w:spacing w:after="100" w:line="240" w:lineRule="auto"/>
              <w:rPr>
                <w:bCs/>
                <w:color w:val="244061"/>
                <w:lang w:val="fr-FR"/>
              </w:rPr>
            </w:pPr>
            <w:r w:rsidRPr="00C97309">
              <w:rPr>
                <w:b/>
                <w:bCs/>
                <w:color w:val="244061"/>
                <w:lang w:val="fr-FR"/>
              </w:rPr>
              <w:t>Email</w:t>
            </w:r>
          </w:p>
        </w:tc>
        <w:tc>
          <w:tcPr>
            <w:tcW w:w="6089" w:type="dxa"/>
            <w:shd w:val="clear" w:color="auto" w:fill="FFFFFF"/>
          </w:tcPr>
          <w:p w:rsidR="009B4319" w:rsidRPr="00CA3350" w:rsidRDefault="00E93138" w:rsidP="00465C55">
            <w:pPr>
              <w:spacing w:after="100" w:line="240" w:lineRule="auto"/>
              <w:rPr>
                <w:color w:val="000000"/>
                <w:lang w:val="fr-FR"/>
              </w:rPr>
            </w:pPr>
            <w:r w:rsidRPr="00CA3350">
              <w:rPr>
                <w:color w:val="000000"/>
                <w:lang w:val="fr-FR"/>
              </w:rPr>
              <w:t>ainirafik@yahoo.fr</w:t>
            </w:r>
          </w:p>
        </w:tc>
      </w:tr>
    </w:tbl>
    <w:p w:rsidR="009B4319" w:rsidRDefault="009B4319">
      <w:pPr>
        <w:rPr>
          <w:lang w:val="fr-FR"/>
        </w:rPr>
      </w:pPr>
    </w:p>
    <w:p w:rsidR="000D7310" w:rsidRDefault="000D7310">
      <w:pPr>
        <w:spacing w:after="0" w:line="240" w:lineRule="auto"/>
        <w:rPr>
          <w:b/>
          <w:lang w:val="fr-FR"/>
        </w:rPr>
      </w:pPr>
      <w:r>
        <w:rPr>
          <w:b/>
          <w:lang w:val="fr-FR"/>
        </w:rPr>
        <w:br w:type="page"/>
      </w:r>
    </w:p>
    <w:p w:rsidR="00CA3350" w:rsidRPr="00486DED" w:rsidRDefault="00CA3350" w:rsidP="00486DED">
      <w:pPr>
        <w:rPr>
          <w:b/>
          <w:lang w:val="fr-FR"/>
        </w:rPr>
      </w:pPr>
      <w:r w:rsidRPr="00CA3350">
        <w:rPr>
          <w:b/>
          <w:lang w:val="fr-FR"/>
        </w:rPr>
        <w:t>ANNEX</w:t>
      </w:r>
      <w:r>
        <w:rPr>
          <w:b/>
          <w:lang w:val="fr-FR"/>
        </w:rPr>
        <w:t>E</w:t>
      </w:r>
      <w:r w:rsidRPr="00CA3350">
        <w:rPr>
          <w:b/>
          <w:lang w:val="fr-FR"/>
        </w:rPr>
        <w:t>:</w:t>
      </w:r>
    </w:p>
    <w:p w:rsidR="000D7310" w:rsidRDefault="00042DBA" w:rsidP="000D7310">
      <w:pPr>
        <w:jc w:val="both"/>
        <w:rPr>
          <w:lang w:val="fr-FR"/>
        </w:rPr>
      </w:pPr>
      <w:r w:rsidRPr="00042DBA">
        <w:rPr>
          <w:b/>
          <w:lang w:val="fr-FR"/>
        </w:rPr>
        <w:t>Contexte</w:t>
      </w:r>
    </w:p>
    <w:p w:rsidR="00CA3350" w:rsidRPr="00CB39BC" w:rsidRDefault="00CA3350" w:rsidP="000D7310">
      <w:pPr>
        <w:jc w:val="both"/>
        <w:rPr>
          <w:lang w:val="fr-FR"/>
        </w:rPr>
      </w:pPr>
      <w:r w:rsidRPr="00120355">
        <w:rPr>
          <w:lang w:val="fr-FR"/>
        </w:rPr>
        <w:t>L'eng</w:t>
      </w:r>
      <w:r>
        <w:rPr>
          <w:lang w:val="fr-FR"/>
        </w:rPr>
        <w:t>agement de la Tunisie à la REDD</w:t>
      </w:r>
      <w:r w:rsidRPr="00120355">
        <w:rPr>
          <w:lang w:val="fr-FR"/>
        </w:rPr>
        <w:t xml:space="preserve">+ nécessite une meilleure compréhension de la complexité de la situation foncière dans le pays. </w:t>
      </w:r>
      <w:r>
        <w:rPr>
          <w:lang w:val="fr-FR"/>
        </w:rPr>
        <w:t xml:space="preserve">Une analyse de la situation foncière et </w:t>
      </w:r>
      <w:r w:rsidRPr="005B1683">
        <w:rPr>
          <w:lang w:val="fr-FR"/>
        </w:rPr>
        <w:t xml:space="preserve">l’élaboration d’un plan </w:t>
      </w:r>
      <w:r w:rsidRPr="005B1683">
        <w:rPr>
          <w:bCs/>
          <w:iCs/>
          <w:lang w:val="fr-FR"/>
        </w:rPr>
        <w:t>directeur d’assainissement de la situation foncière</w:t>
      </w:r>
      <w:r w:rsidRPr="005B1683">
        <w:rPr>
          <w:lang w:val="fr-FR"/>
        </w:rPr>
        <w:t xml:space="preserve"> son</w:t>
      </w:r>
      <w:r>
        <w:rPr>
          <w:lang w:val="fr-FR"/>
        </w:rPr>
        <w:t>t nécessaires pour développer d</w:t>
      </w:r>
      <w:r w:rsidRPr="00120355">
        <w:rPr>
          <w:lang w:val="fr-FR"/>
        </w:rPr>
        <w:t xml:space="preserve">es stratégies </w:t>
      </w:r>
      <w:r>
        <w:rPr>
          <w:lang w:val="fr-FR"/>
        </w:rPr>
        <w:t xml:space="preserve"> visant à</w:t>
      </w:r>
      <w:r w:rsidRPr="00120355">
        <w:rPr>
          <w:lang w:val="fr-FR"/>
        </w:rPr>
        <w:t xml:space="preserve"> améliorer la gouvernance des forêts et </w:t>
      </w:r>
      <w:r>
        <w:rPr>
          <w:lang w:val="fr-FR"/>
        </w:rPr>
        <w:t>à atteindre les objectifs REDD</w:t>
      </w:r>
      <w:r w:rsidRPr="00120355">
        <w:rPr>
          <w:lang w:val="fr-FR"/>
        </w:rPr>
        <w:t xml:space="preserve">+ </w:t>
      </w:r>
      <w:r>
        <w:rPr>
          <w:lang w:val="fr-FR"/>
        </w:rPr>
        <w:t xml:space="preserve">au niveau </w:t>
      </w:r>
      <w:r w:rsidRPr="00120355">
        <w:rPr>
          <w:lang w:val="fr-FR"/>
        </w:rPr>
        <w:t>nationa</w:t>
      </w:r>
      <w:r>
        <w:rPr>
          <w:lang w:val="fr-FR"/>
        </w:rPr>
        <w:t xml:space="preserve">l. Parmi ces stratégies, la </w:t>
      </w:r>
      <w:r w:rsidRPr="00CB39BC">
        <w:rPr>
          <w:lang w:val="fr-FR"/>
        </w:rPr>
        <w:t>Stratégie Nationale de Développement et de Gestion Durable des Forêts et des Parcours</w:t>
      </w:r>
      <w:r w:rsidR="00B40E52">
        <w:rPr>
          <w:lang w:val="fr-FR"/>
        </w:rPr>
        <w:t xml:space="preserve"> </w:t>
      </w:r>
      <w:r w:rsidRPr="00CB39BC">
        <w:rPr>
          <w:lang w:val="fr-FR"/>
        </w:rPr>
        <w:t>vise à initier un processus opérationnel de planification et de gestion durable des ressources forestières et pastorales en vue d’assurer une meilleure contribution du secteur à l'atteinte des objectifs nationaux de développement durable, ainsi qu’à l’atteinte des objectifs planétaires ayant trait à la conservation de la biodiversité et à l’atténuation des changements climatiques.</w:t>
      </w:r>
      <w:r>
        <w:rPr>
          <w:lang w:val="fr-FR"/>
        </w:rPr>
        <w:t xml:space="preserve"> Notons aussi que</w:t>
      </w:r>
      <w:r w:rsidRPr="00A731F2">
        <w:rPr>
          <w:lang w:val="fr-FR"/>
        </w:rPr>
        <w:t xml:space="preserve">, les instruments de mise en œuvre de la politique forestière </w:t>
      </w:r>
      <w:r>
        <w:rPr>
          <w:lang w:val="fr-FR"/>
        </w:rPr>
        <w:t>a</w:t>
      </w:r>
      <w:r w:rsidRPr="00A731F2">
        <w:rPr>
          <w:lang w:val="fr-FR"/>
        </w:rPr>
        <w:t>u niveau national sont le Plan Forestier National (PFN, 2007-2030), la stratégie de développement économique et sociale et la stratégie de développement durable du pays.</w:t>
      </w:r>
      <w:r w:rsidR="00B40E52">
        <w:rPr>
          <w:lang w:val="fr-FR"/>
        </w:rPr>
        <w:t xml:space="preserve"> </w:t>
      </w:r>
      <w:r w:rsidRPr="00A731F2">
        <w:rPr>
          <w:lang w:val="fr-FR"/>
        </w:rPr>
        <w:t>La mise en œuvre de la politique forestière relève de la compétence de la Direction Générale des Forêts appuyée par les structures régionales du Ministère de l’Agriculture.</w:t>
      </w:r>
      <w:r w:rsidR="00B40E52">
        <w:rPr>
          <w:lang w:val="fr-FR"/>
        </w:rPr>
        <w:t xml:space="preserve"> </w:t>
      </w:r>
      <w:r w:rsidRPr="00CB39BC">
        <w:rPr>
          <w:lang w:val="fr-FR"/>
        </w:rPr>
        <w:t>La formulation de la nouvelle Stratégie Nationale de Développement et de Gestion Durable des Forêts et des Parcours (2015-2024) et de son plan d’action, est le fruit d’un processus participatif qui est passé par plusieurs étapes de concertation avec tous les acteurs en relation avec le secteur forestier et pastoral.</w:t>
      </w:r>
    </w:p>
    <w:p w:rsidR="00CA3350" w:rsidRPr="00CB39BC" w:rsidRDefault="00CA3350" w:rsidP="00E11527">
      <w:pPr>
        <w:jc w:val="both"/>
        <w:rPr>
          <w:lang w:val="fr-FR"/>
        </w:rPr>
      </w:pPr>
      <w:r w:rsidRPr="00CB39BC">
        <w:rPr>
          <w:lang w:val="fr-FR"/>
        </w:rPr>
        <w:t xml:space="preserve">Pour atteindre </w:t>
      </w:r>
      <w:r>
        <w:rPr>
          <w:lang w:val="fr-FR"/>
        </w:rPr>
        <w:t>l’objectif de</w:t>
      </w:r>
      <w:r w:rsidR="00EF3B31">
        <w:rPr>
          <w:lang w:val="fr-FR"/>
        </w:rPr>
        <w:t xml:space="preserve"> </w:t>
      </w:r>
      <w:r>
        <w:rPr>
          <w:lang w:val="fr-FR"/>
        </w:rPr>
        <w:t xml:space="preserve">la </w:t>
      </w:r>
      <w:r w:rsidRPr="00CB39BC">
        <w:rPr>
          <w:lang w:val="fr-FR"/>
        </w:rPr>
        <w:t>Stratégie Nationale de Développement et de Gestion Durable des Forêts et des Parcours, quatre objectifs spécifiques concomitants ont été définis pour la stratégie dans le prolongement des 4 axes identifiés, ce sont:</w:t>
      </w:r>
    </w:p>
    <w:p w:rsidR="00CA3350" w:rsidRPr="002E4622" w:rsidRDefault="00CA3350" w:rsidP="002E4622">
      <w:pPr>
        <w:pStyle w:val="ListNumber"/>
        <w:ind w:left="568"/>
        <w:rPr>
          <w:rFonts w:ascii="Calibri" w:hAnsi="Calibri"/>
          <w:bCs/>
          <w:i/>
          <w:iCs/>
        </w:rPr>
      </w:pPr>
      <w:r w:rsidRPr="002E4622">
        <w:rPr>
          <w:rFonts w:ascii="Calibri" w:hAnsi="Calibri"/>
          <w:bCs/>
        </w:rPr>
        <w:t>L’adaptation du cadre institutionnel et règlementaire du secteur et la mise à niveau de ses capacités</w:t>
      </w:r>
      <w:r w:rsidRPr="002E4622">
        <w:rPr>
          <w:rFonts w:ascii="Calibri" w:hAnsi="Calibri"/>
        </w:rPr>
        <w:t xml:space="preserve"> par plusieurs actions dont : </w:t>
      </w:r>
      <w:r w:rsidRPr="002E4622">
        <w:rPr>
          <w:rFonts w:ascii="Calibri" w:hAnsi="Calibri"/>
          <w:bCs/>
          <w:i/>
          <w:iCs/>
        </w:rPr>
        <w:t>L’élaboration et la mise en œuvre d’un plan directeur d’assainissement de la situation foncière (50% des terres, soit ≈ 1 Million d’ha) ;</w:t>
      </w:r>
    </w:p>
    <w:p w:rsidR="00CA3350" w:rsidRPr="002E4622" w:rsidRDefault="00CA3350" w:rsidP="002E4622">
      <w:pPr>
        <w:pStyle w:val="ListParagraph"/>
        <w:numPr>
          <w:ilvl w:val="0"/>
          <w:numId w:val="16"/>
        </w:numPr>
        <w:ind w:left="568" w:hanging="284"/>
        <w:jc w:val="both"/>
        <w:rPr>
          <w:rFonts w:asciiTheme="majorBidi" w:hAnsiTheme="majorBidi" w:cstheme="majorBidi"/>
          <w:sz w:val="24"/>
          <w:szCs w:val="24"/>
          <w:lang w:val="fr-FR" w:eastAsia="ar-SA" w:bidi="ar-TN"/>
        </w:rPr>
      </w:pPr>
      <w:r w:rsidRPr="002E4622">
        <w:rPr>
          <w:bCs/>
          <w:lang w:val="fr-FR"/>
        </w:rPr>
        <w:t>L’optimisation de la contribution des forêts et des parcours au développement socio-économique des régions forestières et pastorales et à l’économie nationale</w:t>
      </w:r>
    </w:p>
    <w:p w:rsidR="00CA3350" w:rsidRPr="002E4622" w:rsidRDefault="00CA3350" w:rsidP="002E4622">
      <w:pPr>
        <w:pStyle w:val="ListParagraph"/>
        <w:numPr>
          <w:ilvl w:val="0"/>
          <w:numId w:val="17"/>
        </w:numPr>
        <w:ind w:left="568" w:hanging="284"/>
        <w:rPr>
          <w:bCs/>
          <w:lang w:val="fr-FR"/>
        </w:rPr>
      </w:pPr>
      <w:r w:rsidRPr="002E4622">
        <w:rPr>
          <w:bCs/>
          <w:lang w:val="fr-FR"/>
        </w:rPr>
        <w:t>Le maintien et l’amélioration des fonctions et services environnementaux des ressources forestières et pastorales</w:t>
      </w:r>
    </w:p>
    <w:p w:rsidR="00CA3350" w:rsidRPr="002E4622" w:rsidRDefault="00CA3350" w:rsidP="002E4622">
      <w:pPr>
        <w:pStyle w:val="ListParagraph"/>
        <w:numPr>
          <w:ilvl w:val="0"/>
          <w:numId w:val="17"/>
        </w:numPr>
        <w:ind w:left="568" w:hanging="284"/>
        <w:jc w:val="both"/>
        <w:rPr>
          <w:lang w:val="fr-FR"/>
        </w:rPr>
      </w:pPr>
      <w:r w:rsidRPr="002E4622">
        <w:rPr>
          <w:bCs/>
          <w:lang w:val="fr-FR"/>
        </w:rPr>
        <w:t>La consolidation et l’amélioration du couvert forestier et pastoral</w:t>
      </w:r>
      <w:r w:rsidRPr="002E4622">
        <w:rPr>
          <w:rFonts w:asciiTheme="majorBidi" w:hAnsiTheme="majorBidi" w:cstheme="majorBidi"/>
          <w:sz w:val="24"/>
          <w:szCs w:val="24"/>
          <w:lang w:val="fr-FR" w:eastAsia="ar-SA" w:bidi="ar-TN"/>
        </w:rPr>
        <w:t xml:space="preserve"> par : </w:t>
      </w:r>
      <w:r w:rsidRPr="002E4622">
        <w:rPr>
          <w:lang w:val="fr-FR"/>
        </w:rPr>
        <w:t>i) Reboisement forestier et plantations pastorales sur 160.000 ha (Domaine public et privé de l’état, domaine privé et collectif, agroforesterie et foresterie urbaine, plantations routières, protection des ouvrages hydrauliques, etc..), ce qui va</w:t>
      </w:r>
      <w:r w:rsidR="00EF3B31">
        <w:rPr>
          <w:lang w:val="fr-FR"/>
        </w:rPr>
        <w:t xml:space="preserve"> </w:t>
      </w:r>
      <w:r w:rsidRPr="002E4622">
        <w:rPr>
          <w:bCs/>
          <w:lang w:val="fr-FR"/>
        </w:rPr>
        <w:t>permettre l’accroissement du couvert forestier de 1% : de 8,2% en 2014 à 9,2% en 2024 ,</w:t>
      </w:r>
      <w:r w:rsidRPr="002E4622">
        <w:rPr>
          <w:rFonts w:asciiTheme="majorBidi" w:hAnsiTheme="majorBidi" w:cstheme="majorBidi"/>
          <w:sz w:val="24"/>
          <w:szCs w:val="24"/>
          <w:lang w:val="fr-FR" w:eastAsia="ar-SA" w:bidi="ar-TN"/>
        </w:rPr>
        <w:t xml:space="preserve"> ii)</w:t>
      </w:r>
      <w:r w:rsidR="00EF3B31">
        <w:rPr>
          <w:rFonts w:asciiTheme="majorBidi" w:hAnsiTheme="majorBidi" w:cstheme="majorBidi"/>
          <w:sz w:val="24"/>
          <w:szCs w:val="24"/>
          <w:lang w:val="fr-FR" w:eastAsia="ar-SA" w:bidi="ar-TN"/>
        </w:rPr>
        <w:t xml:space="preserve"> </w:t>
      </w:r>
      <w:r w:rsidRPr="002E4622">
        <w:rPr>
          <w:lang w:val="fr-FR"/>
        </w:rPr>
        <w:t>Élaboration et mise en œuvre d’un programme d’amélioration pastorale sur les  parcours collectifs SRF (150.000 ha); nécessitant la clarification de l’assiette foncière pour pouvoir réaliser un tel programme.</w:t>
      </w:r>
    </w:p>
    <w:p w:rsidR="00CA3350" w:rsidRPr="002E4622" w:rsidRDefault="00CA3350" w:rsidP="00CA3350">
      <w:pPr>
        <w:jc w:val="both"/>
        <w:rPr>
          <w:lang w:val="fr-FR" w:bidi="ar-MA"/>
        </w:rPr>
      </w:pPr>
      <w:r w:rsidRPr="002E4622">
        <w:rPr>
          <w:lang w:val="fr-FR" w:bidi="ar-MA"/>
        </w:rPr>
        <w:t xml:space="preserve">Les forêts tunisiennes se répartissent en relation au  foncier entre trois régimes à savoir:  </w:t>
      </w:r>
    </w:p>
    <w:p w:rsidR="00CA3350" w:rsidRPr="002E4622" w:rsidRDefault="00CA3350" w:rsidP="00EF3B31">
      <w:pPr>
        <w:pStyle w:val="ListParagraph"/>
        <w:numPr>
          <w:ilvl w:val="0"/>
          <w:numId w:val="21"/>
        </w:numPr>
        <w:jc w:val="both"/>
        <w:rPr>
          <w:lang w:val="fr-FR" w:bidi="ar-MA"/>
        </w:rPr>
      </w:pPr>
      <w:r w:rsidRPr="002E4622">
        <w:rPr>
          <w:lang w:val="fr-FR" w:bidi="ar-MA"/>
        </w:rPr>
        <w:t xml:space="preserve">Le domaine forestier de l’état avec une superficie totale de </w:t>
      </w:r>
      <w:r w:rsidRPr="002E4622">
        <w:rPr>
          <w:bCs/>
          <w:lang w:val="fr-FR" w:bidi="ar-MA"/>
        </w:rPr>
        <w:t>925.736 ha</w:t>
      </w:r>
      <w:r w:rsidRPr="002E4622">
        <w:rPr>
          <w:lang w:val="fr-FR" w:bidi="ar-MA"/>
        </w:rPr>
        <w:t xml:space="preserve"> dont 532.363 immatriculés</w:t>
      </w:r>
      <w:r w:rsidR="00EF3B31">
        <w:rPr>
          <w:lang w:val="fr-FR" w:bidi="ar-MA"/>
        </w:rPr>
        <w:t>,</w:t>
      </w:r>
      <w:r w:rsidRPr="002E4622">
        <w:rPr>
          <w:lang w:val="fr-FR" w:bidi="ar-MA"/>
        </w:rPr>
        <w:t xml:space="preserve"> 188.627 ha en cours d’immatriculation et 204.746 ha en tant que des réquisitions radiées qui sont des terrains forestiers non immatriculées suite à un refus par le tribunal foncier mixte de Tunis pour des causes procédurales</w:t>
      </w:r>
      <w:r w:rsidR="00EF3B31">
        <w:rPr>
          <w:lang w:val="fr-FR" w:bidi="ar-MA"/>
        </w:rPr>
        <w:t>.</w:t>
      </w:r>
      <w:r w:rsidRPr="002E4622">
        <w:rPr>
          <w:lang w:val="fr-FR" w:bidi="ar-MA"/>
        </w:rPr>
        <w:t xml:space="preserve"> </w:t>
      </w:r>
      <w:r w:rsidR="00EF3B31">
        <w:rPr>
          <w:lang w:val="fr-FR" w:bidi="ar-MA"/>
        </w:rPr>
        <w:t>C</w:t>
      </w:r>
      <w:r w:rsidRPr="002E4622">
        <w:rPr>
          <w:lang w:val="fr-FR" w:bidi="ar-MA"/>
        </w:rPr>
        <w:t xml:space="preserve">es terrains sont actuellement sous la tutelle de la direction générales des forêts mais posent énormément de problèmes en terme de conservation et de gestion. </w:t>
      </w:r>
    </w:p>
    <w:p w:rsidR="00CA3350" w:rsidRPr="002E4622" w:rsidRDefault="00CA3350" w:rsidP="00EF3B31">
      <w:pPr>
        <w:pStyle w:val="ListParagraph"/>
        <w:numPr>
          <w:ilvl w:val="0"/>
          <w:numId w:val="21"/>
        </w:numPr>
        <w:jc w:val="both"/>
        <w:rPr>
          <w:lang w:val="fr-FR" w:bidi="ar-MA"/>
        </w:rPr>
      </w:pPr>
      <w:r w:rsidRPr="002E4622">
        <w:rPr>
          <w:lang w:val="fr-FR" w:bidi="ar-MA"/>
        </w:rPr>
        <w:t xml:space="preserve">les terrains soumis au régime forestier en tant que contrats de reboisement ou périmètres de fixation des dunes, avec une superficie de </w:t>
      </w:r>
      <w:r w:rsidRPr="002E4622">
        <w:rPr>
          <w:bCs/>
          <w:lang w:val="fr-FR" w:bidi="ar-MA"/>
        </w:rPr>
        <w:t>30.700 ha</w:t>
      </w:r>
      <w:r w:rsidR="00EF3B31">
        <w:rPr>
          <w:lang w:val="fr-FR" w:bidi="ar-MA"/>
        </w:rPr>
        <w:t>.</w:t>
      </w:r>
      <w:r w:rsidR="00EF3B31" w:rsidRPr="002E4622">
        <w:rPr>
          <w:lang w:val="fr-FR" w:bidi="ar-MA"/>
        </w:rPr>
        <w:t xml:space="preserve"> </w:t>
      </w:r>
      <w:r w:rsidR="00EF3B31">
        <w:rPr>
          <w:lang w:val="fr-FR" w:bidi="ar-MA"/>
        </w:rPr>
        <w:t>L</w:t>
      </w:r>
      <w:r w:rsidRPr="002E4622">
        <w:rPr>
          <w:lang w:val="fr-FR" w:bidi="ar-MA"/>
        </w:rPr>
        <w:t>es services forestiers s’exercent  dans le contexte de ces terrains avec les mêmes procédures  appliquées au domaine forestier de l’état.</w:t>
      </w:r>
    </w:p>
    <w:p w:rsidR="00CA3350" w:rsidRPr="002E4622" w:rsidRDefault="00CA3350" w:rsidP="002E4622">
      <w:pPr>
        <w:pStyle w:val="ListParagraph"/>
        <w:numPr>
          <w:ilvl w:val="0"/>
          <w:numId w:val="21"/>
        </w:numPr>
        <w:jc w:val="both"/>
        <w:rPr>
          <w:lang w:val="fr-FR" w:bidi="ar-MA"/>
        </w:rPr>
      </w:pPr>
      <w:r w:rsidRPr="002E4622">
        <w:rPr>
          <w:lang w:val="fr-FR" w:bidi="ar-MA"/>
        </w:rPr>
        <w:t xml:space="preserve">les forêts privées avec une superficie de </w:t>
      </w:r>
      <w:r w:rsidRPr="002E4622">
        <w:rPr>
          <w:bCs/>
          <w:lang w:val="fr-FR" w:bidi="ar-MA"/>
        </w:rPr>
        <w:t>23.739 ha</w:t>
      </w:r>
      <w:r w:rsidRPr="002E4622">
        <w:rPr>
          <w:lang w:val="fr-FR" w:bidi="ar-MA"/>
        </w:rPr>
        <w:t>, reboisées par l’administration mais sans aucun justificatif légal.</w:t>
      </w:r>
    </w:p>
    <w:p w:rsidR="00CA3350" w:rsidRPr="00D83AB5" w:rsidRDefault="00EF3B31" w:rsidP="00EF3B31">
      <w:pPr>
        <w:jc w:val="both"/>
        <w:rPr>
          <w:lang w:val="fr-FR" w:bidi="ar-MA"/>
        </w:rPr>
      </w:pPr>
      <w:r w:rsidRPr="00D83AB5">
        <w:rPr>
          <w:lang w:val="fr-FR" w:bidi="ar-MA"/>
        </w:rPr>
        <w:t>L</w:t>
      </w:r>
      <w:r>
        <w:rPr>
          <w:lang w:val="fr-FR" w:bidi="ar-MA"/>
        </w:rPr>
        <w:t>es</w:t>
      </w:r>
      <w:r w:rsidRPr="00D83AB5">
        <w:rPr>
          <w:lang w:val="fr-FR" w:bidi="ar-MA"/>
        </w:rPr>
        <w:t xml:space="preserve"> </w:t>
      </w:r>
      <w:r w:rsidR="00CA3350" w:rsidRPr="00D83AB5">
        <w:rPr>
          <w:lang w:val="fr-FR" w:bidi="ar-MA"/>
        </w:rPr>
        <w:t>forêt</w:t>
      </w:r>
      <w:r>
        <w:rPr>
          <w:lang w:val="fr-FR" w:bidi="ar-MA"/>
        </w:rPr>
        <w:t>s</w:t>
      </w:r>
      <w:r w:rsidR="00CA3350" w:rsidRPr="00D83AB5">
        <w:rPr>
          <w:lang w:val="fr-FR" w:bidi="ar-MA"/>
        </w:rPr>
        <w:t xml:space="preserve"> tunisienne</w:t>
      </w:r>
      <w:r>
        <w:rPr>
          <w:lang w:val="fr-FR" w:bidi="ar-MA"/>
        </w:rPr>
        <w:t>s</w:t>
      </w:r>
      <w:r w:rsidR="00CA3350" w:rsidRPr="00D83AB5">
        <w:rPr>
          <w:lang w:val="fr-FR" w:bidi="ar-MA"/>
        </w:rPr>
        <w:t xml:space="preserve"> subi</w:t>
      </w:r>
      <w:r>
        <w:rPr>
          <w:lang w:val="fr-FR" w:bidi="ar-MA"/>
        </w:rPr>
        <w:t>ssent</w:t>
      </w:r>
      <w:r w:rsidR="00CA3350" w:rsidRPr="00D83AB5">
        <w:rPr>
          <w:lang w:val="fr-FR" w:bidi="ar-MA"/>
        </w:rPr>
        <w:t xml:space="preserve"> une pression anthropique intense qui se traduit en terme foncier par des conversions des terrains forestiers (même de l’état) en terrains </w:t>
      </w:r>
      <w:r>
        <w:rPr>
          <w:lang w:val="fr-FR" w:bidi="ar-MA"/>
        </w:rPr>
        <w:t>labourés</w:t>
      </w:r>
      <w:r w:rsidRPr="00D83AB5">
        <w:rPr>
          <w:lang w:val="fr-FR" w:bidi="ar-MA"/>
        </w:rPr>
        <w:t xml:space="preserve"> </w:t>
      </w:r>
      <w:r w:rsidR="00CA3350" w:rsidRPr="00D83AB5">
        <w:rPr>
          <w:lang w:val="fr-FR" w:bidi="ar-MA"/>
        </w:rPr>
        <w:t>ou terrains constructibles surtout aux alentours de</w:t>
      </w:r>
      <w:r w:rsidR="00CA3350">
        <w:rPr>
          <w:lang w:val="fr-FR" w:bidi="ar-MA"/>
        </w:rPr>
        <w:t>s</w:t>
      </w:r>
      <w:r w:rsidR="00CA3350" w:rsidRPr="00D83AB5">
        <w:rPr>
          <w:lang w:val="fr-FR" w:bidi="ar-MA"/>
        </w:rPr>
        <w:t xml:space="preserve"> agglomérations et zones urbaines</w:t>
      </w:r>
      <w:r w:rsidR="00CA3350" w:rsidRPr="000637D5">
        <w:rPr>
          <w:lang w:val="fr-FR" w:bidi="ar-MA"/>
        </w:rPr>
        <w:t xml:space="preserve">. En outre, le surpâturage entraîne la dégradation et la perte des stocks de carbone dans les forêts existantes. Le manque des moyens, de compétences et de base de données numériques </w:t>
      </w:r>
      <w:r w:rsidR="00CA3350">
        <w:rPr>
          <w:lang w:val="fr-FR" w:bidi="ar-MA"/>
        </w:rPr>
        <w:t xml:space="preserve">régionalisées </w:t>
      </w:r>
      <w:r w:rsidR="00CA3350" w:rsidRPr="000637D5">
        <w:rPr>
          <w:lang w:val="fr-FR" w:bidi="ar-MA"/>
        </w:rPr>
        <w:t>et accessibles par les agents</w:t>
      </w:r>
      <w:r w:rsidR="00CA3350" w:rsidRPr="00D83AB5">
        <w:rPr>
          <w:lang w:val="fr-FR" w:bidi="ar-MA"/>
        </w:rPr>
        <w:t xml:space="preserve"> forestiers aggrave la situation, et menace l’intégrité des forêts tunisiennes et du domaine forestier de l’état.   </w:t>
      </w:r>
    </w:p>
    <w:p w:rsidR="00CA3350" w:rsidRDefault="00CA3350" w:rsidP="00CA3350">
      <w:pPr>
        <w:tabs>
          <w:tab w:val="left" w:pos="1827"/>
        </w:tabs>
        <w:jc w:val="both"/>
        <w:rPr>
          <w:lang w:val="fr-FR"/>
        </w:rPr>
      </w:pPr>
      <w:r>
        <w:rPr>
          <w:lang w:val="fr-FR"/>
        </w:rPr>
        <w:t>L</w:t>
      </w:r>
      <w:r w:rsidRPr="00D213BE">
        <w:rPr>
          <w:lang w:val="fr-FR"/>
        </w:rPr>
        <w:t xml:space="preserve">a couverture forestière du pays a considérablement diminué par rapport aux niveaux historiques d'environ 3,3 millions d'hectares (à l'époque romaine) à </w:t>
      </w:r>
      <w:r>
        <w:rPr>
          <w:lang w:val="fr-FR"/>
        </w:rPr>
        <w:t xml:space="preserve">400 mille Ha à l’aube de l’indépendance (1956) pour atteindre </w:t>
      </w:r>
      <w:r w:rsidRPr="00D213BE">
        <w:rPr>
          <w:lang w:val="fr-FR"/>
        </w:rPr>
        <w:t xml:space="preserve">1,3 millions d'hectares </w:t>
      </w:r>
      <w:r>
        <w:rPr>
          <w:lang w:val="fr-FR"/>
        </w:rPr>
        <w:t xml:space="preserve">actuellement </w:t>
      </w:r>
      <w:r w:rsidRPr="00D213BE">
        <w:rPr>
          <w:lang w:val="fr-FR"/>
        </w:rPr>
        <w:t>grâce aux efforts de reboisement</w:t>
      </w:r>
      <w:r>
        <w:rPr>
          <w:lang w:val="fr-FR"/>
        </w:rPr>
        <w:t xml:space="preserve">, c'est-à-dire </w:t>
      </w:r>
      <w:r w:rsidRPr="00D213BE">
        <w:rPr>
          <w:lang w:val="fr-FR"/>
        </w:rPr>
        <w:t xml:space="preserve"> l'équivalent d'environ 8 pour cent de la superficie totale.</w:t>
      </w:r>
    </w:p>
    <w:p w:rsidR="00CA3350" w:rsidRDefault="00CA3350" w:rsidP="00E11527">
      <w:pPr>
        <w:tabs>
          <w:tab w:val="left" w:pos="1827"/>
        </w:tabs>
        <w:jc w:val="both"/>
        <w:rPr>
          <w:lang w:val="fr-FR"/>
        </w:rPr>
      </w:pPr>
      <w:r w:rsidRPr="00D213BE">
        <w:rPr>
          <w:lang w:val="fr-FR"/>
        </w:rPr>
        <w:t xml:space="preserve">Quelque </w:t>
      </w:r>
      <w:r w:rsidR="00E11527">
        <w:rPr>
          <w:lang w:val="fr-FR"/>
        </w:rPr>
        <w:t>8</w:t>
      </w:r>
      <w:r w:rsidR="00E11527" w:rsidRPr="00D213BE">
        <w:rPr>
          <w:lang w:val="fr-FR"/>
        </w:rPr>
        <w:t xml:space="preserve"> </w:t>
      </w:r>
      <w:r w:rsidRPr="00D213BE">
        <w:rPr>
          <w:lang w:val="fr-FR"/>
        </w:rPr>
        <w:t xml:space="preserve">pour cent de la population </w:t>
      </w:r>
      <w:r>
        <w:rPr>
          <w:lang w:val="fr-FR"/>
        </w:rPr>
        <w:t>tunisienne</w:t>
      </w:r>
      <w:r w:rsidRPr="00D213BE">
        <w:rPr>
          <w:lang w:val="fr-FR"/>
        </w:rPr>
        <w:t xml:space="preserve"> vit à l'intérieur ou à proximité des zones forestières et dépend des ressources forestières pour environ un tiers de leur revenu, tandis </w:t>
      </w:r>
      <w:r>
        <w:rPr>
          <w:lang w:val="fr-FR"/>
        </w:rPr>
        <w:t xml:space="preserve">que </w:t>
      </w:r>
      <w:r w:rsidRPr="00D213BE">
        <w:rPr>
          <w:lang w:val="fr-FR"/>
        </w:rPr>
        <w:t xml:space="preserve">des activités agricoles et pastorales à petite échelle dominent le reste des moyens de subsistance </w:t>
      </w:r>
      <w:r>
        <w:rPr>
          <w:lang w:val="fr-FR"/>
        </w:rPr>
        <w:t>dans le</w:t>
      </w:r>
      <w:r w:rsidRPr="00D213BE">
        <w:rPr>
          <w:lang w:val="fr-FR"/>
        </w:rPr>
        <w:t xml:space="preserve"> milieu rural. </w:t>
      </w:r>
    </w:p>
    <w:p w:rsidR="00CA3350" w:rsidRPr="00D213BE" w:rsidRDefault="00CA3350" w:rsidP="00CA3350">
      <w:pPr>
        <w:tabs>
          <w:tab w:val="left" w:pos="1827"/>
        </w:tabs>
        <w:jc w:val="both"/>
        <w:rPr>
          <w:rFonts w:cs="Arial"/>
          <w:lang w:val="fr-FR"/>
        </w:rPr>
      </w:pPr>
      <w:r w:rsidRPr="00D213BE">
        <w:rPr>
          <w:lang w:val="fr-FR"/>
        </w:rPr>
        <w:t>Le gouvernement Tunisie</w:t>
      </w:r>
      <w:r>
        <w:rPr>
          <w:lang w:val="fr-FR"/>
        </w:rPr>
        <w:t>n</w:t>
      </w:r>
      <w:r w:rsidR="00EF3B31">
        <w:rPr>
          <w:lang w:val="fr-FR"/>
        </w:rPr>
        <w:t xml:space="preserve"> </w:t>
      </w:r>
      <w:r>
        <w:rPr>
          <w:lang w:val="fr-FR"/>
        </w:rPr>
        <w:t xml:space="preserve">s’est </w:t>
      </w:r>
      <w:r w:rsidRPr="00D213BE">
        <w:rPr>
          <w:lang w:val="fr-FR"/>
        </w:rPr>
        <w:t xml:space="preserve">fixé un objectif ambitieux de clarifier la propriété </w:t>
      </w:r>
      <w:r>
        <w:rPr>
          <w:lang w:val="fr-FR"/>
        </w:rPr>
        <w:t xml:space="preserve">foncière </w:t>
      </w:r>
      <w:r w:rsidRPr="00D213BE">
        <w:rPr>
          <w:lang w:val="fr-FR"/>
        </w:rPr>
        <w:t xml:space="preserve">de </w:t>
      </w:r>
      <w:r>
        <w:rPr>
          <w:lang w:val="fr-FR"/>
        </w:rPr>
        <w:t>1</w:t>
      </w:r>
      <w:r w:rsidRPr="00D213BE">
        <w:rPr>
          <w:lang w:val="fr-FR"/>
        </w:rPr>
        <w:t xml:space="preserve"> million d'hectares au cours des 1</w:t>
      </w:r>
      <w:r>
        <w:rPr>
          <w:lang w:val="fr-FR"/>
        </w:rPr>
        <w:t>0</w:t>
      </w:r>
      <w:r w:rsidRPr="00D213BE">
        <w:rPr>
          <w:lang w:val="fr-FR"/>
        </w:rPr>
        <w:t xml:space="preserve"> prochaines années, et </w:t>
      </w:r>
      <w:r>
        <w:rPr>
          <w:lang w:val="fr-FR"/>
        </w:rPr>
        <w:t xml:space="preserve">il </w:t>
      </w:r>
      <w:r w:rsidRPr="00D213BE">
        <w:rPr>
          <w:lang w:val="fr-FR"/>
        </w:rPr>
        <w:t xml:space="preserve">a reconnu l'importance du lien </w:t>
      </w:r>
      <w:r>
        <w:rPr>
          <w:lang w:val="fr-FR"/>
        </w:rPr>
        <w:t>entre</w:t>
      </w:r>
      <w:r w:rsidRPr="00D213BE">
        <w:rPr>
          <w:lang w:val="fr-FR"/>
        </w:rPr>
        <w:t xml:space="preserve"> la conservation des forêts, la gestion des terres et la pauvreté dans le Plan forestier</w:t>
      </w:r>
      <w:r>
        <w:rPr>
          <w:lang w:val="fr-FR"/>
        </w:rPr>
        <w:t xml:space="preserve"> national du pays (PFN) (2007). </w:t>
      </w:r>
      <w:r w:rsidRPr="00D213BE">
        <w:rPr>
          <w:lang w:val="fr-FR"/>
        </w:rPr>
        <w:t xml:space="preserve"> La Tunisie a également démontré </w:t>
      </w:r>
      <w:r>
        <w:rPr>
          <w:lang w:val="fr-FR"/>
        </w:rPr>
        <w:t>une</w:t>
      </w:r>
      <w:r w:rsidRPr="00D213BE">
        <w:rPr>
          <w:lang w:val="fr-FR"/>
        </w:rPr>
        <w:t xml:space="preserve"> capacité à faciliter les approches participatives</w:t>
      </w:r>
      <w:r>
        <w:rPr>
          <w:lang w:val="fr-FR"/>
        </w:rPr>
        <w:t xml:space="preserve"> dans </w:t>
      </w:r>
      <w:r w:rsidRPr="00D213BE">
        <w:rPr>
          <w:lang w:val="fr-FR"/>
        </w:rPr>
        <w:t xml:space="preserve">la réforme agraire, </w:t>
      </w:r>
      <w:r>
        <w:rPr>
          <w:lang w:val="fr-FR"/>
        </w:rPr>
        <w:t xml:space="preserve">voyant </w:t>
      </w:r>
      <w:r w:rsidRPr="00D213BE">
        <w:rPr>
          <w:lang w:val="fr-FR"/>
        </w:rPr>
        <w:t xml:space="preserve"> plus de 30.000 agriculteurs </w:t>
      </w:r>
      <w:r>
        <w:rPr>
          <w:lang w:val="fr-FR"/>
        </w:rPr>
        <w:t xml:space="preserve">prendre part aux </w:t>
      </w:r>
      <w:r w:rsidRPr="00D213BE">
        <w:rPr>
          <w:lang w:val="fr-FR"/>
        </w:rPr>
        <w:t xml:space="preserve"> débats sur l</w:t>
      </w:r>
      <w:r>
        <w:rPr>
          <w:lang w:val="fr-FR"/>
        </w:rPr>
        <w:t>e morcellement</w:t>
      </w:r>
      <w:r w:rsidRPr="00D213BE">
        <w:rPr>
          <w:lang w:val="fr-FR"/>
        </w:rPr>
        <w:t xml:space="preserve"> des terres.</w:t>
      </w:r>
    </w:p>
    <w:p w:rsidR="00CA3350" w:rsidRPr="00877984" w:rsidRDefault="00CA3350" w:rsidP="00CA3350">
      <w:pPr>
        <w:pStyle w:val="BodyText"/>
        <w:spacing w:after="0" w:line="276" w:lineRule="auto"/>
        <w:ind w:left="720"/>
        <w:rPr>
          <w:rFonts w:ascii="Calibri" w:eastAsiaTheme="minorHAnsi" w:hAnsi="Calibri" w:cstheme="minorBidi"/>
          <w:sz w:val="22"/>
          <w:szCs w:val="22"/>
          <w:lang w:eastAsia="en-US"/>
        </w:rPr>
      </w:pPr>
    </w:p>
    <w:p w:rsidR="00CA3350" w:rsidRPr="00042DBA" w:rsidRDefault="00486DED" w:rsidP="00042DBA">
      <w:pPr>
        <w:pStyle w:val="BodyText"/>
        <w:spacing w:before="120" w:after="0" w:line="276" w:lineRule="auto"/>
        <w:rPr>
          <w:rFonts w:asciiTheme="minorHAnsi" w:hAnsiTheme="minorHAnsi" w:cstheme="minorBidi"/>
          <w:b/>
          <w:sz w:val="22"/>
          <w:szCs w:val="22"/>
        </w:rPr>
      </w:pPr>
      <w:r w:rsidRPr="00042DBA">
        <w:rPr>
          <w:rFonts w:asciiTheme="minorHAnsi" w:hAnsiTheme="minorHAnsi" w:cstheme="minorBidi"/>
          <w:b/>
          <w:sz w:val="22"/>
          <w:szCs w:val="22"/>
        </w:rPr>
        <w:t>Description</w:t>
      </w:r>
      <w:r w:rsidR="00042DBA" w:rsidRPr="00042DBA">
        <w:rPr>
          <w:rFonts w:asciiTheme="minorHAnsi" w:hAnsiTheme="minorHAnsi" w:cstheme="minorBidi"/>
          <w:b/>
          <w:sz w:val="22"/>
          <w:szCs w:val="22"/>
        </w:rPr>
        <w:t xml:space="preserve"> de l’</w:t>
      </w:r>
      <w:r w:rsidRPr="00042DBA">
        <w:rPr>
          <w:rFonts w:asciiTheme="minorHAnsi" w:hAnsiTheme="minorHAnsi" w:cstheme="minorBidi"/>
          <w:b/>
          <w:sz w:val="22"/>
          <w:szCs w:val="22"/>
        </w:rPr>
        <w:t>étude</w:t>
      </w:r>
    </w:p>
    <w:p w:rsidR="00CA3350" w:rsidRPr="00042DBA" w:rsidRDefault="00CA3350" w:rsidP="00CA3350">
      <w:pPr>
        <w:rPr>
          <w:lang w:val="fr-FR"/>
        </w:rPr>
      </w:pPr>
      <w:r w:rsidRPr="00042DBA">
        <w:rPr>
          <w:lang w:val="fr-FR"/>
        </w:rPr>
        <w:t>L'étude examinera les aspects suivants de la situation foncière:</w:t>
      </w:r>
    </w:p>
    <w:p w:rsidR="00CA3350" w:rsidRDefault="00CA3350" w:rsidP="00CA3350">
      <w:pPr>
        <w:pStyle w:val="ListParagraph"/>
        <w:numPr>
          <w:ilvl w:val="0"/>
          <w:numId w:val="13"/>
        </w:numPr>
        <w:jc w:val="both"/>
        <w:rPr>
          <w:lang w:val="fr-FR"/>
        </w:rPr>
      </w:pPr>
      <w:r w:rsidRPr="00877984">
        <w:rPr>
          <w:u w:val="single"/>
          <w:lang w:val="fr-FR"/>
        </w:rPr>
        <w:t>Politique foncière, législati</w:t>
      </w:r>
      <w:r>
        <w:rPr>
          <w:u w:val="single"/>
          <w:lang w:val="fr-FR"/>
        </w:rPr>
        <w:t xml:space="preserve">ve </w:t>
      </w:r>
      <w:r w:rsidRPr="00877984">
        <w:rPr>
          <w:u w:val="single"/>
          <w:lang w:val="fr-FR"/>
        </w:rPr>
        <w:t>et règlement</w:t>
      </w:r>
      <w:r>
        <w:rPr>
          <w:u w:val="single"/>
          <w:lang w:val="fr-FR"/>
        </w:rPr>
        <w:t>aire</w:t>
      </w:r>
      <w:r w:rsidRPr="00877984">
        <w:rPr>
          <w:u w:val="single"/>
          <w:lang w:val="fr-FR"/>
        </w:rPr>
        <w:t xml:space="preserve"> (PLR)</w:t>
      </w:r>
      <w:r>
        <w:rPr>
          <w:u w:val="single"/>
          <w:lang w:val="fr-FR"/>
        </w:rPr>
        <w:t xml:space="preserve"> et analyse de la situation</w:t>
      </w:r>
      <w:r w:rsidRPr="00B85418">
        <w:rPr>
          <w:lang w:val="fr-FR"/>
        </w:rPr>
        <w:t xml:space="preserve">: </w:t>
      </w:r>
      <w:r w:rsidRPr="00486494">
        <w:rPr>
          <w:lang w:val="fr-FR"/>
        </w:rPr>
        <w:t xml:space="preserve">Analyse des lacunes dans la </w:t>
      </w:r>
      <w:r>
        <w:rPr>
          <w:lang w:val="fr-FR"/>
        </w:rPr>
        <w:t>politique foncière</w:t>
      </w:r>
      <w:r w:rsidRPr="00486494">
        <w:rPr>
          <w:lang w:val="fr-FR"/>
        </w:rPr>
        <w:t xml:space="preserve"> et de</w:t>
      </w:r>
      <w:r w:rsidR="00486DED">
        <w:rPr>
          <w:lang w:val="fr-FR"/>
        </w:rPr>
        <w:t xml:space="preserve"> la propriété des terres forestière</w:t>
      </w:r>
      <w:r w:rsidR="00486DED" w:rsidRPr="00486494">
        <w:rPr>
          <w:lang w:val="fr-FR"/>
        </w:rPr>
        <w:t>s</w:t>
      </w:r>
      <w:r w:rsidRPr="00486494">
        <w:rPr>
          <w:lang w:val="fr-FR"/>
        </w:rPr>
        <w:t xml:space="preserve"> et la législation connexe et politiques (y compris les questions genre) avec une analyse de la situation en comparant </w:t>
      </w:r>
      <w:r>
        <w:rPr>
          <w:lang w:val="fr-FR"/>
        </w:rPr>
        <w:t xml:space="preserve">les </w:t>
      </w:r>
      <w:r w:rsidRPr="00486494">
        <w:rPr>
          <w:lang w:val="fr-FR"/>
        </w:rPr>
        <w:t>PLR existant</w:t>
      </w:r>
      <w:r>
        <w:rPr>
          <w:lang w:val="fr-FR"/>
        </w:rPr>
        <w:t xml:space="preserve">s </w:t>
      </w:r>
      <w:r w:rsidRPr="00486494">
        <w:rPr>
          <w:lang w:val="fr-FR"/>
        </w:rPr>
        <w:t xml:space="preserve">à la pratique habituelle et </w:t>
      </w:r>
      <w:r>
        <w:rPr>
          <w:lang w:val="fr-FR"/>
        </w:rPr>
        <w:t xml:space="preserve">questions </w:t>
      </w:r>
      <w:r w:rsidRPr="00486494">
        <w:rPr>
          <w:lang w:val="fr-FR"/>
        </w:rPr>
        <w:t xml:space="preserve">démographiques actuelles. </w:t>
      </w:r>
    </w:p>
    <w:p w:rsidR="00CA3350" w:rsidRPr="000637D5" w:rsidRDefault="00CA3350" w:rsidP="00CA3350">
      <w:pPr>
        <w:pStyle w:val="ListParagraph"/>
        <w:numPr>
          <w:ilvl w:val="0"/>
          <w:numId w:val="13"/>
        </w:numPr>
        <w:jc w:val="both"/>
        <w:rPr>
          <w:lang w:val="fr-FR"/>
        </w:rPr>
      </w:pPr>
      <w:r w:rsidRPr="00156B59">
        <w:rPr>
          <w:u w:val="single"/>
          <w:lang w:val="fr-FR"/>
        </w:rPr>
        <w:t>Aménagement du territoire</w:t>
      </w:r>
      <w:r w:rsidRPr="00486494">
        <w:rPr>
          <w:lang w:val="fr-FR"/>
        </w:rPr>
        <w:t xml:space="preserve">: </w:t>
      </w:r>
      <w:r>
        <w:rPr>
          <w:lang w:val="fr-FR"/>
        </w:rPr>
        <w:t xml:space="preserve">i) </w:t>
      </w:r>
      <w:r w:rsidRPr="00486494">
        <w:rPr>
          <w:lang w:val="fr-FR"/>
        </w:rPr>
        <w:t xml:space="preserve">évaluation </w:t>
      </w:r>
      <w:r>
        <w:rPr>
          <w:lang w:val="fr-FR"/>
        </w:rPr>
        <w:t>des</w:t>
      </w:r>
      <w:r w:rsidRPr="00486494">
        <w:rPr>
          <w:lang w:val="fr-FR"/>
        </w:rPr>
        <w:t xml:space="preserve"> plans </w:t>
      </w:r>
      <w:r>
        <w:rPr>
          <w:lang w:val="fr-FR"/>
        </w:rPr>
        <w:t>d’aménagement du territoire avec</w:t>
      </w:r>
      <w:r w:rsidRPr="00486494">
        <w:rPr>
          <w:lang w:val="fr-FR"/>
        </w:rPr>
        <w:t xml:space="preserve"> nécessité d'une planification supplémentaire d'utilisation des terres pour soutenir la mise en œuvre de la</w:t>
      </w:r>
      <w:r>
        <w:rPr>
          <w:lang w:val="fr-FR"/>
        </w:rPr>
        <w:t xml:space="preserve"> REDD</w:t>
      </w:r>
      <w:r w:rsidRPr="00486494">
        <w:rPr>
          <w:lang w:val="fr-FR"/>
        </w:rPr>
        <w:t xml:space="preserve">+ </w:t>
      </w:r>
      <w:r>
        <w:rPr>
          <w:lang w:val="fr-FR"/>
        </w:rPr>
        <w:t xml:space="preserve">dans le cadre de </w:t>
      </w:r>
      <w:r w:rsidRPr="00486494">
        <w:rPr>
          <w:lang w:val="fr-FR"/>
        </w:rPr>
        <w:t xml:space="preserve">l'utilisation des terres </w:t>
      </w:r>
      <w:r>
        <w:rPr>
          <w:lang w:val="fr-FR"/>
        </w:rPr>
        <w:t>et changement d’affectation des terres ; ii)</w:t>
      </w:r>
      <w:r w:rsidRPr="00486494">
        <w:rPr>
          <w:lang w:val="fr-FR"/>
        </w:rPr>
        <w:t xml:space="preserve"> Consultation avec les parties prenantes pour promouvoir et développer </w:t>
      </w:r>
      <w:r>
        <w:rPr>
          <w:lang w:val="fr-FR"/>
        </w:rPr>
        <w:t xml:space="preserve">de manière </w:t>
      </w:r>
      <w:r w:rsidRPr="00486494">
        <w:rPr>
          <w:lang w:val="fr-FR"/>
        </w:rPr>
        <w:t xml:space="preserve">holistique </w:t>
      </w:r>
      <w:r>
        <w:rPr>
          <w:lang w:val="fr-FR"/>
        </w:rPr>
        <w:t>la</w:t>
      </w:r>
      <w:r w:rsidRPr="00486494">
        <w:rPr>
          <w:lang w:val="fr-FR"/>
        </w:rPr>
        <w:t xml:space="preserve"> planification et </w:t>
      </w:r>
      <w:r>
        <w:rPr>
          <w:lang w:val="fr-FR"/>
        </w:rPr>
        <w:t>les</w:t>
      </w:r>
      <w:r w:rsidR="00EF3B31">
        <w:rPr>
          <w:lang w:val="fr-FR"/>
        </w:rPr>
        <w:t xml:space="preserve"> </w:t>
      </w:r>
      <w:r w:rsidRPr="000637D5">
        <w:rPr>
          <w:lang w:val="fr-FR"/>
        </w:rPr>
        <w:t xml:space="preserve">stratégies d'utilisation des terres. </w:t>
      </w:r>
    </w:p>
    <w:p w:rsidR="00CA3350" w:rsidRPr="000637D5" w:rsidRDefault="00CA3350" w:rsidP="00CA3350">
      <w:pPr>
        <w:pStyle w:val="ListParagraph"/>
        <w:numPr>
          <w:ilvl w:val="0"/>
          <w:numId w:val="13"/>
        </w:numPr>
        <w:jc w:val="both"/>
        <w:rPr>
          <w:lang w:val="fr-FR" w:bidi="ar-MA"/>
        </w:rPr>
      </w:pPr>
      <w:r>
        <w:rPr>
          <w:u w:val="single"/>
          <w:lang w:val="fr-FR"/>
        </w:rPr>
        <w:t>Clarification des l</w:t>
      </w:r>
      <w:r w:rsidRPr="000637D5">
        <w:rPr>
          <w:u w:val="single"/>
          <w:lang w:val="fr-FR"/>
        </w:rPr>
        <w:t xml:space="preserve">imites </w:t>
      </w:r>
      <w:r>
        <w:rPr>
          <w:u w:val="single"/>
          <w:lang w:val="fr-FR"/>
        </w:rPr>
        <w:t>du domaine forestier de l’Etat et rétablissement des bornes</w:t>
      </w:r>
      <w:r w:rsidRPr="000637D5">
        <w:rPr>
          <w:lang w:val="fr-FR"/>
        </w:rPr>
        <w:t xml:space="preserve">: </w:t>
      </w:r>
      <w:r>
        <w:rPr>
          <w:lang w:val="fr-FR"/>
        </w:rPr>
        <w:t>A</w:t>
      </w:r>
      <w:r w:rsidRPr="000637D5">
        <w:rPr>
          <w:lang w:val="fr-FR"/>
        </w:rPr>
        <w:t xml:space="preserve">nalyse </w:t>
      </w:r>
      <w:r>
        <w:rPr>
          <w:lang w:val="fr-FR"/>
        </w:rPr>
        <w:t>des</w:t>
      </w:r>
      <w:r w:rsidR="00EF3B31">
        <w:rPr>
          <w:lang w:val="fr-FR"/>
        </w:rPr>
        <w:t xml:space="preserve"> </w:t>
      </w:r>
      <w:r w:rsidRPr="000637D5">
        <w:rPr>
          <w:lang w:val="fr-FR" w:bidi="ar-MA"/>
        </w:rPr>
        <w:t xml:space="preserve">moyens </w:t>
      </w:r>
      <w:r>
        <w:rPr>
          <w:lang w:val="fr-FR" w:bidi="ar-MA"/>
        </w:rPr>
        <w:t xml:space="preserve">humains </w:t>
      </w:r>
      <w:r w:rsidRPr="000637D5">
        <w:rPr>
          <w:lang w:val="fr-FR" w:bidi="ar-MA"/>
        </w:rPr>
        <w:t xml:space="preserve">et matériels appropriés pour le rétablissement des bornes et l’identification pratique des limites réelles du domaine forestier de l’état.  </w:t>
      </w:r>
    </w:p>
    <w:p w:rsidR="00CA3350" w:rsidRPr="00566A2B" w:rsidRDefault="00CA3350" w:rsidP="00CA3350">
      <w:pPr>
        <w:pStyle w:val="ListParagraph"/>
        <w:numPr>
          <w:ilvl w:val="0"/>
          <w:numId w:val="13"/>
        </w:numPr>
        <w:jc w:val="both"/>
        <w:rPr>
          <w:lang w:val="fr-FR" w:bidi="ar-MA"/>
        </w:rPr>
      </w:pPr>
      <w:r w:rsidRPr="00566A2B">
        <w:rPr>
          <w:u w:val="single"/>
          <w:lang w:val="fr-FR"/>
        </w:rPr>
        <w:t>Système et capacité cadastre</w:t>
      </w:r>
      <w:r w:rsidRPr="00566A2B">
        <w:rPr>
          <w:lang w:val="fr-FR" w:bidi="ar-MA"/>
        </w:rPr>
        <w:t>: i) analyse préliminaire du système du cadastre en Tunisie</w:t>
      </w:r>
      <w:r>
        <w:rPr>
          <w:lang w:val="fr-FR" w:bidi="ar-MA"/>
        </w:rPr>
        <w:t xml:space="preserve"> avec </w:t>
      </w:r>
      <w:r>
        <w:rPr>
          <w:lang w:val="fr-FR"/>
        </w:rPr>
        <w:t>i</w:t>
      </w:r>
      <w:r w:rsidRPr="000637D5">
        <w:rPr>
          <w:lang w:val="fr-FR"/>
        </w:rPr>
        <w:t>dentification des</w:t>
      </w:r>
      <w:r w:rsidRPr="00486494">
        <w:rPr>
          <w:lang w:val="fr-FR"/>
        </w:rPr>
        <w:t xml:space="preserve"> différences régionales </w:t>
      </w:r>
      <w:r>
        <w:rPr>
          <w:lang w:val="fr-FR"/>
        </w:rPr>
        <w:t>dans</w:t>
      </w:r>
      <w:r w:rsidRPr="00486494">
        <w:rPr>
          <w:lang w:val="fr-FR"/>
        </w:rPr>
        <w:t xml:space="preserve"> les systèmes </w:t>
      </w:r>
      <w:r>
        <w:rPr>
          <w:lang w:val="fr-FR"/>
        </w:rPr>
        <w:t>fonciers</w:t>
      </w:r>
      <w:r w:rsidRPr="00486494">
        <w:rPr>
          <w:lang w:val="fr-FR"/>
        </w:rPr>
        <w:t xml:space="preserve"> à travers le pays et de leur importance pour la REDD</w:t>
      </w:r>
      <w:r>
        <w:rPr>
          <w:lang w:val="fr-FR"/>
        </w:rPr>
        <w:t>+</w:t>
      </w:r>
      <w:r w:rsidRPr="00566A2B">
        <w:rPr>
          <w:lang w:val="fr-FR" w:bidi="ar-MA"/>
        </w:rPr>
        <w:t>; ii) élaboration d’une base numérique de l’assi</w:t>
      </w:r>
      <w:r>
        <w:rPr>
          <w:lang w:val="fr-FR" w:bidi="ar-MA"/>
        </w:rPr>
        <w:t>ett</w:t>
      </w:r>
      <w:r w:rsidRPr="00566A2B">
        <w:rPr>
          <w:lang w:val="fr-FR" w:bidi="ar-MA"/>
        </w:rPr>
        <w:t xml:space="preserve">e foncière </w:t>
      </w:r>
      <w:r>
        <w:rPr>
          <w:lang w:val="fr-FR" w:bidi="ar-MA"/>
        </w:rPr>
        <w:t>du secteur forestier et pastoral</w:t>
      </w:r>
      <w:r w:rsidRPr="00566A2B">
        <w:rPr>
          <w:lang w:val="fr-FR" w:bidi="ar-MA"/>
        </w:rPr>
        <w:t>; iii) formation des techniciens en termes d’utilisation de la nouvelle technologie de cartographie et des systèmes d’informations géographiques.</w:t>
      </w:r>
    </w:p>
    <w:p w:rsidR="00CA3350" w:rsidRPr="007A4ED8" w:rsidRDefault="00CA3350" w:rsidP="00CA3350">
      <w:pPr>
        <w:pStyle w:val="ListParagraph"/>
        <w:numPr>
          <w:ilvl w:val="0"/>
          <w:numId w:val="13"/>
        </w:numPr>
        <w:rPr>
          <w:lang w:val="fr-FR"/>
        </w:rPr>
      </w:pPr>
      <w:r w:rsidRPr="00156B59">
        <w:rPr>
          <w:u w:val="single"/>
          <w:lang w:val="fr-FR"/>
        </w:rPr>
        <w:t>Mécanisme de règlement des griefs</w:t>
      </w:r>
      <w:r w:rsidRPr="00486494">
        <w:rPr>
          <w:lang w:val="fr-FR"/>
        </w:rPr>
        <w:t xml:space="preserve">: </w:t>
      </w:r>
      <w:r>
        <w:rPr>
          <w:lang w:val="fr-FR"/>
        </w:rPr>
        <w:t>Analyse</w:t>
      </w:r>
      <w:r w:rsidRPr="00486494">
        <w:rPr>
          <w:lang w:val="fr-FR"/>
        </w:rPr>
        <w:t xml:space="preserve"> du mécanisme de règlement des griefs utilisé pour les litiges fonciers avec une analyse </w:t>
      </w:r>
      <w:r>
        <w:rPr>
          <w:lang w:val="fr-FR"/>
        </w:rPr>
        <w:t>de sa pertinence pour la REDD +</w:t>
      </w:r>
      <w:r w:rsidR="000F7AFE">
        <w:rPr>
          <w:lang w:val="fr-FR"/>
        </w:rPr>
        <w:t>.</w:t>
      </w:r>
    </w:p>
    <w:p w:rsidR="00CA3350" w:rsidRPr="00CA3350" w:rsidRDefault="00CA3350">
      <w:pPr>
        <w:rPr>
          <w:b/>
          <w:lang w:val="fr-FR"/>
        </w:rPr>
      </w:pPr>
    </w:p>
    <w:sectPr w:rsidR="00CA3350" w:rsidRPr="00CA3350" w:rsidSect="00C018BB">
      <w:footerReference w:type="default" r:id="rId8"/>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3C4" w:rsidRDefault="00BA63C4" w:rsidP="00C018BB">
      <w:pPr>
        <w:spacing w:after="0" w:line="240" w:lineRule="auto"/>
      </w:pPr>
      <w:r>
        <w:separator/>
      </w:r>
    </w:p>
  </w:endnote>
  <w:endnote w:type="continuationSeparator" w:id="0">
    <w:p w:rsidR="00BA63C4" w:rsidRDefault="00BA63C4" w:rsidP="00C0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68" w:rsidRDefault="00287AD8">
    <w:pPr>
      <w:pStyle w:val="Footer"/>
      <w:jc w:val="right"/>
    </w:pPr>
    <w:r>
      <w:fldChar w:fldCharType="begin"/>
    </w:r>
    <w:r w:rsidR="00872168">
      <w:instrText xml:space="preserve"> PAGE   \* MERGEFORMAT </w:instrText>
    </w:r>
    <w:r>
      <w:fldChar w:fldCharType="separate"/>
    </w:r>
    <w:r w:rsidR="00E159B4">
      <w:rPr>
        <w:noProof/>
      </w:rPr>
      <w:t>1</w:t>
    </w:r>
    <w:r>
      <w:fldChar w:fldCharType="end"/>
    </w:r>
  </w:p>
  <w:p w:rsidR="00872168" w:rsidRDefault="00872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3C4" w:rsidRDefault="00BA63C4" w:rsidP="00C018BB">
      <w:pPr>
        <w:spacing w:after="0" w:line="240" w:lineRule="auto"/>
      </w:pPr>
      <w:r>
        <w:separator/>
      </w:r>
    </w:p>
  </w:footnote>
  <w:footnote w:type="continuationSeparator" w:id="0">
    <w:p w:rsidR="00BA63C4" w:rsidRDefault="00BA63C4" w:rsidP="00C018BB">
      <w:pPr>
        <w:spacing w:after="0" w:line="240" w:lineRule="auto"/>
      </w:pPr>
      <w:r>
        <w:continuationSeparator/>
      </w:r>
    </w:p>
  </w:footnote>
  <w:footnote w:id="1">
    <w:p w:rsidR="00872168" w:rsidRPr="00626EB3" w:rsidRDefault="00872168" w:rsidP="003C21F9">
      <w:pPr>
        <w:pStyle w:val="Default"/>
        <w:rPr>
          <w:sz w:val="20"/>
          <w:szCs w:val="20"/>
          <w:lang w:val="fr-FR"/>
        </w:rPr>
      </w:pPr>
      <w:r w:rsidRPr="00465C55">
        <w:rPr>
          <w:rStyle w:val="FootnoteReference"/>
          <w:rFonts w:cs="Calibri"/>
          <w:sz w:val="20"/>
          <w:szCs w:val="20"/>
        </w:rPr>
        <w:footnoteRef/>
      </w:r>
      <w:r w:rsidRPr="00626EB3">
        <w:rPr>
          <w:sz w:val="20"/>
          <w:szCs w:val="20"/>
          <w:lang w:val="fr-FR"/>
        </w:rPr>
        <w:t xml:space="preserve"> Utiliser ce formulaire dans le cadre du processus de candidature pour un appui ciblé du Programme ONU-REDD constitue un choix.</w:t>
      </w:r>
      <w:r w:rsidR="005B65D5">
        <w:rPr>
          <w:sz w:val="20"/>
          <w:szCs w:val="20"/>
          <w:lang w:val="fr-FR"/>
        </w:rPr>
        <w:t xml:space="preserve"> </w:t>
      </w:r>
      <w:r>
        <w:rPr>
          <w:sz w:val="20"/>
          <w:szCs w:val="20"/>
          <w:lang w:val="fr-FR"/>
        </w:rPr>
        <w:t>Si le pays préfère utiliser son propre document, ce formulaire peut servir de guide quant au contenu requis.</w:t>
      </w:r>
    </w:p>
    <w:p w:rsidR="00872168" w:rsidRPr="00626EB3" w:rsidRDefault="00872168" w:rsidP="00626EB3">
      <w:pPr>
        <w:pStyle w:val="Default"/>
        <w:rPr>
          <w:rStyle w:val="Hyperlink"/>
          <w:rFonts w:cs="Calibri"/>
          <w:color w:val="000000"/>
          <w:sz w:val="20"/>
          <w:szCs w:val="20"/>
          <w:lang w:val="fr-FR"/>
        </w:rPr>
      </w:pPr>
      <w:r w:rsidRPr="00626EB3">
        <w:rPr>
          <w:sz w:val="20"/>
          <w:szCs w:val="20"/>
          <w:lang w:val="fr-FR"/>
        </w:rPr>
        <w:t xml:space="preserve">Voir aussi les directives dans les </w:t>
      </w:r>
      <w:hyperlink r:id="rId1" w:history="1">
        <w:r w:rsidRPr="00626EB3">
          <w:rPr>
            <w:rStyle w:val="Hyperlink"/>
            <w:rFonts w:cs="Calibri"/>
            <w:color w:val="000000"/>
            <w:sz w:val="20"/>
            <w:szCs w:val="20"/>
            <w:lang w:val="fr-FR"/>
          </w:rPr>
          <w:t xml:space="preserve">Procédures </w:t>
        </w:r>
        <w:r>
          <w:rPr>
            <w:rStyle w:val="Hyperlink"/>
            <w:rFonts w:cs="Calibri"/>
            <w:color w:val="000000"/>
            <w:sz w:val="20"/>
            <w:szCs w:val="20"/>
            <w:lang w:val="fr-FR"/>
          </w:rPr>
          <w:t>pour accéder à l’appui ciblé du Programme ONU-REDD</w:t>
        </w:r>
      </w:hyperlink>
      <w:r w:rsidRPr="00626EB3">
        <w:rPr>
          <w:rStyle w:val="Hyperlink"/>
          <w:rFonts w:cs="Calibri"/>
          <w:color w:val="000000"/>
          <w:sz w:val="20"/>
          <w:szCs w:val="20"/>
          <w:lang w:val="fr-FR"/>
        </w:rPr>
        <w:t xml:space="preserve">. </w:t>
      </w:r>
    </w:p>
    <w:p w:rsidR="00872168" w:rsidRPr="004F20CF" w:rsidRDefault="00872168" w:rsidP="003C21F9">
      <w:pPr>
        <w:pStyle w:val="Default"/>
        <w:spacing w:before="100"/>
        <w:rPr>
          <w:sz w:val="20"/>
          <w:szCs w:val="20"/>
          <w:lang w:val="fr-FR"/>
        </w:rPr>
      </w:pPr>
      <w:r w:rsidRPr="001D36D4">
        <w:rPr>
          <w:sz w:val="20"/>
          <w:szCs w:val="20"/>
          <w:lang w:val="fr-CH"/>
        </w:rPr>
        <w:t>Les demandes d</w:t>
      </w:r>
      <w:r>
        <w:rPr>
          <w:sz w:val="20"/>
          <w:szCs w:val="20"/>
          <w:lang w:val="fr-CH"/>
        </w:rPr>
        <w:t>’appui</w:t>
      </w:r>
      <w:r w:rsidRPr="001D36D4">
        <w:rPr>
          <w:sz w:val="20"/>
          <w:szCs w:val="20"/>
          <w:lang w:val="fr-CH"/>
        </w:rPr>
        <w:t xml:space="preserve"> ciblé doivent être présentées en coordination avec les équip</w:t>
      </w:r>
      <w:r>
        <w:rPr>
          <w:sz w:val="20"/>
          <w:szCs w:val="20"/>
          <w:lang w:val="fr-CH"/>
        </w:rPr>
        <w:t>e</w:t>
      </w:r>
      <w:r w:rsidRPr="001D36D4">
        <w:rPr>
          <w:sz w:val="20"/>
          <w:szCs w:val="20"/>
          <w:lang w:val="fr-CH"/>
        </w:rPr>
        <w:t xml:space="preserve">s des </w:t>
      </w:r>
      <w:r>
        <w:rPr>
          <w:sz w:val="20"/>
          <w:szCs w:val="20"/>
          <w:lang w:val="fr-CH"/>
        </w:rPr>
        <w:t>organismes participants</w:t>
      </w:r>
      <w:r w:rsidRPr="001D36D4">
        <w:rPr>
          <w:sz w:val="20"/>
          <w:szCs w:val="20"/>
          <w:lang w:val="fr-CH"/>
        </w:rPr>
        <w:t xml:space="preserve"> de l’ONU </w:t>
      </w:r>
      <w:r>
        <w:rPr>
          <w:sz w:val="20"/>
          <w:szCs w:val="20"/>
          <w:lang w:val="fr-CH"/>
        </w:rPr>
        <w:t xml:space="preserve">(FAO, </w:t>
      </w:r>
      <w:r w:rsidRPr="001D36D4">
        <w:rPr>
          <w:sz w:val="20"/>
          <w:szCs w:val="20"/>
          <w:lang w:val="fr-CH"/>
        </w:rPr>
        <w:t>P</w:t>
      </w:r>
      <w:r>
        <w:rPr>
          <w:sz w:val="20"/>
          <w:szCs w:val="20"/>
          <w:lang w:val="fr-CH"/>
        </w:rPr>
        <w:t>NUD</w:t>
      </w:r>
      <w:r w:rsidR="005B65D5">
        <w:rPr>
          <w:sz w:val="20"/>
          <w:szCs w:val="20"/>
          <w:lang w:val="fr-CH"/>
        </w:rPr>
        <w:t xml:space="preserve"> </w:t>
      </w:r>
      <w:r>
        <w:rPr>
          <w:sz w:val="20"/>
          <w:szCs w:val="20"/>
          <w:lang w:val="fr-CH"/>
        </w:rPr>
        <w:t>et</w:t>
      </w:r>
      <w:r w:rsidR="005B65D5">
        <w:rPr>
          <w:sz w:val="20"/>
          <w:szCs w:val="20"/>
          <w:lang w:val="fr-CH"/>
        </w:rPr>
        <w:t xml:space="preserve"> </w:t>
      </w:r>
      <w:r>
        <w:rPr>
          <w:sz w:val="20"/>
          <w:szCs w:val="20"/>
          <w:lang w:val="fr-CH"/>
        </w:rPr>
        <w:t>PNUE) et le Coordonnateur résident</w:t>
      </w:r>
      <w:r w:rsidRPr="001D36D4">
        <w:rPr>
          <w:sz w:val="20"/>
          <w:szCs w:val="20"/>
          <w:lang w:val="fr-CH"/>
        </w:rPr>
        <w:t>.</w:t>
      </w:r>
    </w:p>
    <w:p w:rsidR="00872168" w:rsidRPr="00181524" w:rsidRDefault="00872168" w:rsidP="004F20CF">
      <w:pPr>
        <w:pStyle w:val="Default"/>
        <w:spacing w:before="100"/>
        <w:rPr>
          <w:lang w:val="fr-CH"/>
        </w:rPr>
      </w:pPr>
      <w:r>
        <w:rPr>
          <w:sz w:val="20"/>
          <w:szCs w:val="20"/>
          <w:lang w:val="fr-FR"/>
        </w:rPr>
        <w:t xml:space="preserve">Il est conseillé que la demande soit soumise par le point focal national ONU-REDD. </w:t>
      </w:r>
      <w:r w:rsidRPr="004F20CF">
        <w:rPr>
          <w:sz w:val="20"/>
          <w:szCs w:val="20"/>
          <w:lang w:val="fr-FR"/>
        </w:rPr>
        <w:t>Il est conseillé de faire soumettre la demande par le po</w:t>
      </w:r>
      <w:r>
        <w:rPr>
          <w:sz w:val="20"/>
          <w:szCs w:val="20"/>
          <w:lang w:val="fr-FR"/>
        </w:rPr>
        <w:t>int</w:t>
      </w:r>
      <w:r w:rsidRPr="004F20CF">
        <w:rPr>
          <w:sz w:val="20"/>
          <w:szCs w:val="20"/>
          <w:lang w:val="fr-FR"/>
        </w:rPr>
        <w:t xml:space="preserve"> focal </w:t>
      </w:r>
      <w:r>
        <w:rPr>
          <w:sz w:val="20"/>
          <w:szCs w:val="20"/>
          <w:lang w:val="fr-FR"/>
        </w:rPr>
        <w:t xml:space="preserve">national ONU-REDD. </w:t>
      </w:r>
      <w:r w:rsidRPr="004F20CF">
        <w:rPr>
          <w:sz w:val="20"/>
          <w:szCs w:val="20"/>
          <w:lang w:val="fr-FR"/>
        </w:rPr>
        <w:t xml:space="preserve">Elle devrait être envoyée au </w:t>
      </w:r>
      <w:r>
        <w:rPr>
          <w:sz w:val="20"/>
          <w:szCs w:val="20"/>
          <w:lang w:val="fr-FR"/>
        </w:rPr>
        <w:t>s</w:t>
      </w:r>
      <w:r w:rsidRPr="004F20CF">
        <w:rPr>
          <w:sz w:val="20"/>
          <w:szCs w:val="20"/>
          <w:lang w:val="fr-FR"/>
        </w:rPr>
        <w:t xml:space="preserve">ecrétariat du Programme ONU-REDD (Email : </w:t>
      </w:r>
      <w:hyperlink r:id="rId2" w:history="1">
        <w:r w:rsidRPr="004F20CF">
          <w:rPr>
            <w:rStyle w:val="Hyperlink"/>
            <w:rFonts w:cs="Calibri"/>
            <w:color w:val="000000"/>
            <w:sz w:val="20"/>
            <w:szCs w:val="20"/>
            <w:lang w:val="fr-FR"/>
          </w:rPr>
          <w:t>un-redd@un-redd.org</w:t>
        </w:r>
      </w:hyperlink>
      <w:r w:rsidRPr="004F20CF">
        <w:rPr>
          <w:sz w:val="20"/>
          <w:szCs w:val="20"/>
          <w:lang w:val="fr-FR"/>
        </w:rPr>
        <w:t>). Une copie devra être envoyée au Coordonateur</w:t>
      </w:r>
      <w:r w:rsidR="005B65D5">
        <w:rPr>
          <w:sz w:val="20"/>
          <w:szCs w:val="20"/>
          <w:lang w:val="fr-FR"/>
        </w:rPr>
        <w:t xml:space="preserve"> </w:t>
      </w:r>
      <w:r>
        <w:rPr>
          <w:sz w:val="20"/>
          <w:szCs w:val="20"/>
          <w:lang w:val="fr-FR"/>
        </w:rPr>
        <w:t xml:space="preserve">résident s’il le demande. </w:t>
      </w:r>
    </w:p>
  </w:footnote>
  <w:footnote w:id="2">
    <w:p w:rsidR="00872168" w:rsidRPr="00181524" w:rsidRDefault="00872168" w:rsidP="004F20CF">
      <w:pPr>
        <w:pStyle w:val="FootnoteText"/>
        <w:rPr>
          <w:lang w:val="fr-CH"/>
        </w:rPr>
      </w:pPr>
      <w:r>
        <w:rPr>
          <w:rStyle w:val="FootnoteReference"/>
        </w:rPr>
        <w:footnoteRef/>
      </w:r>
      <w:r w:rsidRPr="004F20CF">
        <w:rPr>
          <w:color w:val="000000"/>
          <w:lang w:val="fr-FR"/>
        </w:rPr>
        <w:t xml:space="preserve">Domaines d’activité concernés : </w:t>
      </w:r>
      <w:r>
        <w:rPr>
          <w:color w:val="000000"/>
          <w:lang w:val="fr-FR"/>
        </w:rPr>
        <w:t>s</w:t>
      </w:r>
      <w:r w:rsidRPr="004F20CF">
        <w:rPr>
          <w:color w:val="000000"/>
          <w:lang w:val="fr-FR"/>
        </w:rPr>
        <w:t xml:space="preserve">uivi, </w:t>
      </w:r>
      <w:r>
        <w:rPr>
          <w:color w:val="000000"/>
          <w:lang w:val="fr-FR"/>
        </w:rPr>
        <w:t>n</w:t>
      </w:r>
      <w:r w:rsidRPr="004F20CF">
        <w:rPr>
          <w:color w:val="000000"/>
          <w:lang w:val="fr-FR"/>
        </w:rPr>
        <w:t>otification (</w:t>
      </w:r>
      <w:r>
        <w:rPr>
          <w:color w:val="000000"/>
          <w:lang w:val="fr-FR"/>
        </w:rPr>
        <w:t>r</w:t>
      </w:r>
      <w:r w:rsidRPr="004F20CF">
        <w:rPr>
          <w:color w:val="000000"/>
          <w:lang w:val="fr-FR"/>
        </w:rPr>
        <w:t xml:space="preserve">apports), </w:t>
      </w:r>
      <w:r>
        <w:rPr>
          <w:color w:val="000000"/>
          <w:lang w:val="fr-FR"/>
        </w:rPr>
        <w:t>v</w:t>
      </w:r>
      <w:r w:rsidRPr="004F20CF">
        <w:rPr>
          <w:color w:val="000000"/>
          <w:lang w:val="fr-FR"/>
        </w:rPr>
        <w:t xml:space="preserve">érification (MRV), </w:t>
      </w:r>
      <w:r>
        <w:rPr>
          <w:color w:val="000000"/>
          <w:lang w:val="fr-FR"/>
        </w:rPr>
        <w:t>g</w:t>
      </w:r>
      <w:r w:rsidRPr="004F20CF">
        <w:rPr>
          <w:color w:val="000000"/>
          <w:lang w:val="fr-FR"/>
        </w:rPr>
        <w:t xml:space="preserve">ouvernance, </w:t>
      </w:r>
      <w:r>
        <w:rPr>
          <w:color w:val="000000"/>
          <w:lang w:val="fr-FR"/>
        </w:rPr>
        <w:t>e</w:t>
      </w:r>
      <w:r w:rsidRPr="004F20CF">
        <w:rPr>
          <w:color w:val="000000"/>
          <w:lang w:val="fr-FR"/>
        </w:rPr>
        <w:t xml:space="preserve">ngagement des parties prenantes, </w:t>
      </w:r>
      <w:r>
        <w:rPr>
          <w:color w:val="000000"/>
          <w:lang w:val="fr-FR"/>
        </w:rPr>
        <w:t>a</w:t>
      </w:r>
      <w:r w:rsidRPr="004F20CF">
        <w:rPr>
          <w:color w:val="000000"/>
          <w:lang w:val="fr-FR"/>
        </w:rPr>
        <w:t>vantages multiples,</w:t>
      </w:r>
      <w:r>
        <w:rPr>
          <w:color w:val="000000"/>
          <w:lang w:val="fr-FR"/>
        </w:rPr>
        <w:t xml:space="preserve"> t</w:t>
      </w:r>
      <w:r w:rsidRPr="004F20CF">
        <w:rPr>
          <w:color w:val="000000"/>
          <w:lang w:val="fr-FR"/>
        </w:rPr>
        <w:t xml:space="preserve">ransparence et </w:t>
      </w:r>
      <w:r>
        <w:rPr>
          <w:color w:val="000000"/>
          <w:lang w:val="fr-FR"/>
        </w:rPr>
        <w:t>r</w:t>
      </w:r>
      <w:r w:rsidRPr="004F20CF">
        <w:rPr>
          <w:color w:val="000000"/>
          <w:lang w:val="fr-FR"/>
        </w:rPr>
        <w:t xml:space="preserve">esponsabilisation, </w:t>
      </w:r>
      <w:r>
        <w:rPr>
          <w:color w:val="000000"/>
          <w:lang w:val="fr-FR"/>
        </w:rPr>
        <w:t xml:space="preserve">économie verte </w:t>
      </w:r>
    </w:p>
  </w:footnote>
  <w:footnote w:id="3">
    <w:p w:rsidR="00872168" w:rsidRPr="00181524" w:rsidRDefault="00872168" w:rsidP="00CB7636">
      <w:pPr>
        <w:pStyle w:val="FootnoteText"/>
        <w:rPr>
          <w:lang w:val="fr-CH"/>
        </w:rPr>
      </w:pPr>
      <w:r w:rsidRPr="00465C55">
        <w:rPr>
          <w:rStyle w:val="FootnoteReference"/>
          <w:color w:val="000000"/>
        </w:rPr>
        <w:footnoteRef/>
      </w:r>
      <w:r w:rsidRPr="00371EFE">
        <w:rPr>
          <w:color w:val="000000"/>
          <w:lang w:val="fr-FR"/>
        </w:rPr>
        <w:t xml:space="preserve"> Période : de mois/</w:t>
      </w:r>
      <w:r>
        <w:rPr>
          <w:color w:val="000000"/>
          <w:lang w:val="fr-FR"/>
        </w:rPr>
        <w:t>année</w:t>
      </w:r>
      <w:r w:rsidRPr="00371EFE">
        <w:rPr>
          <w:color w:val="000000"/>
          <w:lang w:val="fr-FR"/>
        </w:rPr>
        <w:t xml:space="preserve"> à mois/</w:t>
      </w:r>
      <w:r>
        <w:rPr>
          <w:color w:val="000000"/>
          <w:lang w:val="fr-FR"/>
        </w:rPr>
        <w:t>année</w:t>
      </w:r>
      <w:r w:rsidRPr="00371EFE">
        <w:rPr>
          <w:color w:val="000000"/>
          <w:lang w:val="fr-FR"/>
        </w:rPr>
        <w:t>.</w:t>
      </w:r>
    </w:p>
  </w:footnote>
  <w:footnote w:id="4">
    <w:p w:rsidR="00872168" w:rsidRPr="00181524" w:rsidRDefault="00872168" w:rsidP="00105EE6">
      <w:pPr>
        <w:pStyle w:val="FootnoteText"/>
        <w:rPr>
          <w:lang w:val="fr-CH"/>
        </w:rPr>
      </w:pPr>
      <w:r>
        <w:rPr>
          <w:rStyle w:val="FootnoteReference"/>
        </w:rPr>
        <w:footnoteRef/>
      </w:r>
      <w:r>
        <w:rPr>
          <w:lang w:val="fr-CH"/>
        </w:rPr>
        <w:t>Selon</w:t>
      </w:r>
      <w:r w:rsidRPr="00236872">
        <w:rPr>
          <w:lang w:val="fr-CH"/>
        </w:rPr>
        <w:t xml:space="preserve"> la phase dans laquelle le pays se trouve par rapport aux efforts</w:t>
      </w:r>
      <w:r>
        <w:rPr>
          <w:lang w:val="fr-CH"/>
        </w:rPr>
        <w:t xml:space="preserve"> déployés en faveur</w:t>
      </w:r>
      <w:r w:rsidRPr="00236872">
        <w:rPr>
          <w:lang w:val="fr-CH"/>
        </w:rPr>
        <w:t xml:space="preserve"> de la REDD+, </w:t>
      </w:r>
      <w:r>
        <w:rPr>
          <w:lang w:val="fr-CH"/>
        </w:rPr>
        <w:t>certaines de ces informations</w:t>
      </w:r>
      <w:r w:rsidRPr="00236872">
        <w:rPr>
          <w:lang w:val="fr-CH"/>
        </w:rPr>
        <w:t xml:space="preserve"> peuvent </w:t>
      </w:r>
      <w:r>
        <w:rPr>
          <w:lang w:val="fr-CH"/>
        </w:rPr>
        <w:t>se révéler pertinentes. D’autres peuvent être trop détaillées et être davantage développées si la demande est approuvée</w:t>
      </w:r>
      <w:r w:rsidRPr="00105EE6">
        <w:rPr>
          <w:lang w:val="fr-FR"/>
        </w:rPr>
        <w:t>.</w:t>
      </w:r>
    </w:p>
  </w:footnote>
  <w:footnote w:id="5">
    <w:p w:rsidR="00872168" w:rsidRPr="00181524" w:rsidRDefault="00872168" w:rsidP="003C21F9">
      <w:pPr>
        <w:spacing w:after="100"/>
        <w:rPr>
          <w:lang w:val="fr-CH"/>
        </w:rPr>
      </w:pPr>
      <w:r>
        <w:rPr>
          <w:rStyle w:val="FootnoteReference"/>
        </w:rPr>
        <w:footnoteRef/>
      </w:r>
      <w:r w:rsidRPr="006250A2">
        <w:rPr>
          <w:lang w:val="fr-FR"/>
        </w:rPr>
        <w:t xml:space="preserve"> Il est conseillé de faire soumettre la demande par le </w:t>
      </w:r>
      <w:r>
        <w:rPr>
          <w:lang w:val="fr-FR"/>
        </w:rPr>
        <w:t>p</w:t>
      </w:r>
      <w:r w:rsidRPr="006250A2">
        <w:rPr>
          <w:lang w:val="fr-FR"/>
        </w:rPr>
        <w:t>oint fo</w:t>
      </w:r>
      <w:r>
        <w:rPr>
          <w:lang w:val="fr-FR"/>
        </w:rPr>
        <w:t xml:space="preserve">cal national. </w:t>
      </w:r>
      <w:r w:rsidRPr="006250A2">
        <w:rPr>
          <w:lang w:val="fr-FR"/>
        </w:rPr>
        <w:t>Voir également les notes de</w:t>
      </w:r>
      <w:r w:rsidR="00B40E52">
        <w:rPr>
          <w:lang w:val="fr-FR"/>
        </w:rPr>
        <w:t xml:space="preserve"> </w:t>
      </w:r>
      <w:r w:rsidRPr="006250A2">
        <w:rPr>
          <w:lang w:val="fr-FR"/>
        </w:rPr>
        <w:t xml:space="preserve">bas de </w:t>
      </w:r>
      <w:r>
        <w:rPr>
          <w:lang w:val="fr-FR"/>
        </w:rPr>
        <w:t>page en page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A19"/>
    <w:multiLevelType w:val="hybridMultilevel"/>
    <w:tmpl w:val="A7A272DC"/>
    <w:lvl w:ilvl="0" w:tplc="4B488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84917"/>
    <w:multiLevelType w:val="hybridMultilevel"/>
    <w:tmpl w:val="BBB806F0"/>
    <w:lvl w:ilvl="0" w:tplc="73E2331C">
      <w:start w:val="1"/>
      <w:numFmt w:val="bullet"/>
      <w:pStyle w:val="ListNumber"/>
      <w:lvlText w:val=""/>
      <w:lvlJc w:val="left"/>
      <w:pPr>
        <w:ind w:left="1091" w:hanging="360"/>
      </w:pPr>
      <w:rPr>
        <w:rFonts w:ascii="Symbol" w:hAnsi="Symbol" w:hint="default"/>
      </w:rPr>
    </w:lvl>
    <w:lvl w:ilvl="1" w:tplc="040C0003" w:tentative="1">
      <w:start w:val="1"/>
      <w:numFmt w:val="bullet"/>
      <w:lvlText w:val="o"/>
      <w:lvlJc w:val="left"/>
      <w:pPr>
        <w:ind w:left="1811" w:hanging="360"/>
      </w:pPr>
      <w:rPr>
        <w:rFonts w:ascii="Courier New" w:hAnsi="Courier New" w:cs="Courier New" w:hint="default"/>
      </w:rPr>
    </w:lvl>
    <w:lvl w:ilvl="2" w:tplc="040C0005" w:tentative="1">
      <w:start w:val="1"/>
      <w:numFmt w:val="bullet"/>
      <w:lvlText w:val=""/>
      <w:lvlJc w:val="left"/>
      <w:pPr>
        <w:ind w:left="2531" w:hanging="360"/>
      </w:pPr>
      <w:rPr>
        <w:rFonts w:ascii="Wingdings" w:hAnsi="Wingdings" w:hint="default"/>
      </w:rPr>
    </w:lvl>
    <w:lvl w:ilvl="3" w:tplc="040C0001" w:tentative="1">
      <w:start w:val="1"/>
      <w:numFmt w:val="bullet"/>
      <w:lvlText w:val=""/>
      <w:lvlJc w:val="left"/>
      <w:pPr>
        <w:ind w:left="3251" w:hanging="360"/>
      </w:pPr>
      <w:rPr>
        <w:rFonts w:ascii="Symbol" w:hAnsi="Symbol" w:hint="default"/>
      </w:rPr>
    </w:lvl>
    <w:lvl w:ilvl="4" w:tplc="040C0003" w:tentative="1">
      <w:start w:val="1"/>
      <w:numFmt w:val="bullet"/>
      <w:lvlText w:val="o"/>
      <w:lvlJc w:val="left"/>
      <w:pPr>
        <w:ind w:left="3971" w:hanging="360"/>
      </w:pPr>
      <w:rPr>
        <w:rFonts w:ascii="Courier New" w:hAnsi="Courier New" w:cs="Courier New" w:hint="default"/>
      </w:rPr>
    </w:lvl>
    <w:lvl w:ilvl="5" w:tplc="040C0005" w:tentative="1">
      <w:start w:val="1"/>
      <w:numFmt w:val="bullet"/>
      <w:lvlText w:val=""/>
      <w:lvlJc w:val="left"/>
      <w:pPr>
        <w:ind w:left="4691" w:hanging="360"/>
      </w:pPr>
      <w:rPr>
        <w:rFonts w:ascii="Wingdings" w:hAnsi="Wingdings" w:hint="default"/>
      </w:rPr>
    </w:lvl>
    <w:lvl w:ilvl="6" w:tplc="040C0001" w:tentative="1">
      <w:start w:val="1"/>
      <w:numFmt w:val="bullet"/>
      <w:lvlText w:val=""/>
      <w:lvlJc w:val="left"/>
      <w:pPr>
        <w:ind w:left="5411" w:hanging="360"/>
      </w:pPr>
      <w:rPr>
        <w:rFonts w:ascii="Symbol" w:hAnsi="Symbol" w:hint="default"/>
      </w:rPr>
    </w:lvl>
    <w:lvl w:ilvl="7" w:tplc="040C0003" w:tentative="1">
      <w:start w:val="1"/>
      <w:numFmt w:val="bullet"/>
      <w:lvlText w:val="o"/>
      <w:lvlJc w:val="left"/>
      <w:pPr>
        <w:ind w:left="6131" w:hanging="360"/>
      </w:pPr>
      <w:rPr>
        <w:rFonts w:ascii="Courier New" w:hAnsi="Courier New" w:cs="Courier New" w:hint="default"/>
      </w:rPr>
    </w:lvl>
    <w:lvl w:ilvl="8" w:tplc="040C0005" w:tentative="1">
      <w:start w:val="1"/>
      <w:numFmt w:val="bullet"/>
      <w:lvlText w:val=""/>
      <w:lvlJc w:val="left"/>
      <w:pPr>
        <w:ind w:left="6851" w:hanging="360"/>
      </w:pPr>
      <w:rPr>
        <w:rFonts w:ascii="Wingdings" w:hAnsi="Wingdings" w:hint="default"/>
      </w:rPr>
    </w:lvl>
  </w:abstractNum>
  <w:abstractNum w:abstractNumId="2">
    <w:nsid w:val="14815B6E"/>
    <w:multiLevelType w:val="hybridMultilevel"/>
    <w:tmpl w:val="BBD6B7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5521E"/>
    <w:multiLevelType w:val="hybridMultilevel"/>
    <w:tmpl w:val="28F6C53E"/>
    <w:lvl w:ilvl="0" w:tplc="921CA80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B24C0C"/>
    <w:multiLevelType w:val="hybridMultilevel"/>
    <w:tmpl w:val="670A496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FD7353A"/>
    <w:multiLevelType w:val="hybridMultilevel"/>
    <w:tmpl w:val="56E87516"/>
    <w:lvl w:ilvl="0" w:tplc="0CA6B39E">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364471"/>
    <w:multiLevelType w:val="hybridMultilevel"/>
    <w:tmpl w:val="D22C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4255C0"/>
    <w:multiLevelType w:val="hybridMultilevel"/>
    <w:tmpl w:val="FB06D640"/>
    <w:lvl w:ilvl="0" w:tplc="100C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6585373"/>
    <w:multiLevelType w:val="hybridMultilevel"/>
    <w:tmpl w:val="70200A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66A03CA"/>
    <w:multiLevelType w:val="hybridMultilevel"/>
    <w:tmpl w:val="1166B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9700588"/>
    <w:multiLevelType w:val="hybridMultilevel"/>
    <w:tmpl w:val="D376DDAA"/>
    <w:lvl w:ilvl="0" w:tplc="04090001">
      <w:start w:val="1"/>
      <w:numFmt w:val="bullet"/>
      <w:lvlText w:val=""/>
      <w:lvlJc w:val="left"/>
      <w:pPr>
        <w:ind w:left="720" w:hanging="360"/>
      </w:pPr>
      <w:rPr>
        <w:rFonts w:ascii="Symbol" w:hAnsi="Symbol" w:hint="default"/>
      </w:rPr>
    </w:lvl>
    <w:lvl w:ilvl="1" w:tplc="87E02BA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D016C"/>
    <w:multiLevelType w:val="hybridMultilevel"/>
    <w:tmpl w:val="6C02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361D8"/>
    <w:multiLevelType w:val="hybridMultilevel"/>
    <w:tmpl w:val="DC2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2688E"/>
    <w:multiLevelType w:val="hybridMultilevel"/>
    <w:tmpl w:val="9ED49A40"/>
    <w:lvl w:ilvl="0" w:tplc="2B3C1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A67FE7"/>
    <w:multiLevelType w:val="hybridMultilevel"/>
    <w:tmpl w:val="0C1C13D2"/>
    <w:lvl w:ilvl="0" w:tplc="100C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5FB447E"/>
    <w:multiLevelType w:val="hybridMultilevel"/>
    <w:tmpl w:val="2A5C6CB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4E1566"/>
    <w:multiLevelType w:val="hybridMultilevel"/>
    <w:tmpl w:val="512215B2"/>
    <w:lvl w:ilvl="0" w:tplc="0409000F">
      <w:start w:val="1"/>
      <w:numFmt w:val="decimal"/>
      <w:lvlText w:val="%1."/>
      <w:lvlJc w:val="left"/>
      <w:pPr>
        <w:ind w:left="72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498349C"/>
    <w:multiLevelType w:val="hybridMultilevel"/>
    <w:tmpl w:val="0C823568"/>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74DD0274"/>
    <w:multiLevelType w:val="hybridMultilevel"/>
    <w:tmpl w:val="575CB57E"/>
    <w:lvl w:ilvl="0" w:tplc="148C88E0">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65574E9"/>
    <w:multiLevelType w:val="hybridMultilevel"/>
    <w:tmpl w:val="B25619FE"/>
    <w:lvl w:ilvl="0" w:tplc="96BC4BD2">
      <w:start w:val="10"/>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B500927"/>
    <w:multiLevelType w:val="hybridMultilevel"/>
    <w:tmpl w:val="5B1E2500"/>
    <w:lvl w:ilvl="0" w:tplc="EB829F7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7"/>
  </w:num>
  <w:num w:numId="5">
    <w:abstractNumId w:val="19"/>
  </w:num>
  <w:num w:numId="6">
    <w:abstractNumId w:val="18"/>
  </w:num>
  <w:num w:numId="7">
    <w:abstractNumId w:val="20"/>
  </w:num>
  <w:num w:numId="8">
    <w:abstractNumId w:val="13"/>
  </w:num>
  <w:num w:numId="9">
    <w:abstractNumId w:val="3"/>
  </w:num>
  <w:num w:numId="10">
    <w:abstractNumId w:val="15"/>
  </w:num>
  <w:num w:numId="11">
    <w:abstractNumId w:val="17"/>
  </w:num>
  <w:num w:numId="12">
    <w:abstractNumId w:val="12"/>
  </w:num>
  <w:num w:numId="13">
    <w:abstractNumId w:val="11"/>
  </w:num>
  <w:num w:numId="14">
    <w:abstractNumId w:val="10"/>
  </w:num>
  <w:num w:numId="15">
    <w:abstractNumId w:val="1"/>
  </w:num>
  <w:num w:numId="16">
    <w:abstractNumId w:val="8"/>
  </w:num>
  <w:num w:numId="17">
    <w:abstractNumId w:val="9"/>
  </w:num>
  <w:num w:numId="18">
    <w:abstractNumId w:val="6"/>
  </w:num>
  <w:num w:numId="19">
    <w:abstractNumId w:val="16"/>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BB"/>
    <w:rsid w:val="00042DBA"/>
    <w:rsid w:val="000777CF"/>
    <w:rsid w:val="000A0836"/>
    <w:rsid w:val="000D7310"/>
    <w:rsid w:val="000F7AFE"/>
    <w:rsid w:val="00105EE6"/>
    <w:rsid w:val="00140D32"/>
    <w:rsid w:val="00167D93"/>
    <w:rsid w:val="0017134B"/>
    <w:rsid w:val="00176B09"/>
    <w:rsid w:val="00176B9C"/>
    <w:rsid w:val="00181524"/>
    <w:rsid w:val="001D36D4"/>
    <w:rsid w:val="001D56F8"/>
    <w:rsid w:val="001E7F31"/>
    <w:rsid w:val="00233A04"/>
    <w:rsid w:val="00236872"/>
    <w:rsid w:val="00242B10"/>
    <w:rsid w:val="00247397"/>
    <w:rsid w:val="00287AD8"/>
    <w:rsid w:val="002B591D"/>
    <w:rsid w:val="002D00DC"/>
    <w:rsid w:val="002D3717"/>
    <w:rsid w:val="002E4622"/>
    <w:rsid w:val="002F018E"/>
    <w:rsid w:val="00322D0F"/>
    <w:rsid w:val="00345688"/>
    <w:rsid w:val="00371EFE"/>
    <w:rsid w:val="003949A7"/>
    <w:rsid w:val="003C215F"/>
    <w:rsid w:val="003C21F9"/>
    <w:rsid w:val="003E743C"/>
    <w:rsid w:val="00440DB1"/>
    <w:rsid w:val="0045205D"/>
    <w:rsid w:val="0046565E"/>
    <w:rsid w:val="00465C55"/>
    <w:rsid w:val="00486DED"/>
    <w:rsid w:val="0049682B"/>
    <w:rsid w:val="004B31AB"/>
    <w:rsid w:val="004B3E90"/>
    <w:rsid w:val="004B5923"/>
    <w:rsid w:val="004B7F15"/>
    <w:rsid w:val="004D73EC"/>
    <w:rsid w:val="004F20CF"/>
    <w:rsid w:val="00546585"/>
    <w:rsid w:val="005B4F75"/>
    <w:rsid w:val="005B65D5"/>
    <w:rsid w:val="005C1D36"/>
    <w:rsid w:val="005D6E81"/>
    <w:rsid w:val="005E14A9"/>
    <w:rsid w:val="005F60C6"/>
    <w:rsid w:val="005F6CE7"/>
    <w:rsid w:val="006250A2"/>
    <w:rsid w:val="00626EB3"/>
    <w:rsid w:val="00633F20"/>
    <w:rsid w:val="006412A9"/>
    <w:rsid w:val="00654B2B"/>
    <w:rsid w:val="006A0188"/>
    <w:rsid w:val="006D2842"/>
    <w:rsid w:val="00701BB0"/>
    <w:rsid w:val="00705370"/>
    <w:rsid w:val="00746377"/>
    <w:rsid w:val="007548B3"/>
    <w:rsid w:val="007E5C86"/>
    <w:rsid w:val="00841C96"/>
    <w:rsid w:val="00872168"/>
    <w:rsid w:val="008921E7"/>
    <w:rsid w:val="008A11CD"/>
    <w:rsid w:val="008C7210"/>
    <w:rsid w:val="00921E5A"/>
    <w:rsid w:val="00933E95"/>
    <w:rsid w:val="0095422C"/>
    <w:rsid w:val="00977B3C"/>
    <w:rsid w:val="009B4319"/>
    <w:rsid w:val="00A30B44"/>
    <w:rsid w:val="00A91112"/>
    <w:rsid w:val="00B06CD4"/>
    <w:rsid w:val="00B234A4"/>
    <w:rsid w:val="00B23522"/>
    <w:rsid w:val="00B40E52"/>
    <w:rsid w:val="00B474C0"/>
    <w:rsid w:val="00B65A8C"/>
    <w:rsid w:val="00B97E82"/>
    <w:rsid w:val="00BA63C4"/>
    <w:rsid w:val="00BD4E7C"/>
    <w:rsid w:val="00BE7AC9"/>
    <w:rsid w:val="00C00826"/>
    <w:rsid w:val="00C018BB"/>
    <w:rsid w:val="00C76E63"/>
    <w:rsid w:val="00C97309"/>
    <w:rsid w:val="00CA3350"/>
    <w:rsid w:val="00CB7636"/>
    <w:rsid w:val="00D0786D"/>
    <w:rsid w:val="00D53866"/>
    <w:rsid w:val="00D55BA1"/>
    <w:rsid w:val="00D70C4B"/>
    <w:rsid w:val="00D7375C"/>
    <w:rsid w:val="00D76AA4"/>
    <w:rsid w:val="00D875F9"/>
    <w:rsid w:val="00DD2D08"/>
    <w:rsid w:val="00DD351F"/>
    <w:rsid w:val="00E11527"/>
    <w:rsid w:val="00E159B4"/>
    <w:rsid w:val="00E16BD6"/>
    <w:rsid w:val="00E42152"/>
    <w:rsid w:val="00E93138"/>
    <w:rsid w:val="00E96CBE"/>
    <w:rsid w:val="00EA730F"/>
    <w:rsid w:val="00EE4B71"/>
    <w:rsid w:val="00EE63EF"/>
    <w:rsid w:val="00EF3B31"/>
    <w:rsid w:val="00F030B1"/>
    <w:rsid w:val="00F2223F"/>
    <w:rsid w:val="00F8757D"/>
    <w:rsid w:val="00F94DD4"/>
    <w:rsid w:val="00FA3FC0"/>
    <w:rsid w:val="00FC306B"/>
    <w:rsid w:val="00FD17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BB"/>
    <w:pPr>
      <w:spacing w:after="200" w:line="276" w:lineRule="auto"/>
    </w:pPr>
    <w:rPr>
      <w:rFonts w:eastAsia="Times New Roman"/>
    </w:rPr>
  </w:style>
  <w:style w:type="paragraph" w:styleId="Heading1">
    <w:name w:val="heading 1"/>
    <w:basedOn w:val="Normal"/>
    <w:next w:val="Normal"/>
    <w:link w:val="Heading1Char"/>
    <w:uiPriority w:val="9"/>
    <w:qFormat/>
    <w:locked/>
    <w:rsid w:val="00E931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nhideWhenUsed/>
    <w:qFormat/>
    <w:locked/>
    <w:rsid w:val="00CA33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018BB"/>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locked/>
    <w:rsid w:val="00C018BB"/>
    <w:rPr>
      <w:rFonts w:eastAsia="Times New Roman"/>
      <w:sz w:val="20"/>
      <w:lang w:val="en-GB" w:eastAsia="en-GB"/>
    </w:rPr>
  </w:style>
  <w:style w:type="character" w:styleId="FootnoteReference">
    <w:name w:val="footnote reference"/>
    <w:basedOn w:val="DefaultParagraphFont"/>
    <w:uiPriority w:val="99"/>
    <w:semiHidden/>
    <w:rsid w:val="00C018BB"/>
    <w:rPr>
      <w:rFonts w:cs="Times New Roman"/>
      <w:vertAlign w:val="superscript"/>
    </w:rPr>
  </w:style>
  <w:style w:type="character" w:styleId="Hyperlink">
    <w:name w:val="Hyperlink"/>
    <w:basedOn w:val="DefaultParagraphFont"/>
    <w:uiPriority w:val="99"/>
    <w:rsid w:val="00C018BB"/>
    <w:rPr>
      <w:rFonts w:cs="Times New Roman"/>
      <w:color w:val="0000FF"/>
      <w:u w:val="single"/>
    </w:rPr>
  </w:style>
  <w:style w:type="paragraph" w:customStyle="1" w:styleId="Default">
    <w:name w:val="Default"/>
    <w:uiPriority w:val="99"/>
    <w:rsid w:val="00C018BB"/>
    <w:pPr>
      <w:autoSpaceDE w:val="0"/>
      <w:autoSpaceDN w:val="0"/>
      <w:adjustRightInd w:val="0"/>
    </w:pPr>
    <w:rPr>
      <w:rFonts w:eastAsia="Times New Roman" w:cs="Calibri"/>
      <w:color w:val="000000"/>
      <w:sz w:val="24"/>
      <w:szCs w:val="24"/>
    </w:rPr>
  </w:style>
  <w:style w:type="table" w:styleId="MediumGrid3-Accent1">
    <w:name w:val="Medium Grid 3 Accent 1"/>
    <w:basedOn w:val="TableNormal"/>
    <w:uiPriority w:val="99"/>
    <w:rsid w:val="00C018BB"/>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Grid">
    <w:name w:val="Table Grid"/>
    <w:basedOn w:val="TableNormal"/>
    <w:uiPriority w:val="99"/>
    <w:rsid w:val="00C018B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18BB"/>
    <w:pPr>
      <w:ind w:left="720"/>
      <w:contextualSpacing/>
    </w:pPr>
  </w:style>
  <w:style w:type="paragraph" w:styleId="NoSpacing">
    <w:name w:val="No Spacing"/>
    <w:uiPriority w:val="1"/>
    <w:qFormat/>
    <w:rsid w:val="00C018BB"/>
    <w:rPr>
      <w:noProof/>
      <w:lang w:val="fr-FR" w:eastAsia="en-US"/>
    </w:rPr>
  </w:style>
  <w:style w:type="character" w:styleId="CommentReference">
    <w:name w:val="annotation reference"/>
    <w:basedOn w:val="DefaultParagraphFont"/>
    <w:uiPriority w:val="99"/>
    <w:rsid w:val="00C018BB"/>
    <w:rPr>
      <w:rFonts w:cs="Times New Roman"/>
      <w:sz w:val="16"/>
    </w:rPr>
  </w:style>
  <w:style w:type="paragraph" w:styleId="CommentText">
    <w:name w:val="annotation text"/>
    <w:basedOn w:val="Normal"/>
    <w:link w:val="CommentTextChar"/>
    <w:uiPriority w:val="99"/>
    <w:rsid w:val="00C018BB"/>
    <w:pPr>
      <w:spacing w:line="240" w:lineRule="auto"/>
    </w:pPr>
    <w:rPr>
      <w:rFonts w:eastAsia="Calibri"/>
      <w:sz w:val="20"/>
      <w:szCs w:val="20"/>
    </w:rPr>
  </w:style>
  <w:style w:type="character" w:customStyle="1" w:styleId="CommentTextChar">
    <w:name w:val="Comment Text Char"/>
    <w:basedOn w:val="DefaultParagraphFont"/>
    <w:link w:val="CommentText"/>
    <w:uiPriority w:val="99"/>
    <w:locked/>
    <w:rsid w:val="00C018BB"/>
    <w:rPr>
      <w:rFonts w:eastAsia="Times New Roman"/>
      <w:sz w:val="20"/>
      <w:lang w:val="en-GB" w:eastAsia="en-GB"/>
    </w:rPr>
  </w:style>
  <w:style w:type="paragraph" w:styleId="CommentSubject">
    <w:name w:val="annotation subject"/>
    <w:basedOn w:val="CommentText"/>
    <w:next w:val="CommentText"/>
    <w:link w:val="CommentSubjectChar"/>
    <w:uiPriority w:val="99"/>
    <w:semiHidden/>
    <w:rsid w:val="00C018BB"/>
    <w:rPr>
      <w:b/>
      <w:bCs/>
    </w:rPr>
  </w:style>
  <w:style w:type="character" w:customStyle="1" w:styleId="CommentSubjectChar">
    <w:name w:val="Comment Subject Char"/>
    <w:basedOn w:val="CommentTextChar"/>
    <w:link w:val="CommentSubject"/>
    <w:uiPriority w:val="99"/>
    <w:semiHidden/>
    <w:locked/>
    <w:rsid w:val="00C018BB"/>
    <w:rPr>
      <w:rFonts w:eastAsia="Times New Roman"/>
      <w:b/>
      <w:sz w:val="20"/>
      <w:lang w:val="en-GB" w:eastAsia="en-GB"/>
    </w:rPr>
  </w:style>
  <w:style w:type="paragraph" w:styleId="BalloonText">
    <w:name w:val="Balloon Text"/>
    <w:basedOn w:val="Normal"/>
    <w:link w:val="BalloonTextChar"/>
    <w:uiPriority w:val="99"/>
    <w:semiHidden/>
    <w:rsid w:val="00C018B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C018BB"/>
    <w:rPr>
      <w:rFonts w:ascii="Tahoma" w:hAnsi="Tahoma"/>
      <w:sz w:val="16"/>
      <w:lang w:val="en-GB" w:eastAsia="en-GB"/>
    </w:rPr>
  </w:style>
  <w:style w:type="paragraph" w:styleId="Header">
    <w:name w:val="header"/>
    <w:basedOn w:val="Normal"/>
    <w:link w:val="HeaderChar"/>
    <w:uiPriority w:val="99"/>
    <w:rsid w:val="00C018B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018BB"/>
    <w:rPr>
      <w:rFonts w:eastAsia="Times New Roman"/>
      <w:lang w:val="en-GB" w:eastAsia="en-GB"/>
    </w:rPr>
  </w:style>
  <w:style w:type="paragraph" w:styleId="Footer">
    <w:name w:val="footer"/>
    <w:basedOn w:val="Normal"/>
    <w:link w:val="FooterChar"/>
    <w:uiPriority w:val="99"/>
    <w:rsid w:val="00C018B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018BB"/>
    <w:rPr>
      <w:rFonts w:eastAsia="Times New Roman"/>
      <w:lang w:val="en-GB" w:eastAsia="en-GB"/>
    </w:rPr>
  </w:style>
  <w:style w:type="character" w:customStyle="1" w:styleId="Heading1Char">
    <w:name w:val="Heading 1 Char"/>
    <w:basedOn w:val="DefaultParagraphFont"/>
    <w:link w:val="Heading1"/>
    <w:uiPriority w:val="9"/>
    <w:rsid w:val="00E93138"/>
    <w:rPr>
      <w:rFonts w:asciiTheme="majorHAnsi" w:eastAsiaTheme="majorEastAsia" w:hAnsiTheme="majorHAnsi" w:cstheme="majorBidi"/>
      <w:b/>
      <w:bCs/>
      <w:color w:val="365F91" w:themeColor="accent1" w:themeShade="BF"/>
      <w:sz w:val="28"/>
      <w:szCs w:val="28"/>
      <w:lang w:eastAsia="en-US"/>
    </w:rPr>
  </w:style>
  <w:style w:type="paragraph" w:styleId="EndnoteText">
    <w:name w:val="endnote text"/>
    <w:basedOn w:val="Normal"/>
    <w:link w:val="EndnoteTextChar"/>
    <w:uiPriority w:val="99"/>
    <w:unhideWhenUsed/>
    <w:rsid w:val="00CA3350"/>
    <w:pPr>
      <w:spacing w:after="0" w:line="240" w:lineRule="auto"/>
    </w:pPr>
    <w:rPr>
      <w:sz w:val="24"/>
      <w:szCs w:val="24"/>
    </w:rPr>
  </w:style>
  <w:style w:type="character" w:customStyle="1" w:styleId="EndnoteTextChar">
    <w:name w:val="Endnote Text Char"/>
    <w:basedOn w:val="DefaultParagraphFont"/>
    <w:link w:val="EndnoteText"/>
    <w:uiPriority w:val="99"/>
    <w:rsid w:val="00CA3350"/>
    <w:rPr>
      <w:rFonts w:eastAsia="Times New Roman"/>
      <w:sz w:val="24"/>
      <w:szCs w:val="24"/>
    </w:rPr>
  </w:style>
  <w:style w:type="character" w:styleId="EndnoteReference">
    <w:name w:val="endnote reference"/>
    <w:basedOn w:val="DefaultParagraphFont"/>
    <w:uiPriority w:val="99"/>
    <w:unhideWhenUsed/>
    <w:rsid w:val="00CA3350"/>
    <w:rPr>
      <w:vertAlign w:val="superscript"/>
    </w:rPr>
  </w:style>
  <w:style w:type="character" w:customStyle="1" w:styleId="Heading2Char">
    <w:name w:val="Heading 2 Char"/>
    <w:basedOn w:val="DefaultParagraphFont"/>
    <w:link w:val="Heading2"/>
    <w:rsid w:val="00CA3350"/>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rsid w:val="00CA3350"/>
    <w:rPr>
      <w:rFonts w:eastAsia="Times New Roman"/>
    </w:rPr>
  </w:style>
  <w:style w:type="paragraph" w:styleId="BodyText">
    <w:name w:val="Body Text"/>
    <w:basedOn w:val="Normal"/>
    <w:link w:val="BodyTextChar"/>
    <w:uiPriority w:val="99"/>
    <w:unhideWhenUsed/>
    <w:rsid w:val="00CA3350"/>
    <w:pPr>
      <w:spacing w:after="120" w:line="240" w:lineRule="auto"/>
    </w:pPr>
    <w:rPr>
      <w:rFonts w:ascii="Times New Roman" w:hAnsi="Times New Roman"/>
      <w:sz w:val="24"/>
      <w:szCs w:val="24"/>
      <w:lang w:val="fr-FR" w:eastAsia="fr-FR"/>
    </w:rPr>
  </w:style>
  <w:style w:type="character" w:customStyle="1" w:styleId="BodyTextChar">
    <w:name w:val="Body Text Char"/>
    <w:basedOn w:val="DefaultParagraphFont"/>
    <w:link w:val="BodyText"/>
    <w:uiPriority w:val="99"/>
    <w:rsid w:val="00CA3350"/>
    <w:rPr>
      <w:rFonts w:ascii="Times New Roman" w:eastAsia="Times New Roman" w:hAnsi="Times New Roman"/>
      <w:sz w:val="24"/>
      <w:szCs w:val="24"/>
      <w:lang w:val="fr-FR" w:eastAsia="fr-FR"/>
    </w:rPr>
  </w:style>
  <w:style w:type="paragraph" w:styleId="ListNumber">
    <w:name w:val="List Number"/>
    <w:basedOn w:val="Normal"/>
    <w:autoRedefine/>
    <w:uiPriority w:val="99"/>
    <w:unhideWhenUsed/>
    <w:qFormat/>
    <w:rsid w:val="00CA3350"/>
    <w:pPr>
      <w:numPr>
        <w:numId w:val="15"/>
      </w:numPr>
      <w:spacing w:before="120" w:after="0" w:line="240" w:lineRule="auto"/>
      <w:ind w:left="284" w:hanging="284"/>
      <w:jc w:val="both"/>
    </w:pPr>
    <w:rPr>
      <w:rFonts w:ascii="Garamond" w:eastAsiaTheme="minorHAnsi" w:hAnsi="Garamond" w:cstheme="minorBidi"/>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BB"/>
    <w:pPr>
      <w:spacing w:after="200" w:line="276" w:lineRule="auto"/>
    </w:pPr>
    <w:rPr>
      <w:rFonts w:eastAsia="Times New Roman"/>
    </w:rPr>
  </w:style>
  <w:style w:type="paragraph" w:styleId="Heading1">
    <w:name w:val="heading 1"/>
    <w:basedOn w:val="Normal"/>
    <w:next w:val="Normal"/>
    <w:link w:val="Heading1Char"/>
    <w:uiPriority w:val="9"/>
    <w:qFormat/>
    <w:locked/>
    <w:rsid w:val="00E931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nhideWhenUsed/>
    <w:qFormat/>
    <w:locked/>
    <w:rsid w:val="00CA33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018BB"/>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locked/>
    <w:rsid w:val="00C018BB"/>
    <w:rPr>
      <w:rFonts w:eastAsia="Times New Roman"/>
      <w:sz w:val="20"/>
      <w:lang w:val="en-GB" w:eastAsia="en-GB"/>
    </w:rPr>
  </w:style>
  <w:style w:type="character" w:styleId="FootnoteReference">
    <w:name w:val="footnote reference"/>
    <w:basedOn w:val="DefaultParagraphFont"/>
    <w:uiPriority w:val="99"/>
    <w:semiHidden/>
    <w:rsid w:val="00C018BB"/>
    <w:rPr>
      <w:rFonts w:cs="Times New Roman"/>
      <w:vertAlign w:val="superscript"/>
    </w:rPr>
  </w:style>
  <w:style w:type="character" w:styleId="Hyperlink">
    <w:name w:val="Hyperlink"/>
    <w:basedOn w:val="DefaultParagraphFont"/>
    <w:uiPriority w:val="99"/>
    <w:rsid w:val="00C018BB"/>
    <w:rPr>
      <w:rFonts w:cs="Times New Roman"/>
      <w:color w:val="0000FF"/>
      <w:u w:val="single"/>
    </w:rPr>
  </w:style>
  <w:style w:type="paragraph" w:customStyle="1" w:styleId="Default">
    <w:name w:val="Default"/>
    <w:uiPriority w:val="99"/>
    <w:rsid w:val="00C018BB"/>
    <w:pPr>
      <w:autoSpaceDE w:val="0"/>
      <w:autoSpaceDN w:val="0"/>
      <w:adjustRightInd w:val="0"/>
    </w:pPr>
    <w:rPr>
      <w:rFonts w:eastAsia="Times New Roman" w:cs="Calibri"/>
      <w:color w:val="000000"/>
      <w:sz w:val="24"/>
      <w:szCs w:val="24"/>
    </w:rPr>
  </w:style>
  <w:style w:type="table" w:styleId="MediumGrid3-Accent1">
    <w:name w:val="Medium Grid 3 Accent 1"/>
    <w:basedOn w:val="TableNormal"/>
    <w:uiPriority w:val="99"/>
    <w:rsid w:val="00C018BB"/>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Grid">
    <w:name w:val="Table Grid"/>
    <w:basedOn w:val="TableNormal"/>
    <w:uiPriority w:val="99"/>
    <w:rsid w:val="00C018B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18BB"/>
    <w:pPr>
      <w:ind w:left="720"/>
      <w:contextualSpacing/>
    </w:pPr>
  </w:style>
  <w:style w:type="paragraph" w:styleId="NoSpacing">
    <w:name w:val="No Spacing"/>
    <w:uiPriority w:val="1"/>
    <w:qFormat/>
    <w:rsid w:val="00C018BB"/>
    <w:rPr>
      <w:noProof/>
      <w:lang w:val="fr-FR" w:eastAsia="en-US"/>
    </w:rPr>
  </w:style>
  <w:style w:type="character" w:styleId="CommentReference">
    <w:name w:val="annotation reference"/>
    <w:basedOn w:val="DefaultParagraphFont"/>
    <w:uiPriority w:val="99"/>
    <w:rsid w:val="00C018BB"/>
    <w:rPr>
      <w:rFonts w:cs="Times New Roman"/>
      <w:sz w:val="16"/>
    </w:rPr>
  </w:style>
  <w:style w:type="paragraph" w:styleId="CommentText">
    <w:name w:val="annotation text"/>
    <w:basedOn w:val="Normal"/>
    <w:link w:val="CommentTextChar"/>
    <w:uiPriority w:val="99"/>
    <w:rsid w:val="00C018BB"/>
    <w:pPr>
      <w:spacing w:line="240" w:lineRule="auto"/>
    </w:pPr>
    <w:rPr>
      <w:rFonts w:eastAsia="Calibri"/>
      <w:sz w:val="20"/>
      <w:szCs w:val="20"/>
    </w:rPr>
  </w:style>
  <w:style w:type="character" w:customStyle="1" w:styleId="CommentTextChar">
    <w:name w:val="Comment Text Char"/>
    <w:basedOn w:val="DefaultParagraphFont"/>
    <w:link w:val="CommentText"/>
    <w:uiPriority w:val="99"/>
    <w:locked/>
    <w:rsid w:val="00C018BB"/>
    <w:rPr>
      <w:rFonts w:eastAsia="Times New Roman"/>
      <w:sz w:val="20"/>
      <w:lang w:val="en-GB" w:eastAsia="en-GB"/>
    </w:rPr>
  </w:style>
  <w:style w:type="paragraph" w:styleId="CommentSubject">
    <w:name w:val="annotation subject"/>
    <w:basedOn w:val="CommentText"/>
    <w:next w:val="CommentText"/>
    <w:link w:val="CommentSubjectChar"/>
    <w:uiPriority w:val="99"/>
    <w:semiHidden/>
    <w:rsid w:val="00C018BB"/>
    <w:rPr>
      <w:b/>
      <w:bCs/>
    </w:rPr>
  </w:style>
  <w:style w:type="character" w:customStyle="1" w:styleId="CommentSubjectChar">
    <w:name w:val="Comment Subject Char"/>
    <w:basedOn w:val="CommentTextChar"/>
    <w:link w:val="CommentSubject"/>
    <w:uiPriority w:val="99"/>
    <w:semiHidden/>
    <w:locked/>
    <w:rsid w:val="00C018BB"/>
    <w:rPr>
      <w:rFonts w:eastAsia="Times New Roman"/>
      <w:b/>
      <w:sz w:val="20"/>
      <w:lang w:val="en-GB" w:eastAsia="en-GB"/>
    </w:rPr>
  </w:style>
  <w:style w:type="paragraph" w:styleId="BalloonText">
    <w:name w:val="Balloon Text"/>
    <w:basedOn w:val="Normal"/>
    <w:link w:val="BalloonTextChar"/>
    <w:uiPriority w:val="99"/>
    <w:semiHidden/>
    <w:rsid w:val="00C018B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C018BB"/>
    <w:rPr>
      <w:rFonts w:ascii="Tahoma" w:hAnsi="Tahoma"/>
      <w:sz w:val="16"/>
      <w:lang w:val="en-GB" w:eastAsia="en-GB"/>
    </w:rPr>
  </w:style>
  <w:style w:type="paragraph" w:styleId="Header">
    <w:name w:val="header"/>
    <w:basedOn w:val="Normal"/>
    <w:link w:val="HeaderChar"/>
    <w:uiPriority w:val="99"/>
    <w:rsid w:val="00C018B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018BB"/>
    <w:rPr>
      <w:rFonts w:eastAsia="Times New Roman"/>
      <w:lang w:val="en-GB" w:eastAsia="en-GB"/>
    </w:rPr>
  </w:style>
  <w:style w:type="paragraph" w:styleId="Footer">
    <w:name w:val="footer"/>
    <w:basedOn w:val="Normal"/>
    <w:link w:val="FooterChar"/>
    <w:uiPriority w:val="99"/>
    <w:rsid w:val="00C018B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018BB"/>
    <w:rPr>
      <w:rFonts w:eastAsia="Times New Roman"/>
      <w:lang w:val="en-GB" w:eastAsia="en-GB"/>
    </w:rPr>
  </w:style>
  <w:style w:type="character" w:customStyle="1" w:styleId="Heading1Char">
    <w:name w:val="Heading 1 Char"/>
    <w:basedOn w:val="DefaultParagraphFont"/>
    <w:link w:val="Heading1"/>
    <w:uiPriority w:val="9"/>
    <w:rsid w:val="00E93138"/>
    <w:rPr>
      <w:rFonts w:asciiTheme="majorHAnsi" w:eastAsiaTheme="majorEastAsia" w:hAnsiTheme="majorHAnsi" w:cstheme="majorBidi"/>
      <w:b/>
      <w:bCs/>
      <w:color w:val="365F91" w:themeColor="accent1" w:themeShade="BF"/>
      <w:sz w:val="28"/>
      <w:szCs w:val="28"/>
      <w:lang w:eastAsia="en-US"/>
    </w:rPr>
  </w:style>
  <w:style w:type="paragraph" w:styleId="EndnoteText">
    <w:name w:val="endnote text"/>
    <w:basedOn w:val="Normal"/>
    <w:link w:val="EndnoteTextChar"/>
    <w:uiPriority w:val="99"/>
    <w:unhideWhenUsed/>
    <w:rsid w:val="00CA3350"/>
    <w:pPr>
      <w:spacing w:after="0" w:line="240" w:lineRule="auto"/>
    </w:pPr>
    <w:rPr>
      <w:sz w:val="24"/>
      <w:szCs w:val="24"/>
    </w:rPr>
  </w:style>
  <w:style w:type="character" w:customStyle="1" w:styleId="EndnoteTextChar">
    <w:name w:val="Endnote Text Char"/>
    <w:basedOn w:val="DefaultParagraphFont"/>
    <w:link w:val="EndnoteText"/>
    <w:uiPriority w:val="99"/>
    <w:rsid w:val="00CA3350"/>
    <w:rPr>
      <w:rFonts w:eastAsia="Times New Roman"/>
      <w:sz w:val="24"/>
      <w:szCs w:val="24"/>
    </w:rPr>
  </w:style>
  <w:style w:type="character" w:styleId="EndnoteReference">
    <w:name w:val="endnote reference"/>
    <w:basedOn w:val="DefaultParagraphFont"/>
    <w:uiPriority w:val="99"/>
    <w:unhideWhenUsed/>
    <w:rsid w:val="00CA3350"/>
    <w:rPr>
      <w:vertAlign w:val="superscript"/>
    </w:rPr>
  </w:style>
  <w:style w:type="character" w:customStyle="1" w:styleId="Heading2Char">
    <w:name w:val="Heading 2 Char"/>
    <w:basedOn w:val="DefaultParagraphFont"/>
    <w:link w:val="Heading2"/>
    <w:rsid w:val="00CA3350"/>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rsid w:val="00CA3350"/>
    <w:rPr>
      <w:rFonts w:eastAsia="Times New Roman"/>
    </w:rPr>
  </w:style>
  <w:style w:type="paragraph" w:styleId="BodyText">
    <w:name w:val="Body Text"/>
    <w:basedOn w:val="Normal"/>
    <w:link w:val="BodyTextChar"/>
    <w:uiPriority w:val="99"/>
    <w:unhideWhenUsed/>
    <w:rsid w:val="00CA3350"/>
    <w:pPr>
      <w:spacing w:after="120" w:line="240" w:lineRule="auto"/>
    </w:pPr>
    <w:rPr>
      <w:rFonts w:ascii="Times New Roman" w:hAnsi="Times New Roman"/>
      <w:sz w:val="24"/>
      <w:szCs w:val="24"/>
      <w:lang w:val="fr-FR" w:eastAsia="fr-FR"/>
    </w:rPr>
  </w:style>
  <w:style w:type="character" w:customStyle="1" w:styleId="BodyTextChar">
    <w:name w:val="Body Text Char"/>
    <w:basedOn w:val="DefaultParagraphFont"/>
    <w:link w:val="BodyText"/>
    <w:uiPriority w:val="99"/>
    <w:rsid w:val="00CA3350"/>
    <w:rPr>
      <w:rFonts w:ascii="Times New Roman" w:eastAsia="Times New Roman" w:hAnsi="Times New Roman"/>
      <w:sz w:val="24"/>
      <w:szCs w:val="24"/>
      <w:lang w:val="fr-FR" w:eastAsia="fr-FR"/>
    </w:rPr>
  </w:style>
  <w:style w:type="paragraph" w:styleId="ListNumber">
    <w:name w:val="List Number"/>
    <w:basedOn w:val="Normal"/>
    <w:autoRedefine/>
    <w:uiPriority w:val="99"/>
    <w:unhideWhenUsed/>
    <w:qFormat/>
    <w:rsid w:val="00CA3350"/>
    <w:pPr>
      <w:numPr>
        <w:numId w:val="15"/>
      </w:numPr>
      <w:spacing w:before="120" w:after="0" w:line="240" w:lineRule="auto"/>
      <w:ind w:left="284" w:hanging="284"/>
      <w:jc w:val="both"/>
    </w:pPr>
    <w:rPr>
      <w:rFonts w:ascii="Garamond" w:eastAsiaTheme="minorHAnsi" w:hAnsi="Garamond" w:cstheme="minorBid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un-redd@un-redd.org" TargetMode="External"/><Relationship Id="rId1" Type="http://schemas.openxmlformats.org/officeDocument/2006/relationships/hyperlink" Target="http://www.un-redd.org/PolicyBoard/8thPolicyBoard/tabid/78556/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2917</Words>
  <Characters>16628</Characters>
  <Application>Microsoft Office Word</Application>
  <DocSecurity>4</DocSecurity>
  <Lines>138</Lines>
  <Paragraphs>39</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REQUEST FOR TARGETED SUPPORT</vt:lpstr>
      <vt:lpstr>REQUEST FOR TARGETED SUPPORT</vt:lpstr>
      <vt:lpstr>Note conceptuelle pour un appui ciblé foncier à la préparation pour la REDD+ en </vt:lpstr>
    </vt:vector>
  </TitlesOfParts>
  <Company>UNDP</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TARGETED SUPPORT</dc:title>
  <dc:creator>Helena ERIKSSON</dc:creator>
  <cp:lastModifiedBy>Solongo ZULBAATAR</cp:lastModifiedBy>
  <cp:revision>2</cp:revision>
  <cp:lastPrinted>2014-06-29T23:55:00Z</cp:lastPrinted>
  <dcterms:created xsi:type="dcterms:W3CDTF">2014-12-23T09:33:00Z</dcterms:created>
  <dcterms:modified xsi:type="dcterms:W3CDTF">2014-12-23T09:33:00Z</dcterms:modified>
</cp:coreProperties>
</file>