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FA86D" w14:textId="77777777" w:rsidR="00435D71" w:rsidRPr="00A35A4D" w:rsidRDefault="00435D71">
      <w:pPr>
        <w:rPr>
          <w:rFonts w:ascii="Bookman Old Style" w:hAnsi="Bookman Old Style"/>
        </w:rPr>
      </w:pP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7470"/>
      </w:tblGrid>
      <w:tr w:rsidR="009D7214" w:rsidRPr="00A35A4D" w14:paraId="5662B17C" w14:textId="77777777">
        <w:trPr>
          <w:trHeight w:val="1506"/>
        </w:trPr>
        <w:tc>
          <w:tcPr>
            <w:tcW w:w="2790" w:type="dxa"/>
          </w:tcPr>
          <w:p w14:paraId="0FBD4111" w14:textId="77777777" w:rsidR="00435D71" w:rsidRPr="00A35A4D" w:rsidRDefault="00B625C9" w:rsidP="009D7214">
            <w:pPr>
              <w:tabs>
                <w:tab w:val="center" w:pos="4680"/>
              </w:tabs>
              <w:jc w:val="both"/>
              <w:rPr>
                <w:rFonts w:ascii="Bookman Old Style" w:hAnsi="Bookman Old Style"/>
                <w:b/>
              </w:rPr>
            </w:pPr>
            <w:r>
              <w:rPr>
                <w:rFonts w:ascii="Bookman Old Style" w:hAnsi="Bookman Old Style"/>
                <w:b/>
                <w:noProof/>
                <w:lang w:eastAsia="en-US" w:bidi="ar-SA"/>
              </w:rPr>
              <w:drawing>
                <wp:inline distT="0" distB="0" distL="0" distR="0" wp14:anchorId="5F8D0667" wp14:editId="15A2919D">
                  <wp:extent cx="1514475" cy="735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14475" cy="735330"/>
                          </a:xfrm>
                          <a:prstGeom prst="rect">
                            <a:avLst/>
                          </a:prstGeom>
                          <a:noFill/>
                          <a:ln w="9525">
                            <a:noFill/>
                            <a:miter lim="800000"/>
                            <a:headEnd/>
                            <a:tailEnd/>
                          </a:ln>
                        </pic:spPr>
                      </pic:pic>
                    </a:graphicData>
                  </a:graphic>
                </wp:inline>
              </w:drawing>
            </w:r>
          </w:p>
        </w:tc>
        <w:tc>
          <w:tcPr>
            <w:tcW w:w="7470" w:type="dxa"/>
          </w:tcPr>
          <w:p w14:paraId="6A75F4B4" w14:textId="77777777" w:rsidR="00337C40" w:rsidRDefault="00B625C9" w:rsidP="009D7214">
            <w:pPr>
              <w:spacing w:line="360" w:lineRule="auto"/>
              <w:jc w:val="center"/>
              <w:rPr>
                <w:noProof/>
              </w:rPr>
            </w:pPr>
            <w:r>
              <w:rPr>
                <w:noProof/>
                <w:lang w:eastAsia="en-US" w:bidi="ar-SA"/>
              </w:rPr>
              <w:drawing>
                <wp:inline distT="0" distB="0" distL="0" distR="0" wp14:anchorId="47772CD3" wp14:editId="41FF7D68">
                  <wp:extent cx="952500" cy="962025"/>
                  <wp:effectExtent l="19050" t="0" r="0" b="0"/>
                  <wp:docPr id="2" name="Picture 2" descr="go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p-logo"/>
                          <pic:cNvPicPr>
                            <a:picLocks noChangeAspect="1" noChangeArrowheads="1"/>
                          </pic:cNvPicPr>
                        </pic:nvPicPr>
                        <pic:blipFill>
                          <a:blip r:embed="rId7"/>
                          <a:srcRect/>
                          <a:stretch>
                            <a:fillRect/>
                          </a:stretch>
                        </pic:blipFill>
                        <pic:spPr bwMode="auto">
                          <a:xfrm>
                            <a:off x="0" y="0"/>
                            <a:ext cx="952500" cy="962025"/>
                          </a:xfrm>
                          <a:prstGeom prst="rect">
                            <a:avLst/>
                          </a:prstGeom>
                          <a:noFill/>
                          <a:ln w="9525">
                            <a:noFill/>
                            <a:miter lim="800000"/>
                            <a:headEnd/>
                            <a:tailEnd/>
                          </a:ln>
                        </pic:spPr>
                      </pic:pic>
                    </a:graphicData>
                  </a:graphic>
                </wp:inline>
              </w:drawing>
            </w:r>
          </w:p>
          <w:p w14:paraId="4A397AD3" w14:textId="77777777" w:rsidR="009D7214" w:rsidRPr="00A35A4D" w:rsidRDefault="009D7214" w:rsidP="009D7214">
            <w:pPr>
              <w:spacing w:line="360" w:lineRule="auto"/>
              <w:jc w:val="center"/>
              <w:rPr>
                <w:rFonts w:ascii="Bookman Old Style" w:hAnsi="Bookman Old Style"/>
                <w:b/>
                <w:sz w:val="28"/>
                <w:szCs w:val="28"/>
              </w:rPr>
            </w:pPr>
            <w:r w:rsidRPr="00A35A4D">
              <w:rPr>
                <w:rFonts w:ascii="Bookman Old Style" w:hAnsi="Bookman Old Style"/>
                <w:b/>
                <w:sz w:val="28"/>
                <w:szCs w:val="28"/>
              </w:rPr>
              <w:t xml:space="preserve">GOVERNMENT OF </w:t>
            </w:r>
            <w:r w:rsidR="00C22C37">
              <w:rPr>
                <w:rFonts w:ascii="Bookman Old Style" w:hAnsi="Bookman Old Style"/>
                <w:b/>
                <w:sz w:val="28"/>
                <w:szCs w:val="28"/>
              </w:rPr>
              <w:t>Pakistan</w:t>
            </w:r>
          </w:p>
          <w:p w14:paraId="533293F3" w14:textId="4A3E0273" w:rsidR="009D7214" w:rsidRPr="00851802" w:rsidRDefault="009D7214" w:rsidP="00851802">
            <w:pPr>
              <w:spacing w:line="360" w:lineRule="auto"/>
              <w:jc w:val="center"/>
              <w:rPr>
                <w:rFonts w:ascii="Bookman Old Style" w:hAnsi="Bookman Old Style"/>
                <w:b/>
                <w:sz w:val="28"/>
                <w:szCs w:val="28"/>
              </w:rPr>
            </w:pPr>
            <w:r w:rsidRPr="00A35A4D">
              <w:rPr>
                <w:rFonts w:ascii="Bookman Old Style" w:hAnsi="Bookman Old Style"/>
                <w:b/>
                <w:sz w:val="28"/>
                <w:szCs w:val="28"/>
              </w:rPr>
              <w:t xml:space="preserve">MINISTRY OF </w:t>
            </w:r>
            <w:r w:rsidR="00851802">
              <w:rPr>
                <w:rFonts w:ascii="Bookman Old Style" w:hAnsi="Bookman Old Style"/>
                <w:b/>
                <w:sz w:val="28"/>
                <w:szCs w:val="28"/>
              </w:rPr>
              <w:t>CLIMATE CHANGE</w:t>
            </w:r>
          </w:p>
        </w:tc>
      </w:tr>
      <w:tr w:rsidR="009D7214" w:rsidRPr="00A35A4D" w14:paraId="4FE2968E" w14:textId="77777777">
        <w:tc>
          <w:tcPr>
            <w:tcW w:w="10260" w:type="dxa"/>
            <w:gridSpan w:val="2"/>
          </w:tcPr>
          <w:p w14:paraId="233FC494" w14:textId="77777777" w:rsidR="009D7214" w:rsidRPr="00A35A4D" w:rsidRDefault="009D7214" w:rsidP="009D7214">
            <w:pPr>
              <w:tabs>
                <w:tab w:val="center" w:pos="4680"/>
              </w:tabs>
              <w:jc w:val="center"/>
              <w:rPr>
                <w:rFonts w:ascii="Bookman Old Style" w:hAnsi="Bookman Old Style"/>
                <w:b/>
                <w:sz w:val="28"/>
                <w:szCs w:val="28"/>
              </w:rPr>
            </w:pPr>
          </w:p>
          <w:p w14:paraId="60653622" w14:textId="77777777" w:rsidR="009D7214" w:rsidRPr="00A35A4D" w:rsidRDefault="009D7214" w:rsidP="009D7214">
            <w:pPr>
              <w:tabs>
                <w:tab w:val="center" w:pos="4680"/>
              </w:tabs>
              <w:jc w:val="center"/>
              <w:rPr>
                <w:rFonts w:ascii="Bookman Old Style" w:hAnsi="Bookman Old Style"/>
                <w:b/>
                <w:sz w:val="28"/>
                <w:szCs w:val="28"/>
              </w:rPr>
            </w:pPr>
            <w:r w:rsidRPr="00A35A4D">
              <w:rPr>
                <w:rFonts w:ascii="Bookman Old Style" w:hAnsi="Bookman Old Style"/>
                <w:b/>
                <w:sz w:val="28"/>
                <w:szCs w:val="28"/>
              </w:rPr>
              <w:t>Proposal submission to UN-REDD Programme Targeted Support</w:t>
            </w:r>
          </w:p>
          <w:p w14:paraId="25DAA46C" w14:textId="77777777" w:rsidR="009D7214" w:rsidRPr="00A35A4D" w:rsidRDefault="009D7214" w:rsidP="009D7214">
            <w:pPr>
              <w:tabs>
                <w:tab w:val="center" w:pos="4680"/>
              </w:tabs>
              <w:jc w:val="center"/>
              <w:rPr>
                <w:rFonts w:ascii="Bookman Old Style" w:hAnsi="Bookman Old Style"/>
                <w:b/>
                <w:sz w:val="28"/>
                <w:szCs w:val="28"/>
              </w:rPr>
            </w:pPr>
          </w:p>
        </w:tc>
      </w:tr>
      <w:tr w:rsidR="009D7214" w:rsidRPr="00A35A4D" w14:paraId="72F7EB4D" w14:textId="77777777">
        <w:tc>
          <w:tcPr>
            <w:tcW w:w="10260" w:type="dxa"/>
            <w:gridSpan w:val="2"/>
          </w:tcPr>
          <w:p w14:paraId="42B69ED3" w14:textId="4D57F97D" w:rsidR="009D7214" w:rsidRPr="00A35A4D" w:rsidRDefault="00E15313" w:rsidP="009D7214">
            <w:pPr>
              <w:tabs>
                <w:tab w:val="center" w:pos="4680"/>
              </w:tabs>
              <w:jc w:val="center"/>
              <w:rPr>
                <w:rFonts w:ascii="Bookman Old Style" w:hAnsi="Bookman Old Style"/>
                <w:b/>
                <w:sz w:val="28"/>
                <w:szCs w:val="28"/>
              </w:rPr>
            </w:pPr>
            <w:r>
              <w:rPr>
                <w:rFonts w:ascii="Bookman Old Style" w:hAnsi="Bookman Old Style"/>
                <w:b/>
                <w:sz w:val="28"/>
                <w:szCs w:val="28"/>
              </w:rPr>
              <w:t>Nov</w:t>
            </w:r>
            <w:r w:rsidR="002A4A0B">
              <w:rPr>
                <w:rFonts w:ascii="Bookman Old Style" w:hAnsi="Bookman Old Style"/>
                <w:b/>
                <w:sz w:val="28"/>
                <w:szCs w:val="28"/>
              </w:rPr>
              <w:t>ember</w:t>
            </w:r>
            <w:r w:rsidR="009D7214" w:rsidRPr="00A35A4D">
              <w:rPr>
                <w:rFonts w:ascii="Bookman Old Style" w:hAnsi="Bookman Old Style"/>
                <w:b/>
                <w:sz w:val="28"/>
                <w:szCs w:val="28"/>
              </w:rPr>
              <w:t xml:space="preserve"> 2012</w:t>
            </w:r>
          </w:p>
        </w:tc>
      </w:tr>
    </w:tbl>
    <w:p w14:paraId="2C0AE355" w14:textId="77777777" w:rsidR="009D7214" w:rsidRPr="00A35A4D" w:rsidRDefault="009D7214">
      <w:pPr>
        <w:rPr>
          <w:rFonts w:ascii="Bookman Old Style" w:hAnsi="Bookman Old Style"/>
        </w:rPr>
      </w:pPr>
    </w:p>
    <w:tbl>
      <w:tblPr>
        <w:tblW w:w="566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1"/>
        <w:gridCol w:w="3509"/>
      </w:tblGrid>
      <w:tr w:rsidR="009D7214" w:rsidRPr="00A35A4D" w14:paraId="71ABEB8D" w14:textId="77777777">
        <w:tc>
          <w:tcPr>
            <w:tcW w:w="3290" w:type="pct"/>
            <w:vAlign w:val="bottom"/>
          </w:tcPr>
          <w:p w14:paraId="38BFFF2F" w14:textId="348FD876" w:rsidR="009D7214" w:rsidRPr="00851802" w:rsidRDefault="009D7214" w:rsidP="00C22C37">
            <w:pPr>
              <w:spacing w:line="276" w:lineRule="auto"/>
              <w:rPr>
                <w:rFonts w:cs="Times New Roman"/>
              </w:rPr>
            </w:pPr>
            <w:r w:rsidRPr="00851802">
              <w:rPr>
                <w:rFonts w:cs="Times New Roman"/>
                <w:b/>
              </w:rPr>
              <w:t>Contact:</w:t>
            </w:r>
            <w:r w:rsidRPr="00851802">
              <w:rPr>
                <w:rFonts w:cs="Times New Roman"/>
              </w:rPr>
              <w:t xml:space="preserve"> </w:t>
            </w:r>
            <w:r w:rsidR="00492F09" w:rsidRPr="00851802">
              <w:rPr>
                <w:rFonts w:cs="Times New Roman"/>
              </w:rPr>
              <w:t xml:space="preserve">Syed </w:t>
            </w:r>
            <w:proofErr w:type="spellStart"/>
            <w:r w:rsidR="00492F09" w:rsidRPr="00851802">
              <w:rPr>
                <w:rFonts w:cs="Times New Roman"/>
              </w:rPr>
              <w:t>Mahmoo</w:t>
            </w:r>
            <w:r w:rsidR="002A4A0B" w:rsidRPr="00851802">
              <w:rPr>
                <w:rFonts w:cs="Times New Roman"/>
              </w:rPr>
              <w:t>d</w:t>
            </w:r>
            <w:proofErr w:type="spellEnd"/>
            <w:r w:rsidR="002A4A0B" w:rsidRPr="00851802">
              <w:rPr>
                <w:rFonts w:cs="Times New Roman"/>
              </w:rPr>
              <w:t xml:space="preserve"> Nasir</w:t>
            </w:r>
          </w:p>
        </w:tc>
        <w:tc>
          <w:tcPr>
            <w:tcW w:w="1710" w:type="pct"/>
            <w:vAlign w:val="bottom"/>
          </w:tcPr>
          <w:p w14:paraId="38AD769B" w14:textId="77777777" w:rsidR="009D7214" w:rsidRPr="00851802" w:rsidRDefault="00C22C37" w:rsidP="009D7214">
            <w:pPr>
              <w:spacing w:line="276" w:lineRule="auto"/>
              <w:rPr>
                <w:rFonts w:cs="Times New Roman"/>
              </w:rPr>
            </w:pPr>
            <w:r w:rsidRPr="00851802">
              <w:rPr>
                <w:rFonts w:cs="Times New Roman"/>
                <w:b/>
              </w:rPr>
              <w:t>Email</w:t>
            </w:r>
            <w:r w:rsidR="002A4A0B" w:rsidRPr="00851802">
              <w:rPr>
                <w:rFonts w:cs="Times New Roman"/>
                <w:b/>
              </w:rPr>
              <w:t>:</w:t>
            </w:r>
            <w:r w:rsidR="002A4A0B" w:rsidRPr="00851802">
              <w:rPr>
                <w:rFonts w:cs="Times New Roman"/>
              </w:rPr>
              <w:t xml:space="preserve"> </w:t>
            </w:r>
            <w:hyperlink r:id="rId8" w:history="1">
              <w:r w:rsidR="002A4A0B" w:rsidRPr="00851802">
                <w:rPr>
                  <w:rStyle w:val="Hyperlink"/>
                  <w:rFonts w:cs="Times New Roman"/>
                </w:rPr>
                <w:t>mnasirn@yahoo.com</w:t>
              </w:r>
            </w:hyperlink>
            <w:r w:rsidR="002A4A0B" w:rsidRPr="00851802">
              <w:rPr>
                <w:rFonts w:cs="Times New Roman"/>
              </w:rPr>
              <w:t xml:space="preserve"> </w:t>
            </w:r>
          </w:p>
        </w:tc>
      </w:tr>
      <w:tr w:rsidR="009D7214" w:rsidRPr="00A35A4D" w14:paraId="1ED2D451" w14:textId="77777777">
        <w:tc>
          <w:tcPr>
            <w:tcW w:w="3290" w:type="pct"/>
            <w:vAlign w:val="bottom"/>
          </w:tcPr>
          <w:p w14:paraId="08B2DCA2" w14:textId="7055B12D" w:rsidR="00492F09" w:rsidRPr="00851802" w:rsidRDefault="00C22C37" w:rsidP="009D7214">
            <w:pPr>
              <w:spacing w:line="276" w:lineRule="auto"/>
              <w:rPr>
                <w:rFonts w:cs="Times New Roman"/>
                <w:b/>
                <w:lang w:val="it-IT"/>
              </w:rPr>
            </w:pPr>
            <w:proofErr w:type="spellStart"/>
            <w:r w:rsidRPr="00851802">
              <w:rPr>
                <w:rFonts w:cs="Times New Roman"/>
                <w:b/>
                <w:lang w:val="it-IT"/>
              </w:rPr>
              <w:t>Address</w:t>
            </w:r>
            <w:proofErr w:type="spellEnd"/>
            <w:r w:rsidR="002A4A0B" w:rsidRPr="00851802">
              <w:rPr>
                <w:rFonts w:cs="Times New Roman"/>
                <w:b/>
                <w:lang w:val="it-IT"/>
              </w:rPr>
              <w:t xml:space="preserve">: </w:t>
            </w:r>
          </w:p>
          <w:p w14:paraId="0D7008A7" w14:textId="78EF3CA7" w:rsidR="009D7214" w:rsidRPr="00851802" w:rsidRDefault="00492F09" w:rsidP="009D7214">
            <w:pPr>
              <w:spacing w:line="276" w:lineRule="auto"/>
              <w:rPr>
                <w:rFonts w:cs="Times New Roman"/>
                <w:lang w:val="it-IT"/>
              </w:rPr>
            </w:pPr>
            <w:r w:rsidRPr="00851802">
              <w:rPr>
                <w:rFonts w:cs="Times New Roman"/>
                <w:lang w:val="it-IT"/>
              </w:rPr>
              <w:t xml:space="preserve">Office of the </w:t>
            </w:r>
            <w:proofErr w:type="spellStart"/>
            <w:r w:rsidRPr="00851802">
              <w:rPr>
                <w:rFonts w:cs="Times New Roman"/>
                <w:lang w:val="it-IT"/>
              </w:rPr>
              <w:t>Inspector</w:t>
            </w:r>
            <w:proofErr w:type="spellEnd"/>
            <w:r w:rsidRPr="00851802">
              <w:rPr>
                <w:rFonts w:cs="Times New Roman"/>
                <w:lang w:val="it-IT"/>
              </w:rPr>
              <w:t xml:space="preserve"> General of </w:t>
            </w:r>
            <w:proofErr w:type="spellStart"/>
            <w:r w:rsidRPr="00851802">
              <w:rPr>
                <w:rFonts w:cs="Times New Roman"/>
                <w:lang w:val="it-IT"/>
              </w:rPr>
              <w:t>Forests</w:t>
            </w:r>
            <w:proofErr w:type="spellEnd"/>
            <w:r w:rsidRPr="00851802">
              <w:rPr>
                <w:rFonts w:cs="Times New Roman"/>
                <w:lang w:val="it-IT"/>
              </w:rPr>
              <w:t>,</w:t>
            </w:r>
          </w:p>
          <w:p w14:paraId="620A397D" w14:textId="77777777" w:rsidR="00492F09" w:rsidRPr="00851802" w:rsidRDefault="00492F09" w:rsidP="009D7214">
            <w:pPr>
              <w:spacing w:line="276" w:lineRule="auto"/>
              <w:rPr>
                <w:rFonts w:cs="Times New Roman"/>
                <w:lang w:val="it-IT"/>
              </w:rPr>
            </w:pPr>
            <w:proofErr w:type="spellStart"/>
            <w:r w:rsidRPr="00851802">
              <w:rPr>
                <w:rFonts w:cs="Times New Roman"/>
                <w:lang w:val="it-IT"/>
              </w:rPr>
              <w:t>Ministry</w:t>
            </w:r>
            <w:proofErr w:type="spellEnd"/>
            <w:r w:rsidRPr="00851802">
              <w:rPr>
                <w:rFonts w:cs="Times New Roman"/>
                <w:lang w:val="it-IT"/>
              </w:rPr>
              <w:t xml:space="preserve"> of </w:t>
            </w:r>
            <w:proofErr w:type="spellStart"/>
            <w:r w:rsidRPr="00851802">
              <w:rPr>
                <w:rFonts w:cs="Times New Roman"/>
                <w:lang w:val="it-IT"/>
              </w:rPr>
              <w:t>Climate</w:t>
            </w:r>
            <w:proofErr w:type="spellEnd"/>
            <w:r w:rsidRPr="00851802">
              <w:rPr>
                <w:rFonts w:cs="Times New Roman"/>
                <w:lang w:val="it-IT"/>
              </w:rPr>
              <w:t xml:space="preserve"> </w:t>
            </w:r>
            <w:proofErr w:type="spellStart"/>
            <w:r w:rsidRPr="00851802">
              <w:rPr>
                <w:rFonts w:cs="Times New Roman"/>
                <w:lang w:val="it-IT"/>
              </w:rPr>
              <w:t>Change</w:t>
            </w:r>
            <w:proofErr w:type="spellEnd"/>
            <w:r w:rsidRPr="00851802">
              <w:rPr>
                <w:rFonts w:cs="Times New Roman"/>
                <w:lang w:val="it-IT"/>
              </w:rPr>
              <w:t xml:space="preserve">, </w:t>
            </w:r>
          </w:p>
          <w:p w14:paraId="6B7878DB" w14:textId="3372E34B" w:rsidR="00492F09" w:rsidRPr="00851802" w:rsidRDefault="00492F09" w:rsidP="009D7214">
            <w:pPr>
              <w:spacing w:line="276" w:lineRule="auto"/>
              <w:rPr>
                <w:rFonts w:cs="Times New Roman"/>
                <w:lang w:val="it-IT"/>
              </w:rPr>
            </w:pPr>
            <w:proofErr w:type="spellStart"/>
            <w:r w:rsidRPr="00851802">
              <w:rPr>
                <w:rFonts w:cs="Times New Roman"/>
                <w:lang w:val="it-IT"/>
              </w:rPr>
              <w:t>Government</w:t>
            </w:r>
            <w:proofErr w:type="spellEnd"/>
            <w:r w:rsidRPr="00851802">
              <w:rPr>
                <w:rFonts w:cs="Times New Roman"/>
                <w:lang w:val="it-IT"/>
              </w:rPr>
              <w:t xml:space="preserve"> of Pakistan</w:t>
            </w:r>
          </w:p>
        </w:tc>
        <w:tc>
          <w:tcPr>
            <w:tcW w:w="1710" w:type="pct"/>
            <w:vAlign w:val="bottom"/>
          </w:tcPr>
          <w:p w14:paraId="07C1547C" w14:textId="77777777" w:rsidR="009D7214" w:rsidRPr="00851802" w:rsidRDefault="009D7214" w:rsidP="00C22C37">
            <w:pPr>
              <w:spacing w:line="276" w:lineRule="auto"/>
              <w:rPr>
                <w:rFonts w:cs="Times New Roman"/>
              </w:rPr>
            </w:pPr>
            <w:r w:rsidRPr="00851802">
              <w:rPr>
                <w:rFonts w:cs="Times New Roman"/>
              </w:rPr>
              <w:t xml:space="preserve">Tel. </w:t>
            </w:r>
          </w:p>
        </w:tc>
      </w:tr>
      <w:tr w:rsidR="009D7214" w:rsidRPr="00A35A4D" w14:paraId="2CEB14B7" w14:textId="77777777">
        <w:tc>
          <w:tcPr>
            <w:tcW w:w="5000" w:type="pct"/>
            <w:gridSpan w:val="2"/>
          </w:tcPr>
          <w:p w14:paraId="1927F4E8" w14:textId="77777777" w:rsidR="009D7214" w:rsidRPr="00851802" w:rsidRDefault="008C5442" w:rsidP="00C22C37">
            <w:pPr>
              <w:jc w:val="both"/>
              <w:rPr>
                <w:rFonts w:cs="Times New Roman"/>
              </w:rPr>
            </w:pPr>
            <w:r w:rsidRPr="00851802">
              <w:rPr>
                <w:rFonts w:cs="Times New Roman"/>
                <w:b/>
              </w:rPr>
              <w:t>Title</w:t>
            </w:r>
            <w:r w:rsidR="009D7214" w:rsidRPr="00851802">
              <w:rPr>
                <w:rFonts w:cs="Times New Roman"/>
                <w:b/>
              </w:rPr>
              <w:t xml:space="preserve"> of the Proposal:</w:t>
            </w:r>
            <w:r w:rsidR="009D7214" w:rsidRPr="00851802">
              <w:rPr>
                <w:rFonts w:cs="Times New Roman"/>
              </w:rPr>
              <w:t xml:space="preserve"> </w:t>
            </w:r>
            <w:r w:rsidR="00435D71" w:rsidRPr="00851802">
              <w:rPr>
                <w:rFonts w:cs="Times New Roman"/>
              </w:rPr>
              <w:t>Support and follow-up activities for the REDD+ Readiness Roadmap process in Pakistan</w:t>
            </w:r>
          </w:p>
        </w:tc>
      </w:tr>
      <w:tr w:rsidR="009D7214" w:rsidRPr="00A35A4D" w14:paraId="2FCEB079" w14:textId="77777777">
        <w:tc>
          <w:tcPr>
            <w:tcW w:w="5000" w:type="pct"/>
            <w:gridSpan w:val="2"/>
          </w:tcPr>
          <w:p w14:paraId="51867F4E" w14:textId="77777777" w:rsidR="009D7214" w:rsidRPr="00A35A4D" w:rsidRDefault="009D7214" w:rsidP="009D7214">
            <w:pPr>
              <w:rPr>
                <w:rFonts w:ascii="Bookman Old Style" w:hAnsi="Bookman Old Style"/>
              </w:rPr>
            </w:pPr>
          </w:p>
        </w:tc>
      </w:tr>
      <w:tr w:rsidR="009D7214" w:rsidRPr="00A35A4D" w14:paraId="7965D7C5" w14:textId="77777777">
        <w:tc>
          <w:tcPr>
            <w:tcW w:w="5000" w:type="pct"/>
            <w:gridSpan w:val="2"/>
          </w:tcPr>
          <w:p w14:paraId="2754E355" w14:textId="77777777" w:rsidR="009D7214" w:rsidRPr="008C5442" w:rsidRDefault="009D7214" w:rsidP="009D7214">
            <w:pPr>
              <w:pBdr>
                <w:top w:val="single" w:sz="4" w:space="1" w:color="auto"/>
              </w:pBdr>
              <w:jc w:val="both"/>
              <w:rPr>
                <w:rFonts w:ascii="Bookman Old Style" w:hAnsi="Bookman Old Style"/>
                <w:b/>
              </w:rPr>
            </w:pPr>
            <w:r w:rsidRPr="008C5442">
              <w:rPr>
                <w:rFonts w:ascii="Bookman Old Style" w:hAnsi="Bookman Old Style"/>
                <w:b/>
              </w:rPr>
              <w:t xml:space="preserve">BACKGROUND: </w:t>
            </w:r>
          </w:p>
          <w:p w14:paraId="7EA1F164" w14:textId="77777777" w:rsidR="00CA0182" w:rsidRDefault="00686D4A" w:rsidP="009D7214">
            <w:pPr>
              <w:pBdr>
                <w:top w:val="single" w:sz="4" w:space="1" w:color="auto"/>
              </w:pBdr>
              <w:jc w:val="both"/>
              <w:rPr>
                <w:sz w:val="22"/>
                <w:szCs w:val="22"/>
              </w:rPr>
            </w:pPr>
            <w:r>
              <w:rPr>
                <w:sz w:val="22"/>
                <w:szCs w:val="22"/>
              </w:rPr>
              <w:t xml:space="preserve">Since becoming a partner country of the UN-REDD </w:t>
            </w:r>
            <w:proofErr w:type="spellStart"/>
            <w:r>
              <w:rPr>
                <w:sz w:val="22"/>
                <w:szCs w:val="22"/>
              </w:rPr>
              <w:t>Programme</w:t>
            </w:r>
            <w:proofErr w:type="spellEnd"/>
            <w:r>
              <w:rPr>
                <w:sz w:val="22"/>
                <w:szCs w:val="22"/>
              </w:rPr>
              <w:t xml:space="preserve"> in </w:t>
            </w:r>
            <w:r w:rsidR="0059566A">
              <w:rPr>
                <w:sz w:val="22"/>
                <w:szCs w:val="22"/>
              </w:rPr>
              <w:t xml:space="preserve">June 2011, Pakistan has not received direct support from the </w:t>
            </w:r>
            <w:proofErr w:type="spellStart"/>
            <w:r w:rsidR="0059566A">
              <w:rPr>
                <w:sz w:val="22"/>
                <w:szCs w:val="22"/>
              </w:rPr>
              <w:t>Programme</w:t>
            </w:r>
            <w:proofErr w:type="spellEnd"/>
            <w:r w:rsidR="0059566A">
              <w:rPr>
                <w:sz w:val="22"/>
                <w:szCs w:val="22"/>
              </w:rPr>
              <w:t xml:space="preserve"> for activities related to REDD+ Readiness.  </w:t>
            </w:r>
            <w:r w:rsidR="00485A28">
              <w:rPr>
                <w:sz w:val="22"/>
                <w:szCs w:val="22"/>
              </w:rPr>
              <w:t xml:space="preserve">The country has, however, continued to explore other sources of support.  In late 2010, a series of awareness raising activities on forests and climate change was delivered to national and provincial stakeholders by </w:t>
            </w:r>
            <w:proofErr w:type="spellStart"/>
            <w:r w:rsidR="00485A28">
              <w:rPr>
                <w:sz w:val="22"/>
                <w:szCs w:val="22"/>
              </w:rPr>
              <w:t>Intercooperation</w:t>
            </w:r>
            <w:proofErr w:type="spellEnd"/>
            <w:r w:rsidR="00485A28">
              <w:rPr>
                <w:sz w:val="22"/>
                <w:szCs w:val="22"/>
              </w:rPr>
              <w:t xml:space="preserve"> with financial support from Swiss Development Cooperation (SDC).</w:t>
            </w:r>
            <w:r w:rsidR="00436252">
              <w:rPr>
                <w:sz w:val="22"/>
                <w:szCs w:val="22"/>
              </w:rPr>
              <w:t xml:space="preserve">  Thi</w:t>
            </w:r>
            <w:r w:rsidR="00434B15">
              <w:rPr>
                <w:sz w:val="22"/>
                <w:szCs w:val="22"/>
              </w:rPr>
              <w:t>s</w:t>
            </w:r>
            <w:r w:rsidR="00436252">
              <w:rPr>
                <w:sz w:val="22"/>
                <w:szCs w:val="22"/>
              </w:rPr>
              <w:t xml:space="preserve"> initiative, including the development of materials </w:t>
            </w:r>
            <w:r w:rsidR="00434B15">
              <w:rPr>
                <w:sz w:val="22"/>
                <w:szCs w:val="22"/>
              </w:rPr>
              <w:t xml:space="preserve">on REDD+, was followed by a project, funded under the ‘One UN’ Joint Environment </w:t>
            </w:r>
            <w:proofErr w:type="spellStart"/>
            <w:r w:rsidR="00434B15">
              <w:rPr>
                <w:sz w:val="22"/>
                <w:szCs w:val="22"/>
              </w:rPr>
              <w:t>Programme</w:t>
            </w:r>
            <w:proofErr w:type="spellEnd"/>
            <w:r w:rsidR="00434B15">
              <w:rPr>
                <w:sz w:val="22"/>
                <w:szCs w:val="22"/>
              </w:rPr>
              <w:t xml:space="preserve"> (JPE) for Pakistan, entitled  “REDD+ Preparedness Phase for Pakistan”, which is implemented by the International Centre for Integrated Mountain Development (ICIMOD) and WWF Pakistan, on behalf of the office of the Inspector General of Forests (IGF).  </w:t>
            </w:r>
          </w:p>
          <w:p w14:paraId="25B68E67" w14:textId="77777777" w:rsidR="00434B15" w:rsidRDefault="00434B15" w:rsidP="009D7214">
            <w:pPr>
              <w:pBdr>
                <w:top w:val="single" w:sz="4" w:space="1" w:color="auto"/>
              </w:pBdr>
              <w:jc w:val="both"/>
              <w:rPr>
                <w:sz w:val="22"/>
                <w:szCs w:val="22"/>
              </w:rPr>
            </w:pPr>
          </w:p>
          <w:p w14:paraId="6781CFAB" w14:textId="77777777" w:rsidR="00434B15" w:rsidRDefault="002E0A50" w:rsidP="009D7214">
            <w:pPr>
              <w:pBdr>
                <w:top w:val="single" w:sz="4" w:space="1" w:color="auto"/>
              </w:pBdr>
              <w:jc w:val="both"/>
              <w:rPr>
                <w:sz w:val="22"/>
                <w:szCs w:val="22"/>
              </w:rPr>
            </w:pPr>
            <w:r>
              <w:rPr>
                <w:sz w:val="22"/>
                <w:szCs w:val="22"/>
              </w:rPr>
              <w:t>The JPE project, with a budget of USD</w:t>
            </w:r>
            <w:r w:rsidR="00746A4E">
              <w:rPr>
                <w:sz w:val="22"/>
                <w:szCs w:val="22"/>
              </w:rPr>
              <w:t xml:space="preserve"> </w:t>
            </w:r>
            <w:r>
              <w:rPr>
                <w:sz w:val="22"/>
                <w:szCs w:val="22"/>
              </w:rPr>
              <w:t>214,</w:t>
            </w:r>
            <w:r w:rsidR="00746A4E">
              <w:rPr>
                <w:sz w:val="22"/>
                <w:szCs w:val="22"/>
              </w:rPr>
              <w:t xml:space="preserve">000 and a timeframe of 1 year, was initiated in May 2012 and </w:t>
            </w:r>
            <w:r>
              <w:rPr>
                <w:sz w:val="22"/>
                <w:szCs w:val="22"/>
              </w:rPr>
              <w:t xml:space="preserve">has </w:t>
            </w:r>
            <w:r w:rsidR="00EE3A01">
              <w:rPr>
                <w:sz w:val="22"/>
                <w:szCs w:val="22"/>
              </w:rPr>
              <w:t xml:space="preserve">three broad activity areas in relation to REDD+: capacity building and awareness raising; development of consultation networks and processes; and development of national documents and proposals for follow-up work. </w:t>
            </w:r>
            <w:r w:rsidR="00007057">
              <w:rPr>
                <w:sz w:val="22"/>
                <w:szCs w:val="22"/>
              </w:rPr>
              <w:t>A number of activities, including a</w:t>
            </w:r>
            <w:r w:rsidR="00746A4E">
              <w:rPr>
                <w:sz w:val="22"/>
                <w:szCs w:val="22"/>
              </w:rPr>
              <w:t>n</w:t>
            </w:r>
            <w:r w:rsidR="00007057">
              <w:rPr>
                <w:sz w:val="22"/>
                <w:szCs w:val="22"/>
              </w:rPr>
              <w:t xml:space="preserve"> assessment </w:t>
            </w:r>
            <w:r w:rsidR="00746A4E">
              <w:rPr>
                <w:sz w:val="22"/>
                <w:szCs w:val="22"/>
              </w:rPr>
              <w:t xml:space="preserve">of national circumstances and capacity building needs </w:t>
            </w:r>
            <w:r w:rsidR="00007057">
              <w:rPr>
                <w:sz w:val="22"/>
                <w:szCs w:val="22"/>
              </w:rPr>
              <w:t xml:space="preserve">with relation to REDD+, awareness raising </w:t>
            </w:r>
            <w:proofErr w:type="spellStart"/>
            <w:r w:rsidR="00007057">
              <w:rPr>
                <w:sz w:val="22"/>
                <w:szCs w:val="22"/>
              </w:rPr>
              <w:t>programmes</w:t>
            </w:r>
            <w:proofErr w:type="spellEnd"/>
            <w:r w:rsidR="00746A4E">
              <w:rPr>
                <w:sz w:val="22"/>
                <w:szCs w:val="22"/>
              </w:rPr>
              <w:t xml:space="preserve"> and district-level consultation workshops</w:t>
            </w:r>
            <w:r w:rsidR="00007057">
              <w:rPr>
                <w:sz w:val="22"/>
                <w:szCs w:val="22"/>
              </w:rPr>
              <w:t xml:space="preserve">, have </w:t>
            </w:r>
            <w:r w:rsidR="00746A4E">
              <w:rPr>
                <w:sz w:val="22"/>
                <w:szCs w:val="22"/>
              </w:rPr>
              <w:t xml:space="preserve">already </w:t>
            </w:r>
            <w:r w:rsidR="00007057">
              <w:rPr>
                <w:sz w:val="22"/>
                <w:szCs w:val="22"/>
              </w:rPr>
              <w:t xml:space="preserve">been carried out. </w:t>
            </w:r>
          </w:p>
          <w:p w14:paraId="7A08D38C" w14:textId="77777777" w:rsidR="00817B89" w:rsidRDefault="00817B89" w:rsidP="009D7214">
            <w:pPr>
              <w:pBdr>
                <w:top w:val="single" w:sz="4" w:space="1" w:color="auto"/>
              </w:pBdr>
              <w:jc w:val="both"/>
              <w:rPr>
                <w:sz w:val="22"/>
                <w:szCs w:val="22"/>
              </w:rPr>
            </w:pPr>
          </w:p>
          <w:p w14:paraId="3FA88870" w14:textId="77777777" w:rsidR="00817B89" w:rsidRPr="00A35A4D" w:rsidRDefault="00746A4E" w:rsidP="009D7214">
            <w:pPr>
              <w:pBdr>
                <w:top w:val="single" w:sz="4" w:space="1" w:color="auto"/>
              </w:pBdr>
              <w:jc w:val="both"/>
              <w:rPr>
                <w:sz w:val="22"/>
                <w:szCs w:val="22"/>
              </w:rPr>
            </w:pPr>
            <w:r>
              <w:rPr>
                <w:sz w:val="22"/>
                <w:szCs w:val="22"/>
              </w:rPr>
              <w:t xml:space="preserve">Under the third activity area, a REDD+ Readiness Roadmap is identified as a key deliverable.  The budget available for this deliverable under the UN JPE project is approximately USD 44,000.  </w:t>
            </w:r>
            <w:r w:rsidR="00817B89">
              <w:rPr>
                <w:sz w:val="22"/>
                <w:szCs w:val="22"/>
              </w:rPr>
              <w:t xml:space="preserve">In this context, the UN-REDD </w:t>
            </w:r>
            <w:proofErr w:type="spellStart"/>
            <w:r w:rsidR="00817B89">
              <w:rPr>
                <w:sz w:val="22"/>
                <w:szCs w:val="22"/>
              </w:rPr>
              <w:t>Programme</w:t>
            </w:r>
            <w:proofErr w:type="spellEnd"/>
            <w:r w:rsidR="00817B89">
              <w:rPr>
                <w:sz w:val="22"/>
                <w:szCs w:val="22"/>
              </w:rPr>
              <w:t xml:space="preserve"> can add substantial value to Pakistan’s existing efforts </w:t>
            </w:r>
            <w:r w:rsidR="00007057">
              <w:rPr>
                <w:sz w:val="22"/>
                <w:szCs w:val="22"/>
              </w:rPr>
              <w:t xml:space="preserve">in the REDD+ sphere by drawing on experience from REDD+ Readiness Roadmap development in other countries in the region, and </w:t>
            </w:r>
            <w:r w:rsidR="00F01441">
              <w:rPr>
                <w:sz w:val="22"/>
                <w:szCs w:val="22"/>
              </w:rPr>
              <w:t xml:space="preserve">mobilizing relevant </w:t>
            </w:r>
            <w:r w:rsidR="00007057">
              <w:rPr>
                <w:sz w:val="22"/>
                <w:szCs w:val="22"/>
              </w:rPr>
              <w:t>technical support.</w:t>
            </w:r>
            <w:r w:rsidR="00EC09C6">
              <w:rPr>
                <w:sz w:val="22"/>
                <w:szCs w:val="22"/>
              </w:rPr>
              <w:t xml:space="preserve">  The office of the IGF has requested the UN-REDD </w:t>
            </w:r>
            <w:proofErr w:type="spellStart"/>
            <w:r w:rsidR="00EC09C6">
              <w:rPr>
                <w:sz w:val="22"/>
                <w:szCs w:val="22"/>
              </w:rPr>
              <w:t>Programme</w:t>
            </w:r>
            <w:proofErr w:type="spellEnd"/>
            <w:r w:rsidR="00EC09C6">
              <w:rPr>
                <w:sz w:val="22"/>
                <w:szCs w:val="22"/>
              </w:rPr>
              <w:t xml:space="preserve"> to provide guidance </w:t>
            </w:r>
            <w:r w:rsidR="00EC09C6">
              <w:rPr>
                <w:sz w:val="22"/>
                <w:szCs w:val="22"/>
              </w:rPr>
              <w:lastRenderedPageBreak/>
              <w:t xml:space="preserve">on the mobilization of the </w:t>
            </w:r>
            <w:r>
              <w:rPr>
                <w:sz w:val="22"/>
                <w:szCs w:val="22"/>
              </w:rPr>
              <w:t xml:space="preserve">UN </w:t>
            </w:r>
            <w:r w:rsidR="00EC09C6">
              <w:rPr>
                <w:sz w:val="22"/>
                <w:szCs w:val="22"/>
              </w:rPr>
              <w:t>JPE funds for Roadmap development, and hereby requests additional Targeted Support to supplement this process according to the following results framework:</w:t>
            </w:r>
          </w:p>
          <w:p w14:paraId="3F86FDCA" w14:textId="77777777" w:rsidR="009D7214" w:rsidRPr="00A35A4D" w:rsidRDefault="009D7214" w:rsidP="009D7214">
            <w:pPr>
              <w:rPr>
                <w:b/>
              </w:rPr>
            </w:pPr>
          </w:p>
          <w:p w14:paraId="38C304B3" w14:textId="3010FD9B" w:rsidR="009D7214" w:rsidRPr="00A35A4D" w:rsidRDefault="009D7214" w:rsidP="009D7214">
            <w:pPr>
              <w:jc w:val="both"/>
              <w:rPr>
                <w:b/>
              </w:rPr>
            </w:pPr>
            <w:r w:rsidRPr="00A35A4D">
              <w:rPr>
                <w:b/>
              </w:rPr>
              <w:t>Goal</w:t>
            </w:r>
            <w:r w:rsidR="00C66446">
              <w:rPr>
                <w:b/>
              </w:rPr>
              <w:t xml:space="preserve">: </w:t>
            </w:r>
            <w:r w:rsidR="00C66446" w:rsidRPr="00FE4B2F">
              <w:t xml:space="preserve">To </w:t>
            </w:r>
            <w:r w:rsidR="00034AA4">
              <w:t>prepare Pakistan in proceeding with REDD+ Readiness activities at the national scale</w:t>
            </w:r>
          </w:p>
          <w:p w14:paraId="2C982A75" w14:textId="77777777" w:rsidR="009D7214" w:rsidRDefault="009D7214" w:rsidP="009D7214">
            <w:pPr>
              <w:rPr>
                <w:b/>
              </w:rPr>
            </w:pPr>
          </w:p>
          <w:p w14:paraId="64A1A5C4" w14:textId="77777777" w:rsidR="00C22C37" w:rsidRDefault="00C22C37" w:rsidP="009D7214">
            <w:pPr>
              <w:rPr>
                <w:b/>
              </w:rPr>
            </w:pPr>
            <w:r>
              <w:rPr>
                <w:b/>
              </w:rPr>
              <w:t>Outcome</w:t>
            </w:r>
            <w:r w:rsidR="00FE4B2F">
              <w:rPr>
                <w:b/>
              </w:rPr>
              <w:t xml:space="preserve">: </w:t>
            </w:r>
            <w:r w:rsidR="00194358">
              <w:t>Pakistan’s</w:t>
            </w:r>
            <w:r w:rsidR="00A57798" w:rsidRPr="00A57798">
              <w:t xml:space="preserve"> REDD+ Readiness Roadmap </w:t>
            </w:r>
            <w:r w:rsidR="00194358">
              <w:t xml:space="preserve">has been developed based on sound technical foundations </w:t>
            </w:r>
            <w:r w:rsidR="00F01441">
              <w:t>and multi-stakeholder consultations</w:t>
            </w:r>
          </w:p>
          <w:p w14:paraId="2861332F" w14:textId="77777777" w:rsidR="00C22C37" w:rsidRDefault="00C22C37" w:rsidP="009D7214">
            <w:pPr>
              <w:rPr>
                <w:b/>
              </w:rPr>
            </w:pPr>
          </w:p>
          <w:p w14:paraId="33F569E4" w14:textId="77777777" w:rsidR="00C22C37" w:rsidRPr="00A35A4D" w:rsidRDefault="00C22C37" w:rsidP="009D7214">
            <w:pPr>
              <w:rPr>
                <w:b/>
              </w:rPr>
            </w:pPr>
            <w:r>
              <w:rPr>
                <w:b/>
              </w:rPr>
              <w:t>Outputs</w:t>
            </w:r>
          </w:p>
          <w:p w14:paraId="68EC252B" w14:textId="77777777" w:rsidR="009D7214" w:rsidRPr="00CC281D" w:rsidRDefault="007C29B7" w:rsidP="00C22C37">
            <w:pPr>
              <w:pStyle w:val="ColorfulList-Accent11"/>
              <w:numPr>
                <w:ilvl w:val="0"/>
                <w:numId w:val="5"/>
              </w:numPr>
              <w:spacing w:line="240" w:lineRule="auto"/>
              <w:rPr>
                <w:rFonts w:ascii="Times New Roman" w:hAnsi="Times New Roman" w:cs="Times New Roman"/>
                <w:sz w:val="24"/>
                <w:szCs w:val="24"/>
                <w:lang w:val="en-US"/>
              </w:rPr>
            </w:pPr>
            <w:r w:rsidRPr="00CC281D">
              <w:rPr>
                <w:rFonts w:ascii="Times New Roman" w:hAnsi="Times New Roman" w:cs="Times New Roman"/>
                <w:sz w:val="24"/>
                <w:szCs w:val="24"/>
                <w:lang w:val="en-US"/>
              </w:rPr>
              <w:t xml:space="preserve">National </w:t>
            </w:r>
            <w:r w:rsidR="00807A67" w:rsidRPr="00CC281D">
              <w:rPr>
                <w:rFonts w:ascii="Times New Roman" w:hAnsi="Times New Roman" w:cs="Times New Roman"/>
                <w:sz w:val="24"/>
                <w:szCs w:val="24"/>
                <w:lang w:val="en-US"/>
              </w:rPr>
              <w:t>REDD+ Readiness Roadmap, including</w:t>
            </w:r>
            <w:r w:rsidR="00194358" w:rsidRPr="00CC281D">
              <w:rPr>
                <w:rFonts w:ascii="Times New Roman" w:hAnsi="Times New Roman" w:cs="Times New Roman"/>
                <w:sz w:val="24"/>
                <w:szCs w:val="24"/>
                <w:lang w:val="en-US"/>
              </w:rPr>
              <w:t xml:space="preserve"> proposals</w:t>
            </w:r>
            <w:r w:rsidR="00807A67" w:rsidRPr="00CC281D">
              <w:rPr>
                <w:rFonts w:ascii="Times New Roman" w:hAnsi="Times New Roman" w:cs="Times New Roman"/>
                <w:sz w:val="24"/>
                <w:szCs w:val="24"/>
                <w:lang w:val="en-US"/>
              </w:rPr>
              <w:t xml:space="preserve"> for Roadmap implementation</w:t>
            </w:r>
          </w:p>
          <w:p w14:paraId="465ADE8D" w14:textId="77777777" w:rsidR="00194358" w:rsidRPr="00CC281D" w:rsidRDefault="00F01441" w:rsidP="00C22C37">
            <w:pPr>
              <w:pStyle w:val="ColorfulList-Accent11"/>
              <w:numPr>
                <w:ilvl w:val="0"/>
                <w:numId w:val="5"/>
              </w:numPr>
              <w:spacing w:line="240" w:lineRule="auto"/>
              <w:rPr>
                <w:rFonts w:ascii="Times New Roman" w:hAnsi="Times New Roman" w:cs="Times New Roman"/>
                <w:sz w:val="24"/>
                <w:szCs w:val="24"/>
                <w:lang w:val="en-US"/>
              </w:rPr>
            </w:pPr>
            <w:r w:rsidRPr="00CC281D">
              <w:rPr>
                <w:rFonts w:ascii="Times New Roman" w:hAnsi="Times New Roman" w:cs="Times New Roman"/>
                <w:sz w:val="24"/>
                <w:szCs w:val="24"/>
                <w:lang w:val="en-US"/>
              </w:rPr>
              <w:t xml:space="preserve">Capacities developed for </w:t>
            </w:r>
            <w:r w:rsidR="0091100D" w:rsidRPr="00CC281D">
              <w:rPr>
                <w:rFonts w:ascii="Times New Roman" w:hAnsi="Times New Roman" w:cs="Times New Roman"/>
                <w:sz w:val="24"/>
                <w:szCs w:val="24"/>
                <w:lang w:val="en-US"/>
              </w:rPr>
              <w:t>MRV Action Plan implementation</w:t>
            </w:r>
          </w:p>
          <w:p w14:paraId="2718B1B3" w14:textId="77777777" w:rsidR="00194358" w:rsidRPr="00A35A4D" w:rsidRDefault="00194358" w:rsidP="00F01441">
            <w:pPr>
              <w:pStyle w:val="ColorfulList-Accent11"/>
              <w:spacing w:line="240" w:lineRule="auto"/>
              <w:ind w:left="45"/>
              <w:rPr>
                <w:rFonts w:ascii="Bookman Old Style" w:hAnsi="Bookman Old Style"/>
                <w:lang w:val="en-US"/>
              </w:rPr>
            </w:pPr>
          </w:p>
        </w:tc>
      </w:tr>
      <w:tr w:rsidR="009D7214" w:rsidRPr="00A35A4D" w14:paraId="3C41427F" w14:textId="77777777">
        <w:trPr>
          <w:trHeight w:val="624"/>
        </w:trPr>
        <w:tc>
          <w:tcPr>
            <w:tcW w:w="5000" w:type="pct"/>
            <w:gridSpan w:val="2"/>
          </w:tcPr>
          <w:p w14:paraId="5313A62A" w14:textId="77777777" w:rsidR="009D7214" w:rsidRPr="00A35A4D" w:rsidRDefault="009D7214" w:rsidP="009D7214">
            <w:pPr>
              <w:rPr>
                <w:b/>
              </w:rPr>
            </w:pPr>
            <w:r w:rsidRPr="00A35A4D">
              <w:rPr>
                <w:b/>
              </w:rPr>
              <w:lastRenderedPageBreak/>
              <w:t>Methodology</w:t>
            </w:r>
          </w:p>
          <w:p w14:paraId="33DA6E01" w14:textId="77777777" w:rsidR="009D7214" w:rsidRDefault="008C0B91" w:rsidP="009D7214">
            <w:pPr>
              <w:jc w:val="both"/>
            </w:pPr>
            <w:r>
              <w:t>FAO/UN-REDD will work according</w:t>
            </w:r>
            <w:r w:rsidR="0010568C">
              <w:t xml:space="preserve"> to</w:t>
            </w:r>
            <w:r>
              <w:t xml:space="preserve"> the principles of national ownership and national autonomy in determining REDD+ Readiness strategies and activities, while consistently providing advice and support in line with the systems and guidelines set out by the UNFCCC.</w:t>
            </w:r>
          </w:p>
          <w:p w14:paraId="5DBAE08C" w14:textId="77777777" w:rsidR="0010568C" w:rsidRDefault="00A51B56" w:rsidP="009D7214">
            <w:pPr>
              <w:jc w:val="both"/>
            </w:pPr>
            <w:r>
              <w:t xml:space="preserve"> </w:t>
            </w:r>
          </w:p>
          <w:p w14:paraId="65453FF0" w14:textId="77777777" w:rsidR="00A51B56" w:rsidRDefault="00A51B56" w:rsidP="009D7214">
            <w:pPr>
              <w:jc w:val="both"/>
            </w:pPr>
            <w:r>
              <w:t xml:space="preserve">The activities outlined below will take place through </w:t>
            </w:r>
            <w:r w:rsidR="00932030">
              <w:t xml:space="preserve">a combination of </w:t>
            </w:r>
            <w:r>
              <w:t>the following channels:</w:t>
            </w:r>
          </w:p>
          <w:p w14:paraId="2CB2B54D" w14:textId="31E51E0A" w:rsidR="00932030" w:rsidRDefault="00932030" w:rsidP="00A51B56">
            <w:pPr>
              <w:numPr>
                <w:ilvl w:val="0"/>
                <w:numId w:val="10"/>
              </w:numPr>
              <w:jc w:val="both"/>
            </w:pPr>
            <w:r>
              <w:t xml:space="preserve">Partnership with the office of the IGF, </w:t>
            </w:r>
            <w:r w:rsidR="004F6974">
              <w:t xml:space="preserve">FAOR Pakistan, </w:t>
            </w:r>
            <w:r w:rsidR="0091100D">
              <w:t>ICIMOD, WWF and the UN JPE office, UN-REDD partner agencies</w:t>
            </w:r>
            <w:r w:rsidR="00CD382F">
              <w:t xml:space="preserve"> (national and regional offices)</w:t>
            </w:r>
            <w:r w:rsidR="0091100D">
              <w:t>, national and provincial</w:t>
            </w:r>
            <w:r>
              <w:t xml:space="preserve"> REDD+ </w:t>
            </w:r>
            <w:r w:rsidR="0091100D">
              <w:t>committees in</w:t>
            </w:r>
            <w:r>
              <w:t xml:space="preserve"> Pakistan, </w:t>
            </w:r>
            <w:r w:rsidR="0091100D">
              <w:t xml:space="preserve">and other relevant </w:t>
            </w:r>
            <w:r>
              <w:t>na</w:t>
            </w:r>
            <w:r w:rsidR="004646F7">
              <w:t>tional and international organiz</w:t>
            </w:r>
            <w:r>
              <w:t>ations</w:t>
            </w:r>
          </w:p>
          <w:p w14:paraId="5EE22004" w14:textId="77777777" w:rsidR="00A51B56" w:rsidRDefault="00A51B56" w:rsidP="00A51B56">
            <w:pPr>
              <w:numPr>
                <w:ilvl w:val="0"/>
                <w:numId w:val="10"/>
              </w:numPr>
              <w:jc w:val="both"/>
            </w:pPr>
            <w:r>
              <w:t>Direct advisory support of FAO/UN-REDD personnel, remotely and via in-country missions</w:t>
            </w:r>
          </w:p>
          <w:p w14:paraId="23F31983" w14:textId="77777777" w:rsidR="00A51B56" w:rsidRDefault="00932030" w:rsidP="00A51B56">
            <w:pPr>
              <w:numPr>
                <w:ilvl w:val="0"/>
                <w:numId w:val="10"/>
              </w:numPr>
              <w:jc w:val="both"/>
            </w:pPr>
            <w:r>
              <w:t>Development of Terms of Reference for, and recruitment of, international and national consultants</w:t>
            </w:r>
          </w:p>
          <w:p w14:paraId="40268B2F" w14:textId="77777777" w:rsidR="00932030" w:rsidRDefault="00932030" w:rsidP="00A51B56">
            <w:pPr>
              <w:numPr>
                <w:ilvl w:val="0"/>
                <w:numId w:val="10"/>
              </w:numPr>
              <w:jc w:val="both"/>
            </w:pPr>
            <w:r>
              <w:t>Development of Terms of Reference, formation and support of national multi-stakeholder working groups</w:t>
            </w:r>
          </w:p>
          <w:p w14:paraId="21B666B0" w14:textId="77777777" w:rsidR="00932030" w:rsidRDefault="00932030" w:rsidP="00A51B56">
            <w:pPr>
              <w:numPr>
                <w:ilvl w:val="0"/>
                <w:numId w:val="10"/>
              </w:numPr>
              <w:jc w:val="both"/>
            </w:pPr>
            <w:r>
              <w:t>National and sub-national multi-stakeholder consultation events</w:t>
            </w:r>
          </w:p>
          <w:p w14:paraId="6D8E34E4" w14:textId="6DA46F5B" w:rsidR="00932030" w:rsidRDefault="004646F7" w:rsidP="00A51B56">
            <w:pPr>
              <w:numPr>
                <w:ilvl w:val="0"/>
                <w:numId w:val="10"/>
              </w:numPr>
              <w:jc w:val="both"/>
            </w:pPr>
            <w:r>
              <w:t>Organiz</w:t>
            </w:r>
            <w:r w:rsidR="00932030">
              <w:t>ation of in-country training and capacity building events</w:t>
            </w:r>
          </w:p>
          <w:p w14:paraId="48B196D3" w14:textId="77777777" w:rsidR="00932030" w:rsidRDefault="00932030" w:rsidP="004F6974">
            <w:pPr>
              <w:numPr>
                <w:ilvl w:val="0"/>
                <w:numId w:val="10"/>
              </w:numPr>
              <w:jc w:val="both"/>
            </w:pPr>
            <w:r>
              <w:t>Development, review and distribution of reports, proposals and capacity building materials</w:t>
            </w:r>
          </w:p>
          <w:p w14:paraId="5FF3E721" w14:textId="77777777" w:rsidR="004F6974" w:rsidRDefault="004F6974" w:rsidP="004F6974">
            <w:pPr>
              <w:ind w:left="360"/>
              <w:jc w:val="both"/>
            </w:pPr>
          </w:p>
          <w:p w14:paraId="2AF6CBF5" w14:textId="77777777" w:rsidR="008C0B91" w:rsidRPr="00A35A4D" w:rsidRDefault="008C0B91" w:rsidP="009D7214">
            <w:pPr>
              <w:jc w:val="both"/>
            </w:pPr>
          </w:p>
          <w:p w14:paraId="58FB5037" w14:textId="77777777" w:rsidR="009D7214" w:rsidRPr="00A35A4D" w:rsidRDefault="009D7214" w:rsidP="009D7214">
            <w:pPr>
              <w:jc w:val="both"/>
              <w:rPr>
                <w:rFonts w:ascii="Calibri" w:eastAsia="Calibri" w:hAnsi="Calibri"/>
                <w:sz w:val="22"/>
                <w:szCs w:val="22"/>
                <w:lang w:eastAsia="en-US"/>
              </w:rPr>
            </w:pPr>
          </w:p>
        </w:tc>
      </w:tr>
      <w:tr w:rsidR="009D7214" w:rsidRPr="00A35A4D" w14:paraId="65BFA298" w14:textId="77777777" w:rsidTr="00E35755">
        <w:trPr>
          <w:trHeight w:val="4674"/>
        </w:trPr>
        <w:tc>
          <w:tcPr>
            <w:tcW w:w="5000" w:type="pct"/>
            <w:gridSpan w:val="2"/>
          </w:tcPr>
          <w:p w14:paraId="2EA0C6EC" w14:textId="2C227B3C" w:rsidR="009D7214" w:rsidRPr="00815CE6" w:rsidRDefault="009D7214" w:rsidP="009D7214">
            <w:pPr>
              <w:rPr>
                <w:rFonts w:cs="Times New Roman"/>
                <w:b/>
              </w:rPr>
            </w:pPr>
            <w:r w:rsidRPr="00815CE6">
              <w:rPr>
                <w:rFonts w:cs="Times New Roman"/>
                <w:b/>
              </w:rPr>
              <w:lastRenderedPageBreak/>
              <w:t>Activities</w:t>
            </w:r>
          </w:p>
          <w:p w14:paraId="68FC1BD5" w14:textId="77777777" w:rsidR="009D7214" w:rsidRPr="008457DF" w:rsidRDefault="009D7214" w:rsidP="009D7214">
            <w:pPr>
              <w:rPr>
                <w:rFonts w:cs="Times New Roman"/>
                <w:b/>
              </w:rPr>
            </w:pPr>
          </w:p>
          <w:p w14:paraId="2AC49AE3" w14:textId="74208097" w:rsidR="009D7214" w:rsidRPr="008457DF" w:rsidRDefault="00E35755" w:rsidP="009D7214">
            <w:pPr>
              <w:rPr>
                <w:rFonts w:cs="Times New Roman"/>
                <w:b/>
              </w:rPr>
            </w:pPr>
            <w:r w:rsidRPr="008457DF">
              <w:rPr>
                <w:rFonts w:cs="Times New Roman"/>
                <w:b/>
              </w:rPr>
              <w:t>Output</w:t>
            </w:r>
            <w:r w:rsidR="009D7214" w:rsidRPr="008457DF">
              <w:rPr>
                <w:rFonts w:cs="Times New Roman"/>
                <w:b/>
              </w:rPr>
              <w:t xml:space="preserve"> 1. </w:t>
            </w:r>
            <w:r w:rsidR="005F7CEB">
              <w:rPr>
                <w:rFonts w:cs="Times New Roman"/>
                <w:b/>
              </w:rPr>
              <w:t xml:space="preserve"> N</w:t>
            </w:r>
            <w:r w:rsidR="00D07C53">
              <w:rPr>
                <w:rFonts w:cs="Times New Roman"/>
                <w:b/>
              </w:rPr>
              <w:t xml:space="preserve">ational REDD+ Readiness Roadmap, including proposals for Roadmap implementation </w:t>
            </w:r>
            <w:r w:rsidR="007A505D">
              <w:rPr>
                <w:rFonts w:cs="Times New Roman"/>
                <w:b/>
              </w:rPr>
              <w:t>(USD 49,500, co-financing USD 91,8</w:t>
            </w:r>
            <w:r w:rsidR="00BD635B">
              <w:rPr>
                <w:rFonts w:cs="Times New Roman"/>
                <w:b/>
              </w:rPr>
              <w:t xml:space="preserve">00 from </w:t>
            </w:r>
            <w:r w:rsidR="00D07C53">
              <w:rPr>
                <w:rFonts w:cs="Times New Roman"/>
                <w:b/>
              </w:rPr>
              <w:t xml:space="preserve">UN </w:t>
            </w:r>
            <w:r w:rsidR="00BD635B">
              <w:rPr>
                <w:rFonts w:cs="Times New Roman"/>
                <w:b/>
              </w:rPr>
              <w:t>JPE)</w:t>
            </w:r>
          </w:p>
          <w:p w14:paraId="366E508E" w14:textId="64B9F868" w:rsidR="00D07C53" w:rsidRDefault="00D07C53" w:rsidP="00D07C53">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Draft </w:t>
            </w:r>
            <w:r w:rsidR="00AC61F6" w:rsidRPr="008457DF">
              <w:rPr>
                <w:rFonts w:ascii="Times New Roman" w:hAnsi="Times New Roman" w:cs="Times New Roman"/>
                <w:sz w:val="24"/>
                <w:szCs w:val="24"/>
                <w:lang w:val="en-US"/>
              </w:rPr>
              <w:t xml:space="preserve">Roadmap </w:t>
            </w:r>
            <w:r>
              <w:rPr>
                <w:rFonts w:ascii="Times New Roman" w:hAnsi="Times New Roman" w:cs="Times New Roman"/>
                <w:sz w:val="24"/>
                <w:szCs w:val="24"/>
                <w:lang w:val="en-US"/>
              </w:rPr>
              <w:t xml:space="preserve">outline and </w:t>
            </w:r>
            <w:r w:rsidR="00AC61F6" w:rsidRPr="008457DF">
              <w:rPr>
                <w:rFonts w:ascii="Times New Roman" w:hAnsi="Times New Roman" w:cs="Times New Roman"/>
                <w:sz w:val="24"/>
                <w:szCs w:val="24"/>
                <w:lang w:val="en-US"/>
              </w:rPr>
              <w:t>work plan</w:t>
            </w:r>
          </w:p>
          <w:p w14:paraId="2F7FC2BE" w14:textId="145B1873" w:rsidR="00B378A1" w:rsidRPr="008457DF" w:rsidRDefault="00D07C53" w:rsidP="00D07C53">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Roadmap</w:t>
            </w:r>
            <w:r w:rsidR="00AC61F6" w:rsidRPr="008457DF">
              <w:rPr>
                <w:rFonts w:ascii="Times New Roman" w:hAnsi="Times New Roman" w:cs="Times New Roman"/>
                <w:sz w:val="24"/>
                <w:szCs w:val="24"/>
                <w:lang w:val="en-US"/>
              </w:rPr>
              <w:t xml:space="preserve"> launching workshop</w:t>
            </w:r>
          </w:p>
          <w:p w14:paraId="535EB842" w14:textId="7F0F0F66" w:rsidR="00AC61F6" w:rsidRDefault="00D07C53" w:rsidP="00D07C53">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Multi-stakeholder working groups; formation and</w:t>
            </w:r>
            <w:r w:rsidR="00AC61F6" w:rsidRPr="008457DF">
              <w:rPr>
                <w:rFonts w:ascii="Times New Roman" w:hAnsi="Times New Roman" w:cs="Times New Roman"/>
                <w:sz w:val="24"/>
                <w:szCs w:val="24"/>
                <w:lang w:val="en-US"/>
              </w:rPr>
              <w:t xml:space="preserve"> </w:t>
            </w:r>
            <w:proofErr w:type="spellStart"/>
            <w:r w:rsidR="00AC61F6" w:rsidRPr="008457DF">
              <w:rPr>
                <w:rFonts w:ascii="Times New Roman" w:hAnsi="Times New Roman" w:cs="Times New Roman"/>
                <w:sz w:val="24"/>
                <w:szCs w:val="24"/>
                <w:lang w:val="en-US"/>
              </w:rPr>
              <w:t>ToR</w:t>
            </w:r>
            <w:proofErr w:type="spellEnd"/>
            <w:r w:rsidR="00AC61F6" w:rsidRPr="008457DF">
              <w:rPr>
                <w:rFonts w:ascii="Times New Roman" w:hAnsi="Times New Roman" w:cs="Times New Roman"/>
                <w:sz w:val="24"/>
                <w:szCs w:val="24"/>
                <w:lang w:val="en-US"/>
              </w:rPr>
              <w:t xml:space="preserve"> development </w:t>
            </w:r>
          </w:p>
          <w:p w14:paraId="05C59FB0" w14:textId="6C1ACC1D" w:rsidR="00D07C53" w:rsidRPr="008457DF" w:rsidRDefault="00CD382F" w:rsidP="00D07C53">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Working group meetings</w:t>
            </w:r>
          </w:p>
          <w:p w14:paraId="73CF8F85" w14:textId="3B8CC011" w:rsidR="00AC61F6" w:rsidRDefault="00CD382F" w:rsidP="00CD382F">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Provincial awareness raising </w:t>
            </w:r>
            <w:r w:rsidR="00F47A0B">
              <w:rPr>
                <w:rFonts w:ascii="Times New Roman" w:hAnsi="Times New Roman" w:cs="Times New Roman"/>
                <w:sz w:val="24"/>
                <w:szCs w:val="24"/>
                <w:lang w:val="en-US"/>
              </w:rPr>
              <w:t xml:space="preserve">and consultation </w:t>
            </w:r>
            <w:r>
              <w:rPr>
                <w:rFonts w:ascii="Times New Roman" w:hAnsi="Times New Roman" w:cs="Times New Roman"/>
                <w:sz w:val="24"/>
                <w:szCs w:val="24"/>
                <w:lang w:val="en-US"/>
              </w:rPr>
              <w:t>workshops</w:t>
            </w:r>
          </w:p>
          <w:p w14:paraId="610F89B3" w14:textId="6D0540B1" w:rsidR="00CD382F" w:rsidRPr="008457DF" w:rsidRDefault="00BB4056" w:rsidP="00CD382F">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Expert analysis of institutional, legal and capacity framework</w:t>
            </w:r>
          </w:p>
          <w:p w14:paraId="7CC1CF75" w14:textId="1E0AE0DB" w:rsidR="00FB322B" w:rsidRDefault="00BB4056" w:rsidP="00BB4056">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Collaborative Roadmap drafting process</w:t>
            </w:r>
          </w:p>
          <w:p w14:paraId="2023F215" w14:textId="528D0ABA" w:rsidR="00BB4056" w:rsidRPr="008457DF" w:rsidRDefault="00BB4056" w:rsidP="00BB4056">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National workshop for draft Roadmap presentation</w:t>
            </w:r>
          </w:p>
          <w:p w14:paraId="3240BC4F" w14:textId="2F14BA28" w:rsidR="00FB322B" w:rsidRDefault="00BB4056" w:rsidP="00E16E22">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National and provincial consultation process</w:t>
            </w:r>
          </w:p>
          <w:p w14:paraId="1C7DBDFC" w14:textId="08B5AF56" w:rsidR="00893E2B" w:rsidRPr="00E16E22" w:rsidRDefault="00E16E22" w:rsidP="00E16E22">
            <w:pPr>
              <w:pStyle w:val="ColorfulList-Accent11"/>
              <w:numPr>
                <w:ilvl w:val="1"/>
                <w:numId w:val="1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Endorsement by national REDD+ Steering Committee</w:t>
            </w:r>
          </w:p>
          <w:p w14:paraId="1EEE39CD" w14:textId="77777777" w:rsidR="008457DF" w:rsidRDefault="008457DF" w:rsidP="00FB322B">
            <w:pPr>
              <w:rPr>
                <w:rFonts w:cs="Times New Roman"/>
                <w:b/>
              </w:rPr>
            </w:pPr>
          </w:p>
          <w:p w14:paraId="342C2B5D" w14:textId="2D8FAEA9" w:rsidR="00FB322B" w:rsidRPr="008457DF" w:rsidRDefault="00FB322B" w:rsidP="00FB322B">
            <w:pPr>
              <w:rPr>
                <w:rFonts w:cs="Times New Roman"/>
                <w:b/>
              </w:rPr>
            </w:pPr>
            <w:r w:rsidRPr="008457DF">
              <w:rPr>
                <w:rFonts w:cs="Times New Roman"/>
                <w:b/>
              </w:rPr>
              <w:t xml:space="preserve">Output 2. </w:t>
            </w:r>
            <w:r w:rsidR="00BD635B">
              <w:rPr>
                <w:rFonts w:cs="Times New Roman"/>
                <w:b/>
              </w:rPr>
              <w:t xml:space="preserve"> </w:t>
            </w:r>
            <w:r w:rsidR="005F7CEB">
              <w:rPr>
                <w:rFonts w:cs="Times New Roman"/>
                <w:b/>
              </w:rPr>
              <w:t xml:space="preserve"> </w:t>
            </w:r>
            <w:r w:rsidR="00D07C53">
              <w:rPr>
                <w:rFonts w:cs="Times New Roman"/>
                <w:b/>
              </w:rPr>
              <w:t>Capacities developed for MRV Action Plan implementation</w:t>
            </w:r>
            <w:r w:rsidR="005F7CEB">
              <w:rPr>
                <w:rFonts w:cs="Times New Roman"/>
                <w:b/>
              </w:rPr>
              <w:t xml:space="preserve"> </w:t>
            </w:r>
            <w:r w:rsidR="007A505D">
              <w:rPr>
                <w:rFonts w:cs="Times New Roman"/>
                <w:b/>
              </w:rPr>
              <w:t>(USD 57,5</w:t>
            </w:r>
            <w:r w:rsidR="00BD635B">
              <w:rPr>
                <w:rFonts w:cs="Times New Roman"/>
                <w:b/>
              </w:rPr>
              <w:t>00)</w:t>
            </w:r>
          </w:p>
          <w:p w14:paraId="6FC42D7F" w14:textId="10D3364F" w:rsidR="00257F71" w:rsidRDefault="00893E2B" w:rsidP="007A5B08">
            <w:pPr>
              <w:pStyle w:val="ListParagraph"/>
              <w:numPr>
                <w:ilvl w:val="1"/>
                <w:numId w:val="5"/>
              </w:numPr>
              <w:rPr>
                <w:rFonts w:cs="Times New Roman"/>
              </w:rPr>
            </w:pPr>
            <w:r w:rsidRPr="00E16E22">
              <w:rPr>
                <w:rFonts w:cs="Times New Roman"/>
              </w:rPr>
              <w:t>Capacity needs assessment of national and provincial forest administrations</w:t>
            </w:r>
          </w:p>
          <w:p w14:paraId="11D72182" w14:textId="052D4389" w:rsidR="007A5B08" w:rsidRPr="007A5B08" w:rsidRDefault="007A5B08" w:rsidP="007A5B08">
            <w:pPr>
              <w:pStyle w:val="ListParagraph"/>
              <w:numPr>
                <w:ilvl w:val="1"/>
                <w:numId w:val="5"/>
              </w:numPr>
              <w:rPr>
                <w:rFonts w:cs="Times New Roman"/>
              </w:rPr>
            </w:pPr>
            <w:r>
              <w:rPr>
                <w:rFonts w:cs="Times New Roman"/>
              </w:rPr>
              <w:t>Spatial analysis of forest cover change</w:t>
            </w:r>
          </w:p>
          <w:p w14:paraId="56DD8546" w14:textId="77777777" w:rsidR="00E15313" w:rsidRDefault="00E16E22" w:rsidP="00FB322B">
            <w:pPr>
              <w:pStyle w:val="ListParagraph"/>
              <w:numPr>
                <w:ilvl w:val="1"/>
                <w:numId w:val="5"/>
              </w:numPr>
              <w:rPr>
                <w:rFonts w:cs="Times New Roman"/>
              </w:rPr>
            </w:pPr>
            <w:r>
              <w:rPr>
                <w:rFonts w:cs="Times New Roman"/>
              </w:rPr>
              <w:t>Draft MRV Action Plan</w:t>
            </w:r>
          </w:p>
          <w:p w14:paraId="758EAC91" w14:textId="77777777" w:rsidR="00E15313" w:rsidRDefault="008457DF" w:rsidP="00FB322B">
            <w:pPr>
              <w:pStyle w:val="ListParagraph"/>
              <w:numPr>
                <w:ilvl w:val="1"/>
                <w:numId w:val="5"/>
              </w:numPr>
              <w:rPr>
                <w:rFonts w:cs="Times New Roman"/>
              </w:rPr>
            </w:pPr>
            <w:r w:rsidRPr="00E15313">
              <w:rPr>
                <w:rFonts w:cs="Times New Roman"/>
              </w:rPr>
              <w:t>Assessment of data availability for LULUCF GHG inventory</w:t>
            </w:r>
          </w:p>
          <w:p w14:paraId="26755293" w14:textId="77777777" w:rsidR="00E15313" w:rsidRDefault="00893E2B" w:rsidP="00FB322B">
            <w:pPr>
              <w:pStyle w:val="ListParagraph"/>
              <w:numPr>
                <w:ilvl w:val="1"/>
                <w:numId w:val="5"/>
              </w:numPr>
              <w:rPr>
                <w:rFonts w:cs="Times New Roman"/>
              </w:rPr>
            </w:pPr>
            <w:r w:rsidRPr="00E15313">
              <w:rPr>
                <w:rFonts w:cs="Times New Roman"/>
              </w:rPr>
              <w:t>Training workshop on national system for GHG inventory</w:t>
            </w:r>
          </w:p>
          <w:p w14:paraId="72D1EA5F" w14:textId="7DED8E51" w:rsidR="00623A19" w:rsidRPr="00E15313" w:rsidRDefault="00623A19" w:rsidP="00FB322B">
            <w:pPr>
              <w:pStyle w:val="ListParagraph"/>
              <w:numPr>
                <w:ilvl w:val="1"/>
                <w:numId w:val="5"/>
              </w:numPr>
              <w:rPr>
                <w:rFonts w:cs="Times New Roman"/>
              </w:rPr>
            </w:pPr>
            <w:r w:rsidRPr="00E15313">
              <w:rPr>
                <w:rFonts w:cs="Times New Roman"/>
              </w:rPr>
              <w:t>Training on satellite forest monitoring system</w:t>
            </w:r>
          </w:p>
          <w:p w14:paraId="7A193DF6" w14:textId="77777777" w:rsidR="00893E2B" w:rsidRPr="008457DF" w:rsidRDefault="00893E2B" w:rsidP="00FB322B">
            <w:pPr>
              <w:rPr>
                <w:rFonts w:cs="Times New Roman"/>
              </w:rPr>
            </w:pPr>
          </w:p>
          <w:p w14:paraId="356B0585" w14:textId="77777777" w:rsidR="00FB322B" w:rsidRPr="00A35A4D" w:rsidRDefault="00FB322B" w:rsidP="007C29B7">
            <w:pPr>
              <w:ind w:left="405"/>
              <w:rPr>
                <w:rFonts w:ascii="Bookman Old Style" w:hAnsi="Bookman Old Style"/>
              </w:rPr>
            </w:pPr>
          </w:p>
        </w:tc>
      </w:tr>
      <w:tr w:rsidR="009D7214" w:rsidRPr="00A35A4D" w14:paraId="00D67382" w14:textId="77777777">
        <w:trPr>
          <w:trHeight w:val="135"/>
        </w:trPr>
        <w:tc>
          <w:tcPr>
            <w:tcW w:w="5000" w:type="pct"/>
            <w:gridSpan w:val="2"/>
          </w:tcPr>
          <w:p w14:paraId="03CD94E9" w14:textId="77777777" w:rsidR="009D7214" w:rsidRPr="00A35A4D" w:rsidRDefault="009D7214" w:rsidP="009D7214">
            <w:pPr>
              <w:rPr>
                <w:rFonts w:ascii="Bookman Old Style" w:hAnsi="Bookman Old Style"/>
              </w:rPr>
            </w:pPr>
          </w:p>
        </w:tc>
      </w:tr>
      <w:tr w:rsidR="009D7214" w:rsidRPr="00A35A4D" w14:paraId="336AE01D" w14:textId="77777777">
        <w:trPr>
          <w:trHeight w:val="135"/>
        </w:trPr>
        <w:tc>
          <w:tcPr>
            <w:tcW w:w="5000" w:type="pct"/>
            <w:gridSpan w:val="2"/>
          </w:tcPr>
          <w:p w14:paraId="3E19F2EE" w14:textId="77777777" w:rsidR="009D7214" w:rsidRPr="00A35A4D" w:rsidRDefault="009D7214" w:rsidP="009D7214">
            <w:pPr>
              <w:rPr>
                <w:rFonts w:ascii="Bookman Old Style" w:hAnsi="Bookman Old Style"/>
                <w:b/>
              </w:rPr>
            </w:pPr>
            <w:r w:rsidRPr="00A35A4D">
              <w:rPr>
                <w:rFonts w:ascii="Bookman Old Style" w:hAnsi="Bookman Old Style"/>
                <w:b/>
              </w:rPr>
              <w:t>Budget</w:t>
            </w:r>
          </w:p>
          <w:p w14:paraId="048970DA" w14:textId="77777777" w:rsidR="009D7214" w:rsidRPr="00A35A4D" w:rsidRDefault="009D7214" w:rsidP="009D7214">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94"/>
              <w:gridCol w:w="1794"/>
              <w:gridCol w:w="1794"/>
            </w:tblGrid>
            <w:tr w:rsidR="00B92B0B" w:rsidRPr="00A35A4D" w14:paraId="16A33891" w14:textId="77777777" w:rsidTr="00B92B0B">
              <w:tc>
                <w:tcPr>
                  <w:tcW w:w="3307" w:type="dxa"/>
                </w:tcPr>
                <w:p w14:paraId="27BB18B7" w14:textId="77777777" w:rsidR="00B92B0B" w:rsidRPr="00A35A4D" w:rsidRDefault="00B92B0B" w:rsidP="009D7214">
                  <w:pPr>
                    <w:jc w:val="center"/>
                    <w:rPr>
                      <w:rFonts w:ascii="Bookman Old Style" w:hAnsi="Bookman Old Style"/>
                      <w:b/>
                    </w:rPr>
                  </w:pPr>
                  <w:r>
                    <w:rPr>
                      <w:rFonts w:ascii="Bookman Old Style" w:hAnsi="Bookman Old Style"/>
                      <w:b/>
                    </w:rPr>
                    <w:t>Item</w:t>
                  </w:r>
                </w:p>
              </w:tc>
              <w:tc>
                <w:tcPr>
                  <w:tcW w:w="1794" w:type="dxa"/>
                </w:tcPr>
                <w:p w14:paraId="4FAFDCD3" w14:textId="77777777" w:rsidR="00B92B0B" w:rsidRPr="00A35A4D" w:rsidRDefault="002E543F" w:rsidP="009D7214">
                  <w:pPr>
                    <w:jc w:val="center"/>
                    <w:rPr>
                      <w:rFonts w:ascii="Bookman Old Style" w:hAnsi="Bookman Old Style"/>
                      <w:b/>
                    </w:rPr>
                  </w:pPr>
                  <w:r>
                    <w:rPr>
                      <w:rFonts w:ascii="Bookman Old Style" w:hAnsi="Bookman Old Style"/>
                      <w:b/>
                    </w:rPr>
                    <w:t>UN-REDD TS</w:t>
                  </w:r>
                </w:p>
              </w:tc>
              <w:tc>
                <w:tcPr>
                  <w:tcW w:w="1794" w:type="dxa"/>
                </w:tcPr>
                <w:p w14:paraId="28B77B45" w14:textId="77777777" w:rsidR="00B92B0B" w:rsidRPr="00A35A4D" w:rsidRDefault="002E543F" w:rsidP="009D7214">
                  <w:pPr>
                    <w:jc w:val="center"/>
                    <w:rPr>
                      <w:rFonts w:ascii="Bookman Old Style" w:hAnsi="Bookman Old Style"/>
                      <w:b/>
                    </w:rPr>
                  </w:pPr>
                  <w:r>
                    <w:rPr>
                      <w:rFonts w:ascii="Bookman Old Style" w:hAnsi="Bookman Old Style"/>
                      <w:b/>
                    </w:rPr>
                    <w:t>Co-finance</w:t>
                  </w:r>
                </w:p>
              </w:tc>
              <w:tc>
                <w:tcPr>
                  <w:tcW w:w="1794" w:type="dxa"/>
                </w:tcPr>
                <w:p w14:paraId="2200E022" w14:textId="77777777" w:rsidR="00B92B0B" w:rsidRPr="00A35A4D" w:rsidRDefault="00B92B0B" w:rsidP="009D7214">
                  <w:pPr>
                    <w:jc w:val="center"/>
                    <w:rPr>
                      <w:rFonts w:ascii="Bookman Old Style" w:hAnsi="Bookman Old Style"/>
                      <w:b/>
                    </w:rPr>
                  </w:pPr>
                  <w:r>
                    <w:rPr>
                      <w:rFonts w:ascii="Bookman Old Style" w:hAnsi="Bookman Old Style"/>
                      <w:b/>
                    </w:rPr>
                    <w:t>Total Cost</w:t>
                  </w:r>
                </w:p>
              </w:tc>
            </w:tr>
            <w:tr w:rsidR="00B92B0B" w:rsidRPr="00A35A4D" w14:paraId="589BA65E" w14:textId="77777777" w:rsidTr="00B92B0B">
              <w:tc>
                <w:tcPr>
                  <w:tcW w:w="3307" w:type="dxa"/>
                </w:tcPr>
                <w:p w14:paraId="0EBDDFB5" w14:textId="77777777" w:rsidR="00B92B0B" w:rsidRPr="00A35A4D" w:rsidRDefault="00B92B0B" w:rsidP="009D7214">
                  <w:pPr>
                    <w:rPr>
                      <w:rFonts w:ascii="Bookman Old Style" w:hAnsi="Bookman Old Style"/>
                    </w:rPr>
                  </w:pPr>
                  <w:r>
                    <w:rPr>
                      <w:rFonts w:ascii="Bookman Old Style" w:hAnsi="Bookman Old Style"/>
                    </w:rPr>
                    <w:t>Personnel (staff and consultants, incl. travel)</w:t>
                  </w:r>
                </w:p>
              </w:tc>
              <w:tc>
                <w:tcPr>
                  <w:tcW w:w="1794" w:type="dxa"/>
                </w:tcPr>
                <w:p w14:paraId="253BCBBE" w14:textId="5E520B40" w:rsidR="00B92B0B" w:rsidRPr="00A35A4D" w:rsidRDefault="0069576E" w:rsidP="009D7214">
                  <w:pPr>
                    <w:jc w:val="right"/>
                    <w:rPr>
                      <w:rFonts w:ascii="Bookman Old Style" w:hAnsi="Bookman Old Style"/>
                    </w:rPr>
                  </w:pPr>
                  <w:r>
                    <w:rPr>
                      <w:rFonts w:ascii="Bookman Old Style" w:hAnsi="Bookman Old Style"/>
                    </w:rPr>
                    <w:t>45,9</w:t>
                  </w:r>
                  <w:r w:rsidR="00B92B0B">
                    <w:rPr>
                      <w:rFonts w:ascii="Bookman Old Style" w:hAnsi="Bookman Old Style"/>
                    </w:rPr>
                    <w:t>00</w:t>
                  </w:r>
                </w:p>
              </w:tc>
              <w:tc>
                <w:tcPr>
                  <w:tcW w:w="1794" w:type="dxa"/>
                </w:tcPr>
                <w:p w14:paraId="0203F937" w14:textId="1F1AF931" w:rsidR="00B92B0B" w:rsidRDefault="0069576E" w:rsidP="009D7214">
                  <w:pPr>
                    <w:jc w:val="right"/>
                    <w:rPr>
                      <w:rFonts w:ascii="Bookman Old Style" w:hAnsi="Bookman Old Style"/>
                    </w:rPr>
                  </w:pPr>
                  <w:r>
                    <w:rPr>
                      <w:rFonts w:ascii="Bookman Old Style" w:hAnsi="Bookman Old Style"/>
                    </w:rPr>
                    <w:t>53,9</w:t>
                  </w:r>
                  <w:r w:rsidR="00B92B0B">
                    <w:rPr>
                      <w:rFonts w:ascii="Bookman Old Style" w:hAnsi="Bookman Old Style"/>
                    </w:rPr>
                    <w:t>00</w:t>
                  </w:r>
                </w:p>
              </w:tc>
              <w:tc>
                <w:tcPr>
                  <w:tcW w:w="1794" w:type="dxa"/>
                </w:tcPr>
                <w:p w14:paraId="6D7C6781" w14:textId="561C81C6" w:rsidR="00B92B0B" w:rsidRDefault="0069576E" w:rsidP="009D7214">
                  <w:pPr>
                    <w:jc w:val="right"/>
                    <w:rPr>
                      <w:rFonts w:ascii="Bookman Old Style" w:hAnsi="Bookman Old Style"/>
                    </w:rPr>
                  </w:pPr>
                  <w:r>
                    <w:rPr>
                      <w:rFonts w:ascii="Bookman Old Style" w:hAnsi="Bookman Old Style"/>
                    </w:rPr>
                    <w:t>99,8</w:t>
                  </w:r>
                  <w:r w:rsidR="00B92B0B">
                    <w:rPr>
                      <w:rFonts w:ascii="Bookman Old Style" w:hAnsi="Bookman Old Style"/>
                    </w:rPr>
                    <w:t>00</w:t>
                  </w:r>
                </w:p>
              </w:tc>
            </w:tr>
            <w:tr w:rsidR="00B92B0B" w:rsidRPr="00A35A4D" w14:paraId="1BA6B97D" w14:textId="77777777" w:rsidTr="00B92B0B">
              <w:tc>
                <w:tcPr>
                  <w:tcW w:w="3307" w:type="dxa"/>
                </w:tcPr>
                <w:p w14:paraId="664A4148" w14:textId="77777777" w:rsidR="00B92B0B" w:rsidRPr="00A35A4D" w:rsidRDefault="00B92B0B" w:rsidP="009D7214">
                  <w:pPr>
                    <w:rPr>
                      <w:rFonts w:ascii="Bookman Old Style" w:hAnsi="Bookman Old Style"/>
                    </w:rPr>
                  </w:pPr>
                  <w:r>
                    <w:rPr>
                      <w:rFonts w:ascii="Bookman Old Style" w:hAnsi="Bookman Old Style"/>
                    </w:rPr>
                    <w:t>Supplies</w:t>
                  </w:r>
                </w:p>
              </w:tc>
              <w:tc>
                <w:tcPr>
                  <w:tcW w:w="1794" w:type="dxa"/>
                </w:tcPr>
                <w:p w14:paraId="49B75EE4" w14:textId="193C51DB" w:rsidR="00B92B0B" w:rsidRPr="00A35A4D" w:rsidRDefault="002263D5" w:rsidP="009D7214">
                  <w:pPr>
                    <w:jc w:val="right"/>
                    <w:rPr>
                      <w:rFonts w:ascii="Bookman Old Style" w:hAnsi="Bookman Old Style"/>
                    </w:rPr>
                  </w:pPr>
                  <w:r>
                    <w:rPr>
                      <w:rFonts w:ascii="Bookman Old Style" w:hAnsi="Bookman Old Style"/>
                    </w:rPr>
                    <w:t>4,5</w:t>
                  </w:r>
                  <w:r w:rsidR="00B92B0B">
                    <w:rPr>
                      <w:rFonts w:ascii="Bookman Old Style" w:hAnsi="Bookman Old Style"/>
                    </w:rPr>
                    <w:t>00</w:t>
                  </w:r>
                </w:p>
              </w:tc>
              <w:tc>
                <w:tcPr>
                  <w:tcW w:w="1794" w:type="dxa"/>
                </w:tcPr>
                <w:p w14:paraId="1AC034B6" w14:textId="0D4C9457" w:rsidR="00B92B0B" w:rsidRDefault="00B92B0B" w:rsidP="009D7214">
                  <w:pPr>
                    <w:jc w:val="right"/>
                    <w:rPr>
                      <w:rFonts w:ascii="Bookman Old Style" w:hAnsi="Bookman Old Style"/>
                    </w:rPr>
                  </w:pPr>
                </w:p>
              </w:tc>
              <w:tc>
                <w:tcPr>
                  <w:tcW w:w="1794" w:type="dxa"/>
                </w:tcPr>
                <w:p w14:paraId="5AB2E276" w14:textId="6C52CFE1" w:rsidR="00B92B0B" w:rsidRDefault="0069576E" w:rsidP="009D7214">
                  <w:pPr>
                    <w:jc w:val="right"/>
                    <w:rPr>
                      <w:rFonts w:ascii="Bookman Old Style" w:hAnsi="Bookman Old Style"/>
                    </w:rPr>
                  </w:pPr>
                  <w:r>
                    <w:rPr>
                      <w:rFonts w:ascii="Bookman Old Style" w:hAnsi="Bookman Old Style"/>
                    </w:rPr>
                    <w:t>4,5</w:t>
                  </w:r>
                  <w:r w:rsidR="00B92B0B">
                    <w:rPr>
                      <w:rFonts w:ascii="Bookman Old Style" w:hAnsi="Bookman Old Style"/>
                    </w:rPr>
                    <w:t>00</w:t>
                  </w:r>
                </w:p>
              </w:tc>
            </w:tr>
            <w:tr w:rsidR="00B92B0B" w:rsidRPr="00A35A4D" w14:paraId="5B92F621" w14:textId="77777777" w:rsidTr="00B92B0B">
              <w:tc>
                <w:tcPr>
                  <w:tcW w:w="3307" w:type="dxa"/>
                </w:tcPr>
                <w:p w14:paraId="6626A41C" w14:textId="77777777" w:rsidR="00B92B0B" w:rsidRPr="00A35A4D" w:rsidRDefault="00B92B0B" w:rsidP="009D7214">
                  <w:pPr>
                    <w:rPr>
                      <w:rFonts w:ascii="Bookman Old Style" w:hAnsi="Bookman Old Style"/>
                    </w:rPr>
                  </w:pPr>
                  <w:r>
                    <w:rPr>
                      <w:rFonts w:ascii="Bookman Old Style" w:hAnsi="Bookman Old Style"/>
                    </w:rPr>
                    <w:t>Training and workshops</w:t>
                  </w:r>
                </w:p>
              </w:tc>
              <w:tc>
                <w:tcPr>
                  <w:tcW w:w="1794" w:type="dxa"/>
                </w:tcPr>
                <w:p w14:paraId="7372ACBF" w14:textId="1D4A23D3" w:rsidR="00B92B0B" w:rsidRPr="00A35A4D" w:rsidRDefault="0069576E" w:rsidP="009D7214">
                  <w:pPr>
                    <w:jc w:val="right"/>
                    <w:rPr>
                      <w:rFonts w:ascii="Bookman Old Style" w:hAnsi="Bookman Old Style"/>
                    </w:rPr>
                  </w:pPr>
                  <w:r>
                    <w:rPr>
                      <w:rFonts w:ascii="Bookman Old Style" w:hAnsi="Bookman Old Style"/>
                    </w:rPr>
                    <w:t>58,6</w:t>
                  </w:r>
                  <w:r w:rsidR="00B92B0B">
                    <w:rPr>
                      <w:rFonts w:ascii="Bookman Old Style" w:hAnsi="Bookman Old Style"/>
                    </w:rPr>
                    <w:t>00</w:t>
                  </w:r>
                </w:p>
              </w:tc>
              <w:tc>
                <w:tcPr>
                  <w:tcW w:w="1794" w:type="dxa"/>
                </w:tcPr>
                <w:p w14:paraId="115A0EC8" w14:textId="47857849" w:rsidR="00B92B0B" w:rsidRDefault="0069576E" w:rsidP="009D7214">
                  <w:pPr>
                    <w:jc w:val="right"/>
                    <w:rPr>
                      <w:rFonts w:ascii="Bookman Old Style" w:hAnsi="Bookman Old Style"/>
                    </w:rPr>
                  </w:pPr>
                  <w:r>
                    <w:rPr>
                      <w:rFonts w:ascii="Bookman Old Style" w:hAnsi="Bookman Old Style"/>
                    </w:rPr>
                    <w:t>36,9</w:t>
                  </w:r>
                  <w:r w:rsidR="002E543F">
                    <w:rPr>
                      <w:rFonts w:ascii="Bookman Old Style" w:hAnsi="Bookman Old Style"/>
                    </w:rPr>
                    <w:t>00</w:t>
                  </w:r>
                </w:p>
              </w:tc>
              <w:tc>
                <w:tcPr>
                  <w:tcW w:w="1794" w:type="dxa"/>
                </w:tcPr>
                <w:p w14:paraId="46F5B7A4" w14:textId="4FC0AA05" w:rsidR="00B92B0B" w:rsidRDefault="0069576E" w:rsidP="009D7214">
                  <w:pPr>
                    <w:jc w:val="right"/>
                    <w:rPr>
                      <w:rFonts w:ascii="Bookman Old Style" w:hAnsi="Bookman Old Style"/>
                    </w:rPr>
                  </w:pPr>
                  <w:r>
                    <w:rPr>
                      <w:rFonts w:ascii="Bookman Old Style" w:hAnsi="Bookman Old Style"/>
                    </w:rPr>
                    <w:t>95,5</w:t>
                  </w:r>
                  <w:bookmarkStart w:id="0" w:name="_GoBack"/>
                  <w:bookmarkEnd w:id="0"/>
                  <w:r w:rsidR="00B92B0B">
                    <w:rPr>
                      <w:rFonts w:ascii="Bookman Old Style" w:hAnsi="Bookman Old Style"/>
                    </w:rPr>
                    <w:t>00</w:t>
                  </w:r>
                </w:p>
              </w:tc>
            </w:tr>
            <w:tr w:rsidR="00B92B0B" w:rsidRPr="00A35A4D" w14:paraId="6BDF87F1" w14:textId="77777777" w:rsidTr="00B92B0B">
              <w:trPr>
                <w:trHeight w:val="147"/>
              </w:trPr>
              <w:tc>
                <w:tcPr>
                  <w:tcW w:w="3307" w:type="dxa"/>
                </w:tcPr>
                <w:p w14:paraId="2FF92AE1" w14:textId="77777777" w:rsidR="00B92B0B" w:rsidRPr="00C4145C" w:rsidRDefault="002E543F" w:rsidP="009D7214">
                  <w:pPr>
                    <w:rPr>
                      <w:rFonts w:ascii="Bookman Old Style" w:hAnsi="Bookman Old Style"/>
                      <w:b/>
                    </w:rPr>
                  </w:pPr>
                  <w:r>
                    <w:rPr>
                      <w:rFonts w:ascii="Bookman Old Style" w:hAnsi="Bookman Old Style"/>
                      <w:b/>
                    </w:rPr>
                    <w:t>Total</w:t>
                  </w:r>
                  <w:r w:rsidR="00B92B0B" w:rsidRPr="00C4145C">
                    <w:rPr>
                      <w:rFonts w:ascii="Bookman Old Style" w:hAnsi="Bookman Old Style"/>
                      <w:b/>
                    </w:rPr>
                    <w:t xml:space="preserve"> </w:t>
                  </w:r>
                </w:p>
              </w:tc>
              <w:tc>
                <w:tcPr>
                  <w:tcW w:w="1794" w:type="dxa"/>
                </w:tcPr>
                <w:p w14:paraId="04EEB9E1" w14:textId="4423849B" w:rsidR="00B92B0B" w:rsidRPr="002E543F" w:rsidRDefault="0069576E" w:rsidP="009D7214">
                  <w:pPr>
                    <w:jc w:val="right"/>
                    <w:rPr>
                      <w:rFonts w:ascii="Bookman Old Style" w:hAnsi="Bookman Old Style"/>
                      <w:b/>
                    </w:rPr>
                  </w:pPr>
                  <w:r>
                    <w:rPr>
                      <w:rFonts w:ascii="Bookman Old Style" w:hAnsi="Bookman Old Style"/>
                      <w:b/>
                    </w:rPr>
                    <w:t>109</w:t>
                  </w:r>
                  <w:r w:rsidR="00B92B0B" w:rsidRPr="002E543F">
                    <w:rPr>
                      <w:rFonts w:ascii="Bookman Old Style" w:hAnsi="Bookman Old Style"/>
                      <w:b/>
                    </w:rPr>
                    <w:t>,000</w:t>
                  </w:r>
                </w:p>
              </w:tc>
              <w:tc>
                <w:tcPr>
                  <w:tcW w:w="1794" w:type="dxa"/>
                </w:tcPr>
                <w:p w14:paraId="555DB2CC" w14:textId="2D867332" w:rsidR="00B92B0B" w:rsidRPr="002E543F" w:rsidRDefault="0069576E" w:rsidP="009D7214">
                  <w:pPr>
                    <w:jc w:val="right"/>
                    <w:rPr>
                      <w:rFonts w:ascii="Bookman Old Style" w:hAnsi="Bookman Old Style"/>
                      <w:b/>
                    </w:rPr>
                  </w:pPr>
                  <w:r>
                    <w:rPr>
                      <w:rFonts w:ascii="Bookman Old Style" w:hAnsi="Bookman Old Style"/>
                      <w:b/>
                    </w:rPr>
                    <w:t>90</w:t>
                  </w:r>
                  <w:r w:rsidR="002263D5">
                    <w:rPr>
                      <w:rFonts w:ascii="Bookman Old Style" w:hAnsi="Bookman Old Style"/>
                      <w:b/>
                    </w:rPr>
                    <w:t>,8</w:t>
                  </w:r>
                  <w:r w:rsidR="002E543F" w:rsidRPr="002E543F">
                    <w:rPr>
                      <w:rFonts w:ascii="Bookman Old Style" w:hAnsi="Bookman Old Style"/>
                      <w:b/>
                    </w:rPr>
                    <w:t>00</w:t>
                  </w:r>
                </w:p>
              </w:tc>
              <w:tc>
                <w:tcPr>
                  <w:tcW w:w="1794" w:type="dxa"/>
                </w:tcPr>
                <w:p w14:paraId="06A10F95" w14:textId="06206F9E" w:rsidR="00B92B0B" w:rsidRPr="002E543F" w:rsidRDefault="0069576E" w:rsidP="009D7214">
                  <w:pPr>
                    <w:jc w:val="right"/>
                    <w:rPr>
                      <w:rFonts w:ascii="Bookman Old Style" w:hAnsi="Bookman Old Style"/>
                      <w:b/>
                    </w:rPr>
                  </w:pPr>
                  <w:r>
                    <w:rPr>
                      <w:rFonts w:ascii="Bookman Old Style" w:hAnsi="Bookman Old Style"/>
                      <w:b/>
                    </w:rPr>
                    <w:t>199</w:t>
                  </w:r>
                  <w:r w:rsidR="002263D5">
                    <w:rPr>
                      <w:rFonts w:ascii="Bookman Old Style" w:hAnsi="Bookman Old Style"/>
                      <w:b/>
                    </w:rPr>
                    <w:t>,8</w:t>
                  </w:r>
                  <w:r w:rsidR="002E543F" w:rsidRPr="002E543F">
                    <w:rPr>
                      <w:rFonts w:ascii="Bookman Old Style" w:hAnsi="Bookman Old Style"/>
                      <w:b/>
                    </w:rPr>
                    <w:t>00</w:t>
                  </w:r>
                </w:p>
              </w:tc>
            </w:tr>
          </w:tbl>
          <w:p w14:paraId="796F06F5" w14:textId="77777777" w:rsidR="009D7214" w:rsidRPr="00A35A4D" w:rsidRDefault="009D7214" w:rsidP="009D7214">
            <w:pPr>
              <w:rPr>
                <w:rFonts w:ascii="Bookman Old Style" w:hAnsi="Bookman Old Style"/>
              </w:rPr>
            </w:pPr>
          </w:p>
        </w:tc>
      </w:tr>
      <w:tr w:rsidR="009D7214" w:rsidRPr="00A35A4D" w14:paraId="18EE9C56" w14:textId="77777777">
        <w:trPr>
          <w:trHeight w:val="135"/>
        </w:trPr>
        <w:tc>
          <w:tcPr>
            <w:tcW w:w="5000" w:type="pct"/>
            <w:gridSpan w:val="2"/>
          </w:tcPr>
          <w:p w14:paraId="26247CCC" w14:textId="77777777" w:rsidR="009D7214" w:rsidRPr="00A35A4D" w:rsidRDefault="009D7214" w:rsidP="009D7214">
            <w:pPr>
              <w:jc w:val="both"/>
              <w:rPr>
                <w:rFonts w:ascii="Bookman Old Style" w:hAnsi="Bookman Old Style"/>
                <w:b/>
              </w:rPr>
            </w:pPr>
            <w:r>
              <w:rPr>
                <w:rFonts w:ascii="Bookman Old Style" w:hAnsi="Bookman Old Style"/>
                <w:b/>
              </w:rPr>
              <w:t>Timeline</w:t>
            </w:r>
          </w:p>
          <w:p w14:paraId="60D463CA" w14:textId="77777777" w:rsidR="009D7214" w:rsidRPr="00A35A4D" w:rsidRDefault="009D7214" w:rsidP="009D7214">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768"/>
              <w:gridCol w:w="767"/>
              <w:gridCol w:w="776"/>
              <w:gridCol w:w="767"/>
              <w:gridCol w:w="776"/>
              <w:gridCol w:w="767"/>
              <w:gridCol w:w="767"/>
              <w:gridCol w:w="767"/>
              <w:gridCol w:w="767"/>
              <w:gridCol w:w="770"/>
              <w:gridCol w:w="768"/>
              <w:gridCol w:w="742"/>
            </w:tblGrid>
            <w:tr w:rsidR="009D7214" w:rsidRPr="00A35A4D" w14:paraId="50B5C942" w14:textId="77777777">
              <w:tc>
                <w:tcPr>
                  <w:tcW w:w="832" w:type="dxa"/>
                </w:tcPr>
                <w:p w14:paraId="4F0539BD" w14:textId="77777777" w:rsidR="009D7214" w:rsidRPr="00A35A4D" w:rsidRDefault="009D7214" w:rsidP="009D7214">
                  <w:pPr>
                    <w:jc w:val="center"/>
                    <w:rPr>
                      <w:rFonts w:ascii="Bookman Old Style" w:hAnsi="Bookman Old Style"/>
                      <w:b/>
                    </w:rPr>
                  </w:pPr>
                </w:p>
              </w:tc>
              <w:tc>
                <w:tcPr>
                  <w:tcW w:w="768" w:type="dxa"/>
                </w:tcPr>
                <w:p w14:paraId="1684DD15" w14:textId="77777777" w:rsidR="009D7214" w:rsidRPr="00A35A4D" w:rsidRDefault="009D7214" w:rsidP="009D7214">
                  <w:pPr>
                    <w:jc w:val="center"/>
                    <w:rPr>
                      <w:rFonts w:ascii="Bookman Old Style" w:hAnsi="Bookman Old Style"/>
                      <w:b/>
                    </w:rPr>
                  </w:pPr>
                  <w:r w:rsidRPr="00A35A4D">
                    <w:rPr>
                      <w:rFonts w:ascii="Bookman Old Style" w:hAnsi="Bookman Old Style"/>
                      <w:b/>
                    </w:rPr>
                    <w:t>J</w:t>
                  </w:r>
                </w:p>
              </w:tc>
              <w:tc>
                <w:tcPr>
                  <w:tcW w:w="767" w:type="dxa"/>
                </w:tcPr>
                <w:p w14:paraId="022224CE" w14:textId="77777777" w:rsidR="009D7214" w:rsidRPr="00A35A4D" w:rsidRDefault="009D7214" w:rsidP="009D7214">
                  <w:pPr>
                    <w:jc w:val="center"/>
                    <w:rPr>
                      <w:rFonts w:ascii="Bookman Old Style" w:hAnsi="Bookman Old Style"/>
                      <w:b/>
                    </w:rPr>
                  </w:pPr>
                  <w:r w:rsidRPr="00A35A4D">
                    <w:rPr>
                      <w:rFonts w:ascii="Bookman Old Style" w:hAnsi="Bookman Old Style"/>
                      <w:b/>
                    </w:rPr>
                    <w:t>F</w:t>
                  </w:r>
                </w:p>
              </w:tc>
              <w:tc>
                <w:tcPr>
                  <w:tcW w:w="776" w:type="dxa"/>
                </w:tcPr>
                <w:p w14:paraId="72EAB2D2" w14:textId="77777777" w:rsidR="009D7214" w:rsidRPr="00A35A4D" w:rsidRDefault="009D7214" w:rsidP="009D7214">
                  <w:pPr>
                    <w:jc w:val="center"/>
                    <w:rPr>
                      <w:rFonts w:ascii="Bookman Old Style" w:hAnsi="Bookman Old Style"/>
                      <w:b/>
                    </w:rPr>
                  </w:pPr>
                  <w:r w:rsidRPr="00A35A4D">
                    <w:rPr>
                      <w:rFonts w:ascii="Bookman Old Style" w:hAnsi="Bookman Old Style"/>
                      <w:b/>
                    </w:rPr>
                    <w:t>M</w:t>
                  </w:r>
                </w:p>
              </w:tc>
              <w:tc>
                <w:tcPr>
                  <w:tcW w:w="767" w:type="dxa"/>
                </w:tcPr>
                <w:p w14:paraId="30DB2724" w14:textId="77777777" w:rsidR="009D7214" w:rsidRPr="00A35A4D" w:rsidRDefault="009D7214" w:rsidP="009D7214">
                  <w:pPr>
                    <w:jc w:val="center"/>
                    <w:rPr>
                      <w:rFonts w:ascii="Bookman Old Style" w:hAnsi="Bookman Old Style"/>
                      <w:b/>
                    </w:rPr>
                  </w:pPr>
                  <w:r w:rsidRPr="00A35A4D">
                    <w:rPr>
                      <w:rFonts w:ascii="Bookman Old Style" w:hAnsi="Bookman Old Style"/>
                      <w:b/>
                    </w:rPr>
                    <w:t>A</w:t>
                  </w:r>
                </w:p>
              </w:tc>
              <w:tc>
                <w:tcPr>
                  <w:tcW w:w="776" w:type="dxa"/>
                </w:tcPr>
                <w:p w14:paraId="62795C6E" w14:textId="77777777" w:rsidR="009D7214" w:rsidRPr="00A35A4D" w:rsidRDefault="009D7214" w:rsidP="009D7214">
                  <w:pPr>
                    <w:jc w:val="center"/>
                    <w:rPr>
                      <w:rFonts w:ascii="Bookman Old Style" w:hAnsi="Bookman Old Style"/>
                      <w:b/>
                    </w:rPr>
                  </w:pPr>
                  <w:r w:rsidRPr="00A35A4D">
                    <w:rPr>
                      <w:rFonts w:ascii="Bookman Old Style" w:hAnsi="Bookman Old Style"/>
                      <w:b/>
                    </w:rPr>
                    <w:t>M</w:t>
                  </w:r>
                </w:p>
              </w:tc>
              <w:tc>
                <w:tcPr>
                  <w:tcW w:w="767" w:type="dxa"/>
                </w:tcPr>
                <w:p w14:paraId="64DBC552" w14:textId="77777777" w:rsidR="009D7214" w:rsidRPr="00A35A4D" w:rsidRDefault="009D7214" w:rsidP="009D7214">
                  <w:pPr>
                    <w:jc w:val="center"/>
                    <w:rPr>
                      <w:rFonts w:ascii="Bookman Old Style" w:hAnsi="Bookman Old Style"/>
                      <w:b/>
                    </w:rPr>
                  </w:pPr>
                  <w:r w:rsidRPr="00A35A4D">
                    <w:rPr>
                      <w:rFonts w:ascii="Bookman Old Style" w:hAnsi="Bookman Old Style"/>
                      <w:b/>
                    </w:rPr>
                    <w:t>J</w:t>
                  </w:r>
                </w:p>
              </w:tc>
              <w:tc>
                <w:tcPr>
                  <w:tcW w:w="767" w:type="dxa"/>
                </w:tcPr>
                <w:p w14:paraId="5E2DC111" w14:textId="77777777" w:rsidR="009D7214" w:rsidRPr="00A35A4D" w:rsidRDefault="009D7214" w:rsidP="009D7214">
                  <w:pPr>
                    <w:jc w:val="center"/>
                    <w:rPr>
                      <w:rFonts w:ascii="Bookman Old Style" w:hAnsi="Bookman Old Style"/>
                      <w:b/>
                    </w:rPr>
                  </w:pPr>
                  <w:r w:rsidRPr="00A35A4D">
                    <w:rPr>
                      <w:rFonts w:ascii="Bookman Old Style" w:hAnsi="Bookman Old Style"/>
                      <w:b/>
                    </w:rPr>
                    <w:t>J</w:t>
                  </w:r>
                </w:p>
              </w:tc>
              <w:tc>
                <w:tcPr>
                  <w:tcW w:w="767" w:type="dxa"/>
                </w:tcPr>
                <w:p w14:paraId="1C5480B2" w14:textId="77777777" w:rsidR="009D7214" w:rsidRPr="00A35A4D" w:rsidRDefault="009D7214" w:rsidP="009D7214">
                  <w:pPr>
                    <w:jc w:val="center"/>
                    <w:rPr>
                      <w:rFonts w:ascii="Bookman Old Style" w:hAnsi="Bookman Old Style"/>
                      <w:b/>
                    </w:rPr>
                  </w:pPr>
                  <w:r w:rsidRPr="00A35A4D">
                    <w:rPr>
                      <w:rFonts w:ascii="Bookman Old Style" w:hAnsi="Bookman Old Style"/>
                      <w:b/>
                    </w:rPr>
                    <w:t>A</w:t>
                  </w:r>
                </w:p>
              </w:tc>
              <w:tc>
                <w:tcPr>
                  <w:tcW w:w="767" w:type="dxa"/>
                </w:tcPr>
                <w:p w14:paraId="70D9E622" w14:textId="77777777" w:rsidR="009D7214" w:rsidRPr="00A35A4D" w:rsidRDefault="009D7214" w:rsidP="009D7214">
                  <w:pPr>
                    <w:jc w:val="center"/>
                    <w:rPr>
                      <w:rFonts w:ascii="Bookman Old Style" w:hAnsi="Bookman Old Style"/>
                      <w:b/>
                    </w:rPr>
                  </w:pPr>
                  <w:r w:rsidRPr="00A35A4D">
                    <w:rPr>
                      <w:rFonts w:ascii="Bookman Old Style" w:hAnsi="Bookman Old Style"/>
                      <w:b/>
                    </w:rPr>
                    <w:t>S</w:t>
                  </w:r>
                </w:p>
              </w:tc>
              <w:tc>
                <w:tcPr>
                  <w:tcW w:w="770" w:type="dxa"/>
                </w:tcPr>
                <w:p w14:paraId="725E8C67" w14:textId="77777777" w:rsidR="009D7214" w:rsidRPr="00A35A4D" w:rsidRDefault="009D7214" w:rsidP="009D7214">
                  <w:pPr>
                    <w:jc w:val="center"/>
                    <w:rPr>
                      <w:rFonts w:ascii="Bookman Old Style" w:hAnsi="Bookman Old Style"/>
                      <w:b/>
                    </w:rPr>
                  </w:pPr>
                  <w:r w:rsidRPr="00A35A4D">
                    <w:rPr>
                      <w:rFonts w:ascii="Bookman Old Style" w:hAnsi="Bookman Old Style"/>
                      <w:b/>
                    </w:rPr>
                    <w:t>O</w:t>
                  </w:r>
                </w:p>
              </w:tc>
              <w:tc>
                <w:tcPr>
                  <w:tcW w:w="768" w:type="dxa"/>
                </w:tcPr>
                <w:p w14:paraId="303D348B" w14:textId="77777777" w:rsidR="009D7214" w:rsidRPr="00A35A4D" w:rsidRDefault="009D7214" w:rsidP="009D7214">
                  <w:pPr>
                    <w:jc w:val="center"/>
                    <w:rPr>
                      <w:rFonts w:ascii="Bookman Old Style" w:hAnsi="Bookman Old Style"/>
                      <w:b/>
                    </w:rPr>
                  </w:pPr>
                  <w:r w:rsidRPr="00A35A4D">
                    <w:rPr>
                      <w:rFonts w:ascii="Bookman Old Style" w:hAnsi="Bookman Old Style"/>
                      <w:b/>
                    </w:rPr>
                    <w:t>N</w:t>
                  </w:r>
                </w:p>
              </w:tc>
              <w:tc>
                <w:tcPr>
                  <w:tcW w:w="742" w:type="dxa"/>
                </w:tcPr>
                <w:p w14:paraId="37158C57" w14:textId="77777777" w:rsidR="009D7214" w:rsidRPr="00A35A4D" w:rsidRDefault="009D7214" w:rsidP="009D7214">
                  <w:pPr>
                    <w:jc w:val="center"/>
                    <w:rPr>
                      <w:rFonts w:ascii="Bookman Old Style" w:hAnsi="Bookman Old Style"/>
                      <w:b/>
                    </w:rPr>
                  </w:pPr>
                  <w:r w:rsidRPr="00A35A4D">
                    <w:rPr>
                      <w:rFonts w:ascii="Bookman Old Style" w:hAnsi="Bookman Old Style"/>
                      <w:b/>
                    </w:rPr>
                    <w:t>D</w:t>
                  </w:r>
                </w:p>
              </w:tc>
            </w:tr>
            <w:tr w:rsidR="009D7214" w:rsidRPr="00A35A4D" w14:paraId="2F1A4F6D" w14:textId="77777777">
              <w:tc>
                <w:tcPr>
                  <w:tcW w:w="832" w:type="dxa"/>
                </w:tcPr>
                <w:p w14:paraId="68F6D924" w14:textId="77777777" w:rsidR="009D7214" w:rsidRPr="00A35A4D" w:rsidRDefault="009D7214" w:rsidP="009D7214">
                  <w:pPr>
                    <w:jc w:val="center"/>
                    <w:rPr>
                      <w:rFonts w:ascii="Bookman Old Style" w:hAnsi="Bookman Old Style"/>
                    </w:rPr>
                  </w:pPr>
                  <w:r w:rsidRPr="00A35A4D">
                    <w:rPr>
                      <w:rFonts w:ascii="Bookman Old Style" w:hAnsi="Bookman Old Style"/>
                    </w:rPr>
                    <w:t>2012</w:t>
                  </w:r>
                </w:p>
              </w:tc>
              <w:tc>
                <w:tcPr>
                  <w:tcW w:w="768" w:type="dxa"/>
                </w:tcPr>
                <w:p w14:paraId="60F5370F" w14:textId="77777777" w:rsidR="009D7214" w:rsidRPr="00A35A4D" w:rsidRDefault="009D7214" w:rsidP="009D7214">
                  <w:pPr>
                    <w:jc w:val="center"/>
                    <w:rPr>
                      <w:rFonts w:ascii="Bookman Old Style" w:hAnsi="Bookman Old Style"/>
                    </w:rPr>
                  </w:pPr>
                </w:p>
              </w:tc>
              <w:tc>
                <w:tcPr>
                  <w:tcW w:w="767" w:type="dxa"/>
                </w:tcPr>
                <w:p w14:paraId="3A4E1364" w14:textId="77777777" w:rsidR="009D7214" w:rsidRPr="00A35A4D" w:rsidRDefault="009D7214" w:rsidP="009D7214">
                  <w:pPr>
                    <w:jc w:val="center"/>
                    <w:rPr>
                      <w:rFonts w:ascii="Bookman Old Style" w:hAnsi="Bookman Old Style"/>
                    </w:rPr>
                  </w:pPr>
                </w:p>
              </w:tc>
              <w:tc>
                <w:tcPr>
                  <w:tcW w:w="776" w:type="dxa"/>
                </w:tcPr>
                <w:p w14:paraId="604AAE1B" w14:textId="77777777" w:rsidR="009D7214" w:rsidRPr="00A35A4D" w:rsidRDefault="009D7214" w:rsidP="009D7214">
                  <w:pPr>
                    <w:jc w:val="center"/>
                    <w:rPr>
                      <w:rFonts w:ascii="Bookman Old Style" w:hAnsi="Bookman Old Style"/>
                    </w:rPr>
                  </w:pPr>
                </w:p>
              </w:tc>
              <w:tc>
                <w:tcPr>
                  <w:tcW w:w="767" w:type="dxa"/>
                </w:tcPr>
                <w:p w14:paraId="2C06264A" w14:textId="77777777" w:rsidR="009D7214" w:rsidRPr="00A35A4D" w:rsidRDefault="009D7214" w:rsidP="009D7214">
                  <w:pPr>
                    <w:jc w:val="center"/>
                    <w:rPr>
                      <w:rFonts w:ascii="Bookman Old Style" w:hAnsi="Bookman Old Style"/>
                    </w:rPr>
                  </w:pPr>
                </w:p>
              </w:tc>
              <w:tc>
                <w:tcPr>
                  <w:tcW w:w="776" w:type="dxa"/>
                </w:tcPr>
                <w:p w14:paraId="02F7AE9E" w14:textId="77777777" w:rsidR="009D7214" w:rsidRPr="00A35A4D" w:rsidRDefault="009D7214" w:rsidP="009D7214">
                  <w:pPr>
                    <w:jc w:val="center"/>
                    <w:rPr>
                      <w:rFonts w:ascii="Bookman Old Style" w:hAnsi="Bookman Old Style"/>
                    </w:rPr>
                  </w:pPr>
                </w:p>
              </w:tc>
              <w:tc>
                <w:tcPr>
                  <w:tcW w:w="767" w:type="dxa"/>
                </w:tcPr>
                <w:p w14:paraId="72F28CAE" w14:textId="77777777" w:rsidR="009D7214" w:rsidRPr="00A35A4D" w:rsidRDefault="009D7214" w:rsidP="009D7214">
                  <w:pPr>
                    <w:jc w:val="center"/>
                    <w:rPr>
                      <w:rFonts w:ascii="Bookman Old Style" w:hAnsi="Bookman Old Style"/>
                    </w:rPr>
                  </w:pPr>
                </w:p>
              </w:tc>
              <w:tc>
                <w:tcPr>
                  <w:tcW w:w="767" w:type="dxa"/>
                </w:tcPr>
                <w:p w14:paraId="5E0BF2A3" w14:textId="77777777" w:rsidR="009D7214" w:rsidRPr="00A35A4D" w:rsidRDefault="009D7214" w:rsidP="009D7214">
                  <w:pPr>
                    <w:jc w:val="center"/>
                    <w:rPr>
                      <w:rFonts w:ascii="Bookman Old Style" w:hAnsi="Bookman Old Style"/>
                    </w:rPr>
                  </w:pPr>
                </w:p>
              </w:tc>
              <w:tc>
                <w:tcPr>
                  <w:tcW w:w="767" w:type="dxa"/>
                </w:tcPr>
                <w:p w14:paraId="0B6838B3" w14:textId="77777777" w:rsidR="009D7214" w:rsidRPr="00A35A4D" w:rsidRDefault="009D7214" w:rsidP="009D7214">
                  <w:pPr>
                    <w:jc w:val="center"/>
                    <w:rPr>
                      <w:rFonts w:ascii="Bookman Old Style" w:hAnsi="Bookman Old Style"/>
                    </w:rPr>
                  </w:pPr>
                </w:p>
              </w:tc>
              <w:tc>
                <w:tcPr>
                  <w:tcW w:w="767" w:type="dxa"/>
                </w:tcPr>
                <w:p w14:paraId="3853EA91" w14:textId="77777777" w:rsidR="009D7214" w:rsidRPr="00A35A4D" w:rsidRDefault="009D7214" w:rsidP="009D7214">
                  <w:pPr>
                    <w:jc w:val="center"/>
                    <w:rPr>
                      <w:rFonts w:ascii="Bookman Old Style" w:hAnsi="Bookman Old Style"/>
                    </w:rPr>
                  </w:pPr>
                </w:p>
              </w:tc>
              <w:tc>
                <w:tcPr>
                  <w:tcW w:w="770" w:type="dxa"/>
                </w:tcPr>
                <w:p w14:paraId="065A97B8" w14:textId="77777777" w:rsidR="009D7214" w:rsidRPr="00A35A4D" w:rsidRDefault="009D7214" w:rsidP="009D7214">
                  <w:pPr>
                    <w:jc w:val="center"/>
                    <w:rPr>
                      <w:rFonts w:ascii="Bookman Old Style" w:hAnsi="Bookman Old Style"/>
                    </w:rPr>
                  </w:pPr>
                </w:p>
              </w:tc>
              <w:tc>
                <w:tcPr>
                  <w:tcW w:w="768" w:type="dxa"/>
                </w:tcPr>
                <w:p w14:paraId="5C7B158E" w14:textId="1B0D9087" w:rsidR="009D7214" w:rsidRPr="00A35A4D" w:rsidRDefault="009D7214" w:rsidP="009D7214">
                  <w:pPr>
                    <w:jc w:val="center"/>
                    <w:rPr>
                      <w:rFonts w:ascii="Bookman Old Style" w:hAnsi="Bookman Old Style"/>
                    </w:rPr>
                  </w:pPr>
                </w:p>
              </w:tc>
              <w:tc>
                <w:tcPr>
                  <w:tcW w:w="742" w:type="dxa"/>
                </w:tcPr>
                <w:p w14:paraId="78F6CCC3"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r>
            <w:tr w:rsidR="009D7214" w:rsidRPr="00A35A4D" w14:paraId="70AD39D8" w14:textId="77777777">
              <w:tc>
                <w:tcPr>
                  <w:tcW w:w="832" w:type="dxa"/>
                </w:tcPr>
                <w:p w14:paraId="1F65C25F" w14:textId="77777777" w:rsidR="009D7214" w:rsidRPr="00A35A4D" w:rsidRDefault="009D7214" w:rsidP="009D7214">
                  <w:pPr>
                    <w:jc w:val="center"/>
                    <w:rPr>
                      <w:rFonts w:ascii="Bookman Old Style" w:hAnsi="Bookman Old Style"/>
                    </w:rPr>
                  </w:pPr>
                  <w:r w:rsidRPr="00A35A4D">
                    <w:rPr>
                      <w:rFonts w:ascii="Bookman Old Style" w:hAnsi="Bookman Old Style"/>
                    </w:rPr>
                    <w:t>2013</w:t>
                  </w:r>
                </w:p>
              </w:tc>
              <w:tc>
                <w:tcPr>
                  <w:tcW w:w="768" w:type="dxa"/>
                </w:tcPr>
                <w:p w14:paraId="1DDE6BB7"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67" w:type="dxa"/>
                </w:tcPr>
                <w:p w14:paraId="78D6FD9B"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76" w:type="dxa"/>
                </w:tcPr>
                <w:p w14:paraId="6ACC1100"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67" w:type="dxa"/>
                </w:tcPr>
                <w:p w14:paraId="31B52A35"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76" w:type="dxa"/>
                </w:tcPr>
                <w:p w14:paraId="0E20FAD0"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67" w:type="dxa"/>
                </w:tcPr>
                <w:p w14:paraId="2242C2F3"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67" w:type="dxa"/>
                </w:tcPr>
                <w:p w14:paraId="763D9F65"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67" w:type="dxa"/>
                </w:tcPr>
                <w:p w14:paraId="3518CB98" w14:textId="77777777" w:rsidR="009D7214" w:rsidRPr="00A35A4D" w:rsidRDefault="00FF1242" w:rsidP="009D7214">
                  <w:pPr>
                    <w:jc w:val="center"/>
                    <w:rPr>
                      <w:rFonts w:ascii="Bookman Old Style" w:hAnsi="Bookman Old Style"/>
                    </w:rPr>
                  </w:pPr>
                  <w:proofErr w:type="gramStart"/>
                  <w:r>
                    <w:rPr>
                      <w:rFonts w:ascii="Bookman Old Style" w:hAnsi="Bookman Old Style"/>
                    </w:rPr>
                    <w:t>x</w:t>
                  </w:r>
                  <w:proofErr w:type="gramEnd"/>
                </w:p>
              </w:tc>
              <w:tc>
                <w:tcPr>
                  <w:tcW w:w="767" w:type="dxa"/>
                </w:tcPr>
                <w:p w14:paraId="13476142" w14:textId="213E8E27" w:rsidR="009D7214" w:rsidRPr="00A35A4D" w:rsidRDefault="00431918" w:rsidP="009D7214">
                  <w:pPr>
                    <w:jc w:val="center"/>
                    <w:rPr>
                      <w:rFonts w:ascii="Bookman Old Style" w:hAnsi="Bookman Old Style"/>
                    </w:rPr>
                  </w:pPr>
                  <w:proofErr w:type="gramStart"/>
                  <w:r>
                    <w:rPr>
                      <w:rFonts w:ascii="Bookman Old Style" w:hAnsi="Bookman Old Style"/>
                    </w:rPr>
                    <w:t>x</w:t>
                  </w:r>
                  <w:proofErr w:type="gramEnd"/>
                </w:p>
              </w:tc>
              <w:tc>
                <w:tcPr>
                  <w:tcW w:w="770" w:type="dxa"/>
                </w:tcPr>
                <w:p w14:paraId="346AEF0E" w14:textId="77E03306" w:rsidR="009D7214" w:rsidRPr="00A35A4D" w:rsidRDefault="00431918" w:rsidP="009D7214">
                  <w:pPr>
                    <w:jc w:val="center"/>
                    <w:rPr>
                      <w:rFonts w:ascii="Bookman Old Style" w:hAnsi="Bookman Old Style"/>
                    </w:rPr>
                  </w:pPr>
                  <w:proofErr w:type="gramStart"/>
                  <w:r>
                    <w:rPr>
                      <w:rFonts w:ascii="Bookman Old Style" w:hAnsi="Bookman Old Style"/>
                    </w:rPr>
                    <w:t>x</w:t>
                  </w:r>
                  <w:proofErr w:type="gramEnd"/>
                </w:p>
              </w:tc>
              <w:tc>
                <w:tcPr>
                  <w:tcW w:w="768" w:type="dxa"/>
                </w:tcPr>
                <w:p w14:paraId="0561A9E8" w14:textId="6F126A9B" w:rsidR="009D7214" w:rsidRPr="00A35A4D" w:rsidRDefault="00431918" w:rsidP="009D7214">
                  <w:pPr>
                    <w:jc w:val="center"/>
                    <w:rPr>
                      <w:rFonts w:ascii="Bookman Old Style" w:hAnsi="Bookman Old Style"/>
                    </w:rPr>
                  </w:pPr>
                  <w:proofErr w:type="gramStart"/>
                  <w:r>
                    <w:rPr>
                      <w:rFonts w:ascii="Bookman Old Style" w:hAnsi="Bookman Old Style"/>
                    </w:rPr>
                    <w:t>x</w:t>
                  </w:r>
                  <w:proofErr w:type="gramEnd"/>
                </w:p>
              </w:tc>
              <w:tc>
                <w:tcPr>
                  <w:tcW w:w="742" w:type="dxa"/>
                </w:tcPr>
                <w:p w14:paraId="0EBFD724" w14:textId="0E218423" w:rsidR="009D7214" w:rsidRPr="00A35A4D" w:rsidRDefault="00431918" w:rsidP="009D7214">
                  <w:pPr>
                    <w:jc w:val="center"/>
                    <w:rPr>
                      <w:rFonts w:ascii="Bookman Old Style" w:hAnsi="Bookman Old Style"/>
                    </w:rPr>
                  </w:pPr>
                  <w:proofErr w:type="gramStart"/>
                  <w:r>
                    <w:rPr>
                      <w:rFonts w:ascii="Bookman Old Style" w:hAnsi="Bookman Old Style"/>
                    </w:rPr>
                    <w:t>x</w:t>
                  </w:r>
                  <w:proofErr w:type="gramEnd"/>
                </w:p>
              </w:tc>
            </w:tr>
          </w:tbl>
          <w:p w14:paraId="40911565" w14:textId="77777777" w:rsidR="009D7214" w:rsidRPr="00A35A4D" w:rsidRDefault="009D7214" w:rsidP="009D7214">
            <w:pPr>
              <w:jc w:val="both"/>
              <w:rPr>
                <w:rFonts w:ascii="Bookman Old Style" w:hAnsi="Bookman Old Style"/>
              </w:rPr>
            </w:pPr>
          </w:p>
        </w:tc>
      </w:tr>
    </w:tbl>
    <w:p w14:paraId="14F03E26" w14:textId="77777777" w:rsidR="009D7214" w:rsidRPr="00A35A4D" w:rsidRDefault="009D7214">
      <w:pPr>
        <w:rPr>
          <w:rFonts w:ascii="Bookman Old Style" w:hAnsi="Bookman Old Style"/>
        </w:rPr>
      </w:pPr>
    </w:p>
    <w:sectPr w:rsidR="009D7214" w:rsidRPr="00A35A4D" w:rsidSect="009D7214">
      <w:pgSz w:w="12242" w:h="15842" w:code="124"/>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Mangal">
    <w:panose1 w:val="00000000000000000000"/>
    <w:charset w:val="01"/>
    <w:family w:val="roman"/>
    <w:notTrueType/>
    <w:pitch w:val="variable"/>
    <w:sig w:usb0="00002000" w:usb1="00000000" w:usb2="00000000" w:usb3="00000000" w:csb0="00000000"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719F"/>
    <w:multiLevelType w:val="hybridMultilevel"/>
    <w:tmpl w:val="6C6A8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7B090B"/>
    <w:multiLevelType w:val="multilevel"/>
    <w:tmpl w:val="4086C9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1B6246E"/>
    <w:multiLevelType w:val="hybridMultilevel"/>
    <w:tmpl w:val="ECDEC4D6"/>
    <w:lvl w:ilvl="0" w:tplc="3192FD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42637D"/>
    <w:multiLevelType w:val="multilevel"/>
    <w:tmpl w:val="E5AA613E"/>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4">
    <w:nsid w:val="34D476D3"/>
    <w:multiLevelType w:val="multilevel"/>
    <w:tmpl w:val="8AC63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9D6639"/>
    <w:multiLevelType w:val="multilevel"/>
    <w:tmpl w:val="E5AA613E"/>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485" w:hanging="1440"/>
      </w:pPr>
      <w:rPr>
        <w:rFonts w:hint="default"/>
      </w:rPr>
    </w:lvl>
  </w:abstractNum>
  <w:abstractNum w:abstractNumId="6">
    <w:nsid w:val="37957B66"/>
    <w:multiLevelType w:val="hybridMultilevel"/>
    <w:tmpl w:val="7A6C1D0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Arial"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Arial"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Arial"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46061058"/>
    <w:multiLevelType w:val="hybridMultilevel"/>
    <w:tmpl w:val="615096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D2D0E2E"/>
    <w:multiLevelType w:val="hybridMultilevel"/>
    <w:tmpl w:val="6678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A1981"/>
    <w:multiLevelType w:val="multilevel"/>
    <w:tmpl w:val="2312CD2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0">
    <w:nsid w:val="7E530F55"/>
    <w:multiLevelType w:val="hybridMultilevel"/>
    <w:tmpl w:val="EE8277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2"/>
  </w:num>
  <w:num w:numId="5">
    <w:abstractNumId w:val="3"/>
  </w:num>
  <w:num w:numId="6">
    <w:abstractNumId w:val="4"/>
  </w:num>
  <w:num w:numId="7">
    <w:abstractNumId w:val="1"/>
  </w:num>
  <w:num w:numId="8">
    <w:abstractNumId w:val="5"/>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A83898"/>
    <w:rsid w:val="00007057"/>
    <w:rsid w:val="00034AA4"/>
    <w:rsid w:val="0010568C"/>
    <w:rsid w:val="00183556"/>
    <w:rsid w:val="00194358"/>
    <w:rsid w:val="002263D5"/>
    <w:rsid w:val="00257F71"/>
    <w:rsid w:val="002A4A0B"/>
    <w:rsid w:val="002E0A50"/>
    <w:rsid w:val="002E543F"/>
    <w:rsid w:val="00337C40"/>
    <w:rsid w:val="00431918"/>
    <w:rsid w:val="00434B15"/>
    <w:rsid w:val="00435D71"/>
    <w:rsid w:val="00436252"/>
    <w:rsid w:val="004646F7"/>
    <w:rsid w:val="004716C4"/>
    <w:rsid w:val="00485A28"/>
    <w:rsid w:val="00492F09"/>
    <w:rsid w:val="004B389B"/>
    <w:rsid w:val="004F6974"/>
    <w:rsid w:val="005034E6"/>
    <w:rsid w:val="00516B17"/>
    <w:rsid w:val="00530252"/>
    <w:rsid w:val="0059566A"/>
    <w:rsid w:val="005D15C3"/>
    <w:rsid w:val="005F7CEB"/>
    <w:rsid w:val="00623A19"/>
    <w:rsid w:val="00686D4A"/>
    <w:rsid w:val="0069576E"/>
    <w:rsid w:val="00746A4E"/>
    <w:rsid w:val="007A505D"/>
    <w:rsid w:val="007A5B08"/>
    <w:rsid w:val="007C29B7"/>
    <w:rsid w:val="00807A67"/>
    <w:rsid w:val="00815CE6"/>
    <w:rsid w:val="008177E6"/>
    <w:rsid w:val="00817B89"/>
    <w:rsid w:val="008232A7"/>
    <w:rsid w:val="008457DF"/>
    <w:rsid w:val="00851802"/>
    <w:rsid w:val="00893E2B"/>
    <w:rsid w:val="008B1353"/>
    <w:rsid w:val="008C0B91"/>
    <w:rsid w:val="008C5442"/>
    <w:rsid w:val="0091100D"/>
    <w:rsid w:val="00932030"/>
    <w:rsid w:val="009D7214"/>
    <w:rsid w:val="00A17E9A"/>
    <w:rsid w:val="00A2677D"/>
    <w:rsid w:val="00A51B56"/>
    <w:rsid w:val="00A57798"/>
    <w:rsid w:val="00A83898"/>
    <w:rsid w:val="00AC61F6"/>
    <w:rsid w:val="00B378A1"/>
    <w:rsid w:val="00B625C9"/>
    <w:rsid w:val="00B92B0B"/>
    <w:rsid w:val="00BB4056"/>
    <w:rsid w:val="00BD635B"/>
    <w:rsid w:val="00C22C37"/>
    <w:rsid w:val="00C25C59"/>
    <w:rsid w:val="00C4145C"/>
    <w:rsid w:val="00C66446"/>
    <w:rsid w:val="00CA0182"/>
    <w:rsid w:val="00CC281D"/>
    <w:rsid w:val="00CC5A20"/>
    <w:rsid w:val="00CD382F"/>
    <w:rsid w:val="00D07C53"/>
    <w:rsid w:val="00E044D2"/>
    <w:rsid w:val="00E15313"/>
    <w:rsid w:val="00E16E22"/>
    <w:rsid w:val="00E22D4E"/>
    <w:rsid w:val="00E35755"/>
    <w:rsid w:val="00EC09C6"/>
    <w:rsid w:val="00EE3A01"/>
    <w:rsid w:val="00F01441"/>
    <w:rsid w:val="00F47A0B"/>
    <w:rsid w:val="00F51244"/>
    <w:rsid w:val="00FB322B"/>
    <w:rsid w:val="00FE4B2F"/>
    <w:rsid w:val="00FF1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25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696EB7"/>
    <w:pPr>
      <w:widowControl w:val="0"/>
      <w:suppressAutoHyphens/>
      <w:autoSpaceDN w:val="0"/>
      <w:textAlignment w:val="baseline"/>
    </w:pPr>
    <w:rPr>
      <w:rFonts w:eastAsia="SimSu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rsid w:val="00C9733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C9733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9733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733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733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yperlink">
    <w:name w:val="Hyperlink"/>
    <w:rsid w:val="00F779DC"/>
    <w:rPr>
      <w:color w:val="0000FF"/>
      <w:u w:val="single"/>
    </w:rPr>
  </w:style>
  <w:style w:type="paragraph" w:customStyle="1" w:styleId="Default">
    <w:name w:val="Default"/>
    <w:rsid w:val="009A2F7D"/>
    <w:pPr>
      <w:autoSpaceDE w:val="0"/>
      <w:autoSpaceDN w:val="0"/>
      <w:adjustRightInd w:val="0"/>
    </w:pPr>
    <w:rPr>
      <w:rFonts w:ascii="Franklin Gothic Book" w:hAnsi="Franklin Gothic Book" w:cs="Franklin Gothic Book"/>
      <w:color w:val="000000"/>
      <w:sz w:val="24"/>
      <w:szCs w:val="24"/>
    </w:rPr>
  </w:style>
  <w:style w:type="paragraph" w:customStyle="1" w:styleId="ColorfulList-Accent11">
    <w:name w:val="Colorful List - Accent 11"/>
    <w:basedOn w:val="Normal"/>
    <w:uiPriority w:val="34"/>
    <w:qFormat/>
    <w:rsid w:val="003B465E"/>
    <w:pPr>
      <w:spacing w:after="200" w:line="276" w:lineRule="auto"/>
      <w:ind w:left="720"/>
      <w:contextualSpacing/>
    </w:pPr>
    <w:rPr>
      <w:rFonts w:ascii="Calibri" w:eastAsia="Calibri" w:hAnsi="Calibri"/>
      <w:sz w:val="22"/>
      <w:szCs w:val="22"/>
      <w:lang w:val="es-MX" w:eastAsia="en-US"/>
    </w:rPr>
  </w:style>
  <w:style w:type="table" w:styleId="Table3Deffects3">
    <w:name w:val="Table 3D effects 3"/>
    <w:basedOn w:val="TableNormal"/>
    <w:rsid w:val="007D0CE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DC3D06"/>
    <w:rPr>
      <w:sz w:val="16"/>
      <w:szCs w:val="16"/>
    </w:rPr>
  </w:style>
  <w:style w:type="paragraph" w:styleId="CommentText">
    <w:name w:val="annotation text"/>
    <w:basedOn w:val="Normal"/>
    <w:link w:val="CommentTextChar"/>
    <w:rsid w:val="00DC3D06"/>
    <w:rPr>
      <w:rFonts w:eastAsia="Times New Roman" w:cs="Times New Roman"/>
      <w:kern w:val="0"/>
      <w:sz w:val="20"/>
      <w:szCs w:val="20"/>
      <w:lang w:eastAsia="es-ES" w:bidi="ar-SA"/>
    </w:rPr>
  </w:style>
  <w:style w:type="character" w:customStyle="1" w:styleId="CommentTextChar">
    <w:name w:val="Comment Text Char"/>
    <w:link w:val="CommentText"/>
    <w:rsid w:val="00DC3D06"/>
    <w:rPr>
      <w:lang w:eastAsia="es-ES"/>
    </w:rPr>
  </w:style>
  <w:style w:type="paragraph" w:styleId="CommentSubject">
    <w:name w:val="annotation subject"/>
    <w:basedOn w:val="CommentText"/>
    <w:next w:val="CommentText"/>
    <w:link w:val="CommentSubjectChar"/>
    <w:rsid w:val="00DC3D06"/>
    <w:rPr>
      <w:b/>
      <w:bCs/>
    </w:rPr>
  </w:style>
  <w:style w:type="character" w:customStyle="1" w:styleId="CommentSubjectChar">
    <w:name w:val="Comment Subject Char"/>
    <w:link w:val="CommentSubject"/>
    <w:rsid w:val="00DC3D06"/>
    <w:rPr>
      <w:b/>
      <w:bCs/>
      <w:lang w:eastAsia="es-ES"/>
    </w:rPr>
  </w:style>
  <w:style w:type="paragraph" w:styleId="BalloonText">
    <w:name w:val="Balloon Text"/>
    <w:basedOn w:val="Normal"/>
    <w:link w:val="BalloonTextChar"/>
    <w:rsid w:val="00DC3D06"/>
    <w:rPr>
      <w:rFonts w:ascii="Tahoma" w:eastAsia="Times New Roman" w:hAnsi="Tahoma" w:cs="Times New Roman"/>
      <w:kern w:val="0"/>
      <w:sz w:val="16"/>
      <w:szCs w:val="16"/>
      <w:lang w:eastAsia="es-ES" w:bidi="ar-SA"/>
    </w:rPr>
  </w:style>
  <w:style w:type="character" w:customStyle="1" w:styleId="BalloonTextChar">
    <w:name w:val="Balloon Text Char"/>
    <w:link w:val="BalloonText"/>
    <w:rsid w:val="00DC3D06"/>
    <w:rPr>
      <w:rFonts w:ascii="Tahoma" w:hAnsi="Tahoma" w:cs="Tahoma"/>
      <w:sz w:val="16"/>
      <w:szCs w:val="16"/>
      <w:lang w:eastAsia="es-ES"/>
    </w:rPr>
  </w:style>
  <w:style w:type="paragraph" w:customStyle="1" w:styleId="ColorfulShading-Accent11">
    <w:name w:val="Colorful Shading - Accent 11"/>
    <w:hidden/>
    <w:uiPriority w:val="99"/>
    <w:semiHidden/>
    <w:rsid w:val="00AC78AD"/>
    <w:rPr>
      <w:sz w:val="24"/>
      <w:lang w:val="es-CR" w:eastAsia="es-ES"/>
    </w:rPr>
  </w:style>
  <w:style w:type="character" w:customStyle="1" w:styleId="st">
    <w:name w:val="st"/>
    <w:basedOn w:val="DefaultParagraphFont"/>
    <w:rsid w:val="006306EE"/>
  </w:style>
  <w:style w:type="character" w:styleId="Emphasis">
    <w:name w:val="Emphasis"/>
    <w:basedOn w:val="DefaultParagraphFont"/>
    <w:uiPriority w:val="20"/>
    <w:qFormat/>
    <w:rsid w:val="006306EE"/>
    <w:rPr>
      <w:i/>
    </w:rPr>
  </w:style>
  <w:style w:type="paragraph" w:styleId="ListParagraph">
    <w:name w:val="List Paragraph"/>
    <w:basedOn w:val="Normal"/>
    <w:uiPriority w:val="34"/>
    <w:qFormat/>
    <w:rsid w:val="00E16E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696EB7"/>
    <w:pPr>
      <w:widowControl w:val="0"/>
      <w:suppressAutoHyphens/>
      <w:autoSpaceDN w:val="0"/>
      <w:textAlignment w:val="baseline"/>
    </w:pPr>
    <w:rPr>
      <w:rFonts w:eastAsia="SimSu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3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rsid w:val="00C9733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C9733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9733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733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733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yperlink">
    <w:name w:val="Hyperlink"/>
    <w:rsid w:val="00F779DC"/>
    <w:rPr>
      <w:color w:val="0000FF"/>
      <w:u w:val="single"/>
    </w:rPr>
  </w:style>
  <w:style w:type="paragraph" w:customStyle="1" w:styleId="Default">
    <w:name w:val="Default"/>
    <w:rsid w:val="009A2F7D"/>
    <w:pPr>
      <w:autoSpaceDE w:val="0"/>
      <w:autoSpaceDN w:val="0"/>
      <w:adjustRightInd w:val="0"/>
    </w:pPr>
    <w:rPr>
      <w:rFonts w:ascii="Franklin Gothic Book" w:hAnsi="Franklin Gothic Book" w:cs="Franklin Gothic Book"/>
      <w:color w:val="000000"/>
      <w:sz w:val="24"/>
      <w:szCs w:val="24"/>
    </w:rPr>
  </w:style>
  <w:style w:type="paragraph" w:customStyle="1" w:styleId="ColorfulList-Accent11">
    <w:name w:val="Colorful List - Accent 11"/>
    <w:basedOn w:val="Normal"/>
    <w:uiPriority w:val="34"/>
    <w:qFormat/>
    <w:rsid w:val="003B465E"/>
    <w:pPr>
      <w:spacing w:after="200" w:line="276" w:lineRule="auto"/>
      <w:ind w:left="720"/>
      <w:contextualSpacing/>
    </w:pPr>
    <w:rPr>
      <w:rFonts w:ascii="Calibri" w:eastAsia="Calibri" w:hAnsi="Calibri"/>
      <w:sz w:val="22"/>
      <w:szCs w:val="22"/>
      <w:lang w:val="es-MX" w:eastAsia="en-US"/>
    </w:rPr>
  </w:style>
  <w:style w:type="table" w:styleId="Table3Deffects3">
    <w:name w:val="Table 3D effects 3"/>
    <w:basedOn w:val="TableNormal"/>
    <w:rsid w:val="007D0CE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DC3D06"/>
    <w:rPr>
      <w:sz w:val="16"/>
      <w:szCs w:val="16"/>
    </w:rPr>
  </w:style>
  <w:style w:type="paragraph" w:styleId="CommentText">
    <w:name w:val="annotation text"/>
    <w:basedOn w:val="Normal"/>
    <w:link w:val="CommentTextChar"/>
    <w:rsid w:val="00DC3D06"/>
    <w:rPr>
      <w:rFonts w:eastAsia="Times New Roman" w:cs="Times New Roman"/>
      <w:kern w:val="0"/>
      <w:sz w:val="20"/>
      <w:szCs w:val="20"/>
      <w:lang w:eastAsia="es-ES" w:bidi="ar-SA"/>
    </w:rPr>
  </w:style>
  <w:style w:type="character" w:customStyle="1" w:styleId="CommentTextChar">
    <w:name w:val="Comment Text Char"/>
    <w:link w:val="CommentText"/>
    <w:rsid w:val="00DC3D06"/>
    <w:rPr>
      <w:lang w:eastAsia="es-ES"/>
    </w:rPr>
  </w:style>
  <w:style w:type="paragraph" w:styleId="CommentSubject">
    <w:name w:val="annotation subject"/>
    <w:basedOn w:val="CommentText"/>
    <w:next w:val="CommentText"/>
    <w:link w:val="CommentSubjectChar"/>
    <w:rsid w:val="00DC3D06"/>
    <w:rPr>
      <w:b/>
      <w:bCs/>
    </w:rPr>
  </w:style>
  <w:style w:type="character" w:customStyle="1" w:styleId="CommentSubjectChar">
    <w:name w:val="Comment Subject Char"/>
    <w:link w:val="CommentSubject"/>
    <w:rsid w:val="00DC3D06"/>
    <w:rPr>
      <w:b/>
      <w:bCs/>
      <w:lang w:eastAsia="es-ES"/>
    </w:rPr>
  </w:style>
  <w:style w:type="paragraph" w:styleId="BalloonText">
    <w:name w:val="Balloon Text"/>
    <w:basedOn w:val="Normal"/>
    <w:link w:val="BalloonTextChar"/>
    <w:rsid w:val="00DC3D06"/>
    <w:rPr>
      <w:rFonts w:ascii="Tahoma" w:eastAsia="Times New Roman" w:hAnsi="Tahoma" w:cs="Times New Roman"/>
      <w:kern w:val="0"/>
      <w:sz w:val="16"/>
      <w:szCs w:val="16"/>
      <w:lang w:eastAsia="es-ES" w:bidi="ar-SA"/>
    </w:rPr>
  </w:style>
  <w:style w:type="character" w:customStyle="1" w:styleId="BalloonTextChar">
    <w:name w:val="Balloon Text Char"/>
    <w:link w:val="BalloonText"/>
    <w:rsid w:val="00DC3D06"/>
    <w:rPr>
      <w:rFonts w:ascii="Tahoma" w:hAnsi="Tahoma" w:cs="Tahoma"/>
      <w:sz w:val="16"/>
      <w:szCs w:val="16"/>
      <w:lang w:eastAsia="es-ES"/>
    </w:rPr>
  </w:style>
  <w:style w:type="paragraph" w:customStyle="1" w:styleId="ColorfulShading-Accent11">
    <w:name w:val="Colorful Shading - Accent 11"/>
    <w:hidden/>
    <w:uiPriority w:val="99"/>
    <w:semiHidden/>
    <w:rsid w:val="00AC78AD"/>
    <w:rPr>
      <w:sz w:val="24"/>
      <w:lang w:val="es-CR" w:eastAsia="es-ES"/>
    </w:rPr>
  </w:style>
  <w:style w:type="character" w:customStyle="1" w:styleId="st">
    <w:name w:val="st"/>
    <w:basedOn w:val="DefaultParagraphFont"/>
    <w:rsid w:val="006306EE"/>
  </w:style>
  <w:style w:type="character" w:styleId="Emphasis">
    <w:name w:val="Emphasis"/>
    <w:basedOn w:val="DefaultParagraphFont"/>
    <w:uiPriority w:val="20"/>
    <w:qFormat/>
    <w:rsid w:val="006306E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jpeg"/><Relationship Id="rId8" Type="http://schemas.openxmlformats.org/officeDocument/2006/relationships/hyperlink" Target="mailto:mnasirn@yahoo.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810</Words>
  <Characters>4619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Universidad de Costa Rica</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Ben Vickers</cp:lastModifiedBy>
  <cp:revision>2</cp:revision>
  <dcterms:created xsi:type="dcterms:W3CDTF">2013-02-19T03:29:00Z</dcterms:created>
  <dcterms:modified xsi:type="dcterms:W3CDTF">2013-02-19T03:29:00Z</dcterms:modified>
</cp:coreProperties>
</file>