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AD"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1"/>
        <w:gridCol w:w="1273"/>
        <w:gridCol w:w="2197"/>
        <w:gridCol w:w="3369"/>
      </w:tblGrid>
      <w:tr w:rsidR="0085559D" w:rsidRPr="00BF139A" w:rsidTr="00290F14">
        <w:trPr>
          <w:trHeight w:val="1586"/>
        </w:trPr>
        <w:tc>
          <w:tcPr>
            <w:tcW w:w="5624" w:type="dxa"/>
            <w:gridSpan w:val="2"/>
            <w:tcBorders>
              <w:top w:val="double" w:sz="4" w:space="0" w:color="auto"/>
              <w:left w:val="double" w:sz="4" w:space="0" w:color="auto"/>
              <w:bottom w:val="double" w:sz="4" w:space="0" w:color="auto"/>
              <w:right w:val="nil"/>
            </w:tcBorders>
            <w:shd w:val="clear" w:color="auto" w:fill="C6D9F1"/>
          </w:tcPr>
          <w:p w:rsidR="003B5CAD" w:rsidRPr="009C6467" w:rsidRDefault="001201D4" w:rsidP="00D80954">
            <w:pPr>
              <w:spacing w:after="0" w:line="240" w:lineRule="auto"/>
              <w:rPr>
                <w:rFonts w:ascii="Arial Narrow" w:hAnsi="Arial Narrow"/>
                <w:color w:val="1F497D"/>
              </w:rPr>
            </w:pPr>
            <w:r>
              <w:rPr>
                <w:rFonts w:ascii="Arial Narrow" w:hAnsi="Arial Narrow"/>
                <w:color w:val="1F497D"/>
                <w:lang w:val="en-GB" w:eastAsia="en-GB"/>
              </w:rPr>
              <w:drawing>
                <wp:inline distT="0" distB="0" distL="0" distR="0">
                  <wp:extent cx="569595" cy="1095375"/>
                  <wp:effectExtent l="0" t="0" r="1905" b="9525"/>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1095375"/>
                          </a:xfrm>
                          <a:prstGeom prst="rect">
                            <a:avLst/>
                          </a:prstGeom>
                          <a:noFill/>
                          <a:ln>
                            <a:noFill/>
                          </a:ln>
                        </pic:spPr>
                      </pic:pic>
                    </a:graphicData>
                  </a:graphic>
                </wp:inline>
              </w:drawing>
            </w:r>
          </w:p>
        </w:tc>
        <w:tc>
          <w:tcPr>
            <w:tcW w:w="5566" w:type="dxa"/>
            <w:gridSpan w:val="2"/>
            <w:tcBorders>
              <w:top w:val="double" w:sz="4" w:space="0" w:color="auto"/>
              <w:left w:val="nil"/>
              <w:bottom w:val="double" w:sz="4" w:space="0" w:color="auto"/>
              <w:right w:val="double" w:sz="4" w:space="0" w:color="auto"/>
            </w:tcBorders>
            <w:shd w:val="clear" w:color="auto" w:fill="C6D9F1"/>
          </w:tcPr>
          <w:p w:rsidR="009C6467" w:rsidRPr="00574AB1" w:rsidRDefault="009C6467" w:rsidP="009C6467">
            <w:pPr>
              <w:spacing w:after="0" w:line="240" w:lineRule="auto"/>
              <w:rPr>
                <w:rFonts w:ascii="Arial Narrow" w:hAnsi="Arial Narrow"/>
                <w:b/>
                <w:color w:val="1F497D"/>
                <w:lang w:val="en-US"/>
              </w:rPr>
            </w:pPr>
            <w:r w:rsidRPr="00574AB1">
              <w:rPr>
                <w:rFonts w:ascii="Arial Narrow" w:hAnsi="Arial Narrow"/>
                <w:b/>
                <w:color w:val="1F497D"/>
                <w:lang w:val="en-US"/>
              </w:rPr>
              <w:t>Back to Office Report</w:t>
            </w:r>
          </w:p>
          <w:p w:rsidR="009C6467" w:rsidRPr="00574AB1" w:rsidRDefault="009C6467" w:rsidP="009C6467">
            <w:pPr>
              <w:spacing w:after="0" w:line="240" w:lineRule="auto"/>
              <w:rPr>
                <w:rFonts w:ascii="Arial Narrow" w:hAnsi="Arial Narrow"/>
                <w:color w:val="1F497D"/>
                <w:lang w:val="en-US"/>
              </w:rPr>
            </w:pPr>
            <w:r w:rsidRPr="00574AB1">
              <w:rPr>
                <w:rFonts w:ascii="Arial Narrow" w:hAnsi="Arial Narrow"/>
                <w:b/>
                <w:color w:val="1F497D"/>
                <w:lang w:val="en-US"/>
              </w:rPr>
              <w:t>Submitted by</w:t>
            </w:r>
            <w:r w:rsidRPr="00574AB1">
              <w:rPr>
                <w:rFonts w:ascii="Arial Narrow" w:hAnsi="Arial Narrow"/>
                <w:color w:val="1F497D"/>
                <w:lang w:val="en-US"/>
              </w:rPr>
              <w:t xml:space="preserve"> </w:t>
            </w:r>
            <w:r w:rsidR="007B4FFD">
              <w:rPr>
                <w:rFonts w:ascii="Arial Narrow" w:hAnsi="Arial Narrow"/>
                <w:color w:val="1F497D"/>
                <w:lang w:val="en-US"/>
              </w:rPr>
              <w:t>Danae Maniatis</w:t>
            </w:r>
          </w:p>
          <w:p w:rsidR="009C6467" w:rsidRPr="003D4777" w:rsidRDefault="009C6467" w:rsidP="009C6467">
            <w:pPr>
              <w:spacing w:after="0" w:line="240" w:lineRule="auto"/>
              <w:rPr>
                <w:rFonts w:ascii="Arial Narrow" w:hAnsi="Arial Narrow"/>
                <w:color w:val="1F497D"/>
                <w:lang w:val="en-US"/>
              </w:rPr>
            </w:pPr>
            <w:r w:rsidRPr="003D4777">
              <w:rPr>
                <w:rFonts w:ascii="Arial Narrow" w:hAnsi="Arial Narrow"/>
                <w:b/>
                <w:color w:val="1F497D"/>
                <w:lang w:val="en-US"/>
              </w:rPr>
              <w:t>Title</w:t>
            </w:r>
            <w:r w:rsidR="0085559D" w:rsidRPr="003D4777">
              <w:rPr>
                <w:rFonts w:ascii="Arial Narrow" w:hAnsi="Arial Narrow"/>
                <w:b/>
                <w:color w:val="1F497D"/>
                <w:lang w:val="en-US"/>
              </w:rPr>
              <w:t xml:space="preserve"> </w:t>
            </w:r>
            <w:r w:rsidR="007B4FFD" w:rsidRPr="007B4FFD">
              <w:rPr>
                <w:rFonts w:ascii="Arial Narrow" w:hAnsi="Arial Narrow"/>
                <w:color w:val="1F497D"/>
                <w:lang w:val="en-US"/>
              </w:rPr>
              <w:t>REDD+ Technical Specialist</w:t>
            </w:r>
          </w:p>
          <w:p w:rsidR="009C6467" w:rsidRPr="003D4777" w:rsidRDefault="009C6467" w:rsidP="00843F97">
            <w:pPr>
              <w:spacing w:after="0" w:line="240" w:lineRule="auto"/>
              <w:rPr>
                <w:rFonts w:ascii="Arial Narrow" w:hAnsi="Arial Narrow"/>
                <w:color w:val="1F497D"/>
                <w:lang w:val="en-US"/>
              </w:rPr>
            </w:pPr>
            <w:r w:rsidRPr="003D4777">
              <w:rPr>
                <w:rFonts w:ascii="Arial Narrow" w:hAnsi="Arial Narrow"/>
                <w:b/>
                <w:color w:val="1F497D"/>
                <w:lang w:val="en-US"/>
              </w:rPr>
              <w:t>Date submitted</w:t>
            </w:r>
            <w:r w:rsidR="0085559D" w:rsidRPr="003D4777">
              <w:rPr>
                <w:rFonts w:ascii="Arial Narrow" w:hAnsi="Arial Narrow"/>
                <w:b/>
                <w:color w:val="1F497D"/>
                <w:lang w:val="en-US"/>
              </w:rPr>
              <w:t xml:space="preserve"> </w:t>
            </w:r>
            <w:r w:rsidR="00843F97">
              <w:rPr>
                <w:rFonts w:ascii="Arial Narrow" w:hAnsi="Arial Narrow"/>
                <w:color w:val="1F497D"/>
                <w:lang w:val="en-US"/>
              </w:rPr>
              <w:t>12 February 2016</w:t>
            </w:r>
          </w:p>
        </w:tc>
      </w:tr>
      <w:tr w:rsidR="009C6467" w:rsidRPr="00822784" w:rsidTr="00290F14">
        <w:tc>
          <w:tcPr>
            <w:tcW w:w="11190" w:type="dxa"/>
            <w:gridSpan w:val="4"/>
            <w:tcBorders>
              <w:top w:val="double" w:sz="4" w:space="0" w:color="auto"/>
              <w:left w:val="double" w:sz="4" w:space="0" w:color="auto"/>
              <w:bottom w:val="nil"/>
              <w:right w:val="double" w:sz="4" w:space="0" w:color="auto"/>
            </w:tcBorders>
          </w:tcPr>
          <w:p w:rsidR="003B5CAD" w:rsidRPr="00822784" w:rsidRDefault="003B5CAD" w:rsidP="003D4777">
            <w:pPr>
              <w:pBdr>
                <w:bottom w:val="single" w:sz="4" w:space="1" w:color="000000"/>
              </w:pBdr>
              <w:spacing w:after="0" w:line="240" w:lineRule="auto"/>
              <w:rPr>
                <w:lang w:val="en-US"/>
              </w:rPr>
            </w:pPr>
            <w:r w:rsidRPr="00822784">
              <w:rPr>
                <w:rFonts w:ascii="Arial Narrow" w:hAnsi="Arial Narrow"/>
                <w:color w:val="1F497D"/>
                <w:lang w:val="en-US"/>
              </w:rPr>
              <w:t xml:space="preserve">1. </w:t>
            </w:r>
            <w:r w:rsidR="009C6467" w:rsidRPr="00822784">
              <w:rPr>
                <w:rFonts w:ascii="Arial Narrow" w:hAnsi="Arial Narrow"/>
                <w:color w:val="1F497D"/>
                <w:lang w:val="en-US"/>
              </w:rPr>
              <w:t>Practice area </w:t>
            </w:r>
            <w:r w:rsidR="009C6467" w:rsidRPr="00822784">
              <w:rPr>
                <w:lang w:val="en-US"/>
              </w:rPr>
              <w:t xml:space="preserve">: </w:t>
            </w:r>
            <w:r w:rsidR="00B446A8">
              <w:rPr>
                <w:lang w:val="en-US"/>
              </w:rPr>
              <w:t>Forests</w:t>
            </w:r>
          </w:p>
        </w:tc>
      </w:tr>
      <w:tr w:rsidR="003B5CAD" w:rsidRPr="009C6467" w:rsidTr="00290F14">
        <w:tc>
          <w:tcPr>
            <w:tcW w:w="11190" w:type="dxa"/>
            <w:gridSpan w:val="4"/>
            <w:tcBorders>
              <w:top w:val="nil"/>
              <w:left w:val="double" w:sz="4" w:space="0" w:color="auto"/>
              <w:bottom w:val="single" w:sz="4" w:space="0" w:color="000000"/>
              <w:right w:val="double" w:sz="4" w:space="0" w:color="auto"/>
            </w:tcBorders>
          </w:tcPr>
          <w:p w:rsidR="003B5CAD" w:rsidRPr="00574AB1" w:rsidRDefault="003B5CAD" w:rsidP="009C6467">
            <w:pPr>
              <w:spacing w:after="0" w:line="240" w:lineRule="auto"/>
              <w:rPr>
                <w:lang w:val="en-US"/>
              </w:rPr>
            </w:pPr>
            <w:r w:rsidRPr="00574AB1">
              <w:rPr>
                <w:rFonts w:ascii="Arial Narrow" w:hAnsi="Arial Narrow"/>
                <w:color w:val="1F497D"/>
                <w:lang w:val="en-US"/>
              </w:rPr>
              <w:t>2. Mission period (incl. of travel days)</w:t>
            </w:r>
            <w:r w:rsidRPr="00574AB1">
              <w:rPr>
                <w:lang w:val="en-US"/>
              </w:rPr>
              <w:t xml:space="preserve"> </w:t>
            </w:r>
          </w:p>
          <w:p w:rsidR="003B5CAD" w:rsidRPr="009C6467" w:rsidRDefault="003B5CAD" w:rsidP="00BF139A">
            <w:pPr>
              <w:spacing w:after="0" w:line="240" w:lineRule="auto"/>
              <w:rPr>
                <w:rFonts w:ascii="Arial Narrow" w:hAnsi="Arial Narrow"/>
                <w:color w:val="1F497D"/>
              </w:rPr>
            </w:pPr>
            <w:r w:rsidRPr="003B5CAD">
              <w:rPr>
                <w:rFonts w:ascii="Arial Narrow" w:hAnsi="Arial Narrow"/>
                <w:color w:val="1F497D"/>
              </w:rPr>
              <w:t>From</w:t>
            </w:r>
            <w:r>
              <w:rPr>
                <w:rFonts w:ascii="Arial Narrow" w:hAnsi="Arial Narrow"/>
                <w:color w:val="1F497D"/>
              </w:rPr>
              <w:t> :</w:t>
            </w:r>
            <w:r w:rsidR="00B446A8">
              <w:rPr>
                <w:rFonts w:ascii="Arial Narrow" w:hAnsi="Arial Narrow"/>
                <w:color w:val="1F497D"/>
              </w:rPr>
              <w:t xml:space="preserve"> </w:t>
            </w:r>
            <w:r w:rsidR="00BF139A">
              <w:rPr>
                <w:lang w:val="en-US"/>
              </w:rPr>
              <w:t>17 January 2016</w:t>
            </w:r>
            <w:r>
              <w:rPr>
                <w:rFonts w:ascii="Arial Narrow" w:hAnsi="Arial Narrow"/>
                <w:color w:val="1F497D"/>
              </w:rPr>
              <w:t xml:space="preserve"> </w:t>
            </w:r>
            <w:r w:rsidRPr="003B5CAD">
              <w:rPr>
                <w:rFonts w:ascii="Arial Narrow" w:hAnsi="Arial Narrow"/>
                <w:color w:val="1F497D"/>
              </w:rPr>
              <w:t>to</w:t>
            </w:r>
            <w:r>
              <w:rPr>
                <w:rFonts w:ascii="Arial Narrow" w:hAnsi="Arial Narrow"/>
                <w:color w:val="1F497D"/>
              </w:rPr>
              <w:t xml:space="preserve"> : </w:t>
            </w:r>
            <w:r w:rsidR="00BF139A">
              <w:rPr>
                <w:lang w:val="en-US"/>
              </w:rPr>
              <w:t>25 January 2016</w:t>
            </w:r>
          </w:p>
        </w:tc>
      </w:tr>
      <w:tr w:rsidR="009C6467" w:rsidRPr="00574AB1" w:rsidTr="00290F14">
        <w:tc>
          <w:tcPr>
            <w:tcW w:w="5624" w:type="dxa"/>
            <w:gridSpan w:val="2"/>
            <w:tcBorders>
              <w:top w:val="single" w:sz="4" w:space="0" w:color="000000"/>
              <w:left w:val="double" w:sz="4" w:space="0" w:color="auto"/>
              <w:bottom w:val="single" w:sz="4" w:space="0" w:color="000000"/>
              <w:right w:val="single" w:sz="4" w:space="0" w:color="000000"/>
            </w:tcBorders>
          </w:tcPr>
          <w:p w:rsidR="008A1301" w:rsidRPr="00574AB1" w:rsidRDefault="003B5CAD" w:rsidP="009C6467">
            <w:pPr>
              <w:spacing w:after="0" w:line="240" w:lineRule="auto"/>
              <w:rPr>
                <w:rFonts w:ascii="Arial Narrow" w:hAnsi="Arial Narrow"/>
                <w:color w:val="1F497D"/>
                <w:lang w:val="en-US"/>
              </w:rPr>
            </w:pPr>
            <w:r w:rsidRPr="00574AB1">
              <w:rPr>
                <w:rFonts w:ascii="Arial Narrow" w:hAnsi="Arial Narrow"/>
                <w:color w:val="1F497D"/>
                <w:lang w:val="en-US"/>
              </w:rPr>
              <w:t xml:space="preserve">3. </w:t>
            </w:r>
            <w:r w:rsidR="009C6467" w:rsidRPr="00574AB1">
              <w:rPr>
                <w:rFonts w:ascii="Arial Narrow" w:hAnsi="Arial Narrow"/>
                <w:color w:val="1F497D"/>
                <w:lang w:val="en-US"/>
              </w:rPr>
              <w:t>Type of mission</w:t>
            </w:r>
            <w:r w:rsidRPr="00574AB1">
              <w:rPr>
                <w:rFonts w:ascii="Arial Narrow" w:hAnsi="Arial Narrow"/>
                <w:color w:val="1F497D"/>
                <w:lang w:val="en-US"/>
              </w:rPr>
              <w:t xml:space="preserve"> : </w:t>
            </w:r>
          </w:p>
          <w:p w:rsidR="009C6467" w:rsidRPr="00574AB1" w:rsidRDefault="00B446A8" w:rsidP="001A58AC">
            <w:pPr>
              <w:spacing w:after="0" w:line="240" w:lineRule="auto"/>
              <w:rPr>
                <w:rFonts w:ascii="Arial Narrow" w:hAnsi="Arial Narrow"/>
                <w:color w:val="1F497D"/>
                <w:lang w:val="en-US"/>
              </w:rPr>
            </w:pPr>
            <w:r w:rsidRPr="00122FA3">
              <w:rPr>
                <w:rFonts w:eastAsia="Myriad Pro" w:cs="Myriad Pro"/>
                <w:noProof w:val="0"/>
                <w:color w:val="000000"/>
                <w:lang w:val="en-US"/>
              </w:rPr>
              <w:t xml:space="preserve">UN-REDD </w:t>
            </w:r>
            <w:r>
              <w:rPr>
                <w:rFonts w:eastAsia="Myriad Pro" w:cs="Myriad Pro"/>
                <w:noProof w:val="0"/>
                <w:color w:val="000000"/>
                <w:lang w:val="en-US"/>
              </w:rPr>
              <w:t>Global Support</w:t>
            </w:r>
            <w:r w:rsidR="00BF139A">
              <w:rPr>
                <w:rFonts w:eastAsia="Myriad Pro" w:cs="Myriad Pro"/>
                <w:noProof w:val="0"/>
                <w:color w:val="000000"/>
                <w:lang w:val="en-US"/>
              </w:rPr>
              <w:t xml:space="preserve"> - CAFI</w:t>
            </w:r>
          </w:p>
        </w:tc>
        <w:tc>
          <w:tcPr>
            <w:tcW w:w="5566" w:type="dxa"/>
            <w:gridSpan w:val="2"/>
            <w:tcBorders>
              <w:top w:val="single" w:sz="4" w:space="0" w:color="000000"/>
              <w:left w:val="single" w:sz="4" w:space="0" w:color="000000"/>
              <w:bottom w:val="single" w:sz="4" w:space="0" w:color="000000"/>
              <w:right w:val="double" w:sz="4" w:space="0" w:color="auto"/>
            </w:tcBorders>
          </w:tcPr>
          <w:p w:rsidR="009C6467" w:rsidRPr="00574AB1" w:rsidRDefault="003B5CAD" w:rsidP="009C6467">
            <w:pPr>
              <w:spacing w:after="0" w:line="240" w:lineRule="auto"/>
              <w:rPr>
                <w:rFonts w:ascii="Arial Narrow" w:hAnsi="Arial Narrow"/>
                <w:color w:val="1F497D"/>
                <w:lang w:val="en-US"/>
              </w:rPr>
            </w:pPr>
            <w:r w:rsidRPr="00574AB1">
              <w:rPr>
                <w:rFonts w:ascii="Arial Narrow" w:hAnsi="Arial Narrow"/>
                <w:color w:val="1F497D"/>
                <w:lang w:val="en-US"/>
              </w:rPr>
              <w:t xml:space="preserve">4. </w:t>
            </w:r>
            <w:r w:rsidR="009C6467" w:rsidRPr="00574AB1">
              <w:rPr>
                <w:rFonts w:ascii="Arial Narrow" w:hAnsi="Arial Narrow"/>
                <w:color w:val="1F497D"/>
                <w:lang w:val="en-US"/>
              </w:rPr>
              <w:t>Clients</w:t>
            </w:r>
            <w:r w:rsidRPr="00574AB1">
              <w:rPr>
                <w:rFonts w:ascii="Arial Narrow" w:hAnsi="Arial Narrow"/>
                <w:color w:val="1F497D"/>
                <w:lang w:val="en-US"/>
              </w:rPr>
              <w:t xml:space="preserve"> </w:t>
            </w:r>
          </w:p>
          <w:p w:rsidR="003B5CAD" w:rsidRPr="00BE4DEF" w:rsidRDefault="00BF139A" w:rsidP="00574AB1">
            <w:pPr>
              <w:spacing w:after="0" w:line="240" w:lineRule="auto"/>
              <w:rPr>
                <w:rFonts w:eastAsia="Myriad Pro" w:cs="Myriad Pro"/>
                <w:noProof w:val="0"/>
                <w:color w:val="000000"/>
                <w:lang w:val="en-US"/>
              </w:rPr>
            </w:pPr>
            <w:r>
              <w:rPr>
                <w:rFonts w:eastAsia="Myriad Pro" w:cs="Myriad Pro"/>
                <w:noProof w:val="0"/>
                <w:color w:val="000000"/>
                <w:lang w:val="en-US"/>
              </w:rPr>
              <w:t>Gabon</w:t>
            </w:r>
          </w:p>
          <w:p w:rsidR="00BE4DEF" w:rsidRPr="00574AB1" w:rsidRDefault="00BE4DEF" w:rsidP="00574AB1">
            <w:pPr>
              <w:spacing w:after="0" w:line="240" w:lineRule="auto"/>
              <w:rPr>
                <w:rFonts w:ascii="Arial Narrow" w:hAnsi="Arial Narrow"/>
                <w:color w:val="1F497D"/>
                <w:lang w:val="en-US"/>
              </w:rPr>
            </w:pPr>
          </w:p>
        </w:tc>
      </w:tr>
      <w:tr w:rsidR="009C6467" w:rsidRPr="00BF139A" w:rsidTr="00290F14">
        <w:tc>
          <w:tcPr>
            <w:tcW w:w="5624" w:type="dxa"/>
            <w:gridSpan w:val="2"/>
            <w:tcBorders>
              <w:top w:val="single" w:sz="4" w:space="0" w:color="000000"/>
              <w:left w:val="double" w:sz="4" w:space="0" w:color="auto"/>
              <w:bottom w:val="nil"/>
              <w:right w:val="single" w:sz="4" w:space="0" w:color="000000"/>
            </w:tcBorders>
          </w:tcPr>
          <w:p w:rsidR="009C6467" w:rsidRPr="00574AB1" w:rsidRDefault="003B5CAD" w:rsidP="00B533E9">
            <w:pPr>
              <w:pBdr>
                <w:bottom w:val="single" w:sz="4" w:space="1" w:color="000000"/>
              </w:pBdr>
              <w:spacing w:after="0" w:line="240" w:lineRule="auto"/>
              <w:rPr>
                <w:rFonts w:ascii="Arial Narrow" w:hAnsi="Arial Narrow"/>
                <w:color w:val="1F497D"/>
                <w:lang w:val="en-US"/>
              </w:rPr>
            </w:pPr>
            <w:r w:rsidRPr="00574AB1">
              <w:rPr>
                <w:rFonts w:ascii="Arial Narrow" w:hAnsi="Arial Narrow"/>
                <w:color w:val="1F497D"/>
                <w:lang w:val="en-US"/>
              </w:rPr>
              <w:t xml:space="preserve">5. </w:t>
            </w:r>
            <w:r w:rsidR="009C6467" w:rsidRPr="00574AB1">
              <w:rPr>
                <w:rFonts w:ascii="Arial Narrow" w:hAnsi="Arial Narrow"/>
                <w:color w:val="1F497D"/>
                <w:lang w:val="en-US"/>
              </w:rPr>
              <w:t xml:space="preserve">Purpose of mission </w:t>
            </w:r>
          </w:p>
          <w:p w:rsidR="00574AB1" w:rsidRPr="00574AB1" w:rsidRDefault="00BE4DEF" w:rsidP="00BF139A">
            <w:pPr>
              <w:pBdr>
                <w:bottom w:val="single" w:sz="4" w:space="1" w:color="000000"/>
              </w:pBdr>
              <w:spacing w:after="0" w:line="240" w:lineRule="auto"/>
              <w:rPr>
                <w:rFonts w:ascii="Arial Narrow" w:hAnsi="Arial Narrow"/>
                <w:color w:val="1F497D"/>
                <w:lang w:val="en-US"/>
              </w:rPr>
            </w:pPr>
            <w:r>
              <w:rPr>
                <w:lang w:val="en-US"/>
              </w:rPr>
              <w:t xml:space="preserve">To </w:t>
            </w:r>
            <w:r w:rsidR="00BF139A">
              <w:rPr>
                <w:lang w:val="en-US"/>
              </w:rPr>
              <w:t>support Gabon’s technical advisor, Connie Clark, to finalise Gabon’s National Investment Framework and submission to the CAFI Secretariat</w:t>
            </w:r>
          </w:p>
        </w:tc>
        <w:tc>
          <w:tcPr>
            <w:tcW w:w="5566" w:type="dxa"/>
            <w:gridSpan w:val="2"/>
            <w:tcBorders>
              <w:top w:val="single" w:sz="4" w:space="0" w:color="000000"/>
              <w:left w:val="single" w:sz="4" w:space="0" w:color="000000"/>
              <w:bottom w:val="single" w:sz="4" w:space="0" w:color="000000"/>
              <w:right w:val="double" w:sz="4" w:space="0" w:color="auto"/>
            </w:tcBorders>
          </w:tcPr>
          <w:p w:rsidR="009C6467" w:rsidRDefault="003B5CAD" w:rsidP="00822784">
            <w:pPr>
              <w:spacing w:after="0" w:line="240" w:lineRule="auto"/>
              <w:rPr>
                <w:lang w:val="en-US"/>
              </w:rPr>
            </w:pPr>
            <w:r w:rsidRPr="00574AB1">
              <w:rPr>
                <w:rFonts w:ascii="Arial Narrow" w:hAnsi="Arial Narrow"/>
                <w:color w:val="1F497D"/>
                <w:lang w:val="en-US"/>
              </w:rPr>
              <w:t xml:space="preserve">6. </w:t>
            </w:r>
            <w:r w:rsidR="009C6467" w:rsidRPr="00574AB1">
              <w:rPr>
                <w:rFonts w:ascii="Arial Narrow" w:hAnsi="Arial Narrow"/>
                <w:color w:val="1F497D"/>
                <w:lang w:val="en-US"/>
              </w:rPr>
              <w:t>Documents, materials, resources</w:t>
            </w:r>
            <w:r w:rsidR="00574AB1" w:rsidRPr="00574AB1">
              <w:rPr>
                <w:lang w:val="en-US"/>
              </w:rPr>
              <w:t xml:space="preserve"> </w:t>
            </w:r>
          </w:p>
          <w:p w:rsidR="00BE4DEF" w:rsidRPr="00574AB1" w:rsidRDefault="00BF139A" w:rsidP="00822784">
            <w:pPr>
              <w:spacing w:after="0" w:line="240" w:lineRule="auto"/>
              <w:rPr>
                <w:rFonts w:ascii="Arial Narrow" w:hAnsi="Arial Narrow"/>
                <w:color w:val="1F497D"/>
                <w:lang w:val="en-US"/>
              </w:rPr>
            </w:pPr>
            <w:r>
              <w:rPr>
                <w:lang w:val="en-US"/>
              </w:rPr>
              <w:t>Gabon National Investment Framework - draft</w:t>
            </w:r>
          </w:p>
        </w:tc>
      </w:tr>
      <w:tr w:rsidR="009C6467" w:rsidRPr="00574AB1" w:rsidTr="00290F14">
        <w:tc>
          <w:tcPr>
            <w:tcW w:w="5624" w:type="dxa"/>
            <w:gridSpan w:val="2"/>
            <w:tcBorders>
              <w:top w:val="nil"/>
              <w:left w:val="double" w:sz="4" w:space="0" w:color="auto"/>
              <w:bottom w:val="single" w:sz="4" w:space="0" w:color="000000"/>
              <w:right w:val="single" w:sz="4" w:space="0" w:color="000000"/>
            </w:tcBorders>
          </w:tcPr>
          <w:p w:rsidR="00B533E9" w:rsidRPr="003D4777" w:rsidRDefault="003B5CAD" w:rsidP="009C6467">
            <w:pPr>
              <w:spacing w:after="0" w:line="240" w:lineRule="auto"/>
              <w:rPr>
                <w:rFonts w:ascii="Arial Narrow" w:hAnsi="Arial Narrow"/>
                <w:color w:val="1F497D"/>
                <w:lang w:val="en-US"/>
              </w:rPr>
            </w:pPr>
            <w:r w:rsidRPr="003D4777">
              <w:rPr>
                <w:rFonts w:ascii="Arial Narrow" w:hAnsi="Arial Narrow"/>
                <w:color w:val="1F497D"/>
                <w:lang w:val="en-US"/>
              </w:rPr>
              <w:t xml:space="preserve">7. </w:t>
            </w:r>
            <w:r w:rsidR="009C6467" w:rsidRPr="003D4777">
              <w:rPr>
                <w:rFonts w:ascii="Arial Narrow" w:hAnsi="Arial Narrow"/>
                <w:color w:val="1F497D"/>
                <w:lang w:val="en-US"/>
              </w:rPr>
              <w:t>Mission members</w:t>
            </w:r>
          </w:p>
          <w:p w:rsidR="009C6467" w:rsidRPr="00BE4DEF" w:rsidRDefault="00BE4DEF" w:rsidP="00574AB1">
            <w:pPr>
              <w:spacing w:after="0" w:line="240" w:lineRule="auto"/>
              <w:rPr>
                <w:lang w:val="en-US"/>
              </w:rPr>
            </w:pPr>
            <w:r w:rsidRPr="00BE4DEF">
              <w:rPr>
                <w:lang w:val="en-US"/>
              </w:rPr>
              <w:t>Danae Maniatis</w:t>
            </w:r>
          </w:p>
          <w:p w:rsidR="00BE4DEF" w:rsidRPr="003D4777" w:rsidRDefault="00BE4DEF" w:rsidP="00574AB1">
            <w:pPr>
              <w:spacing w:after="0" w:line="240" w:lineRule="auto"/>
              <w:rPr>
                <w:rFonts w:ascii="Arial Narrow" w:hAnsi="Arial Narrow"/>
                <w:color w:val="1F497D"/>
                <w:lang w:val="en-US"/>
              </w:rPr>
            </w:pPr>
          </w:p>
        </w:tc>
        <w:tc>
          <w:tcPr>
            <w:tcW w:w="5566" w:type="dxa"/>
            <w:gridSpan w:val="2"/>
            <w:tcBorders>
              <w:top w:val="single" w:sz="4" w:space="0" w:color="000000"/>
              <w:left w:val="single" w:sz="4" w:space="0" w:color="000000"/>
              <w:bottom w:val="single" w:sz="4" w:space="0" w:color="000000"/>
              <w:right w:val="double" w:sz="4" w:space="0" w:color="auto"/>
            </w:tcBorders>
          </w:tcPr>
          <w:p w:rsidR="003B5CAD" w:rsidRPr="00574AB1" w:rsidRDefault="003B5CAD" w:rsidP="003D4777">
            <w:pPr>
              <w:spacing w:after="0" w:line="240" w:lineRule="auto"/>
              <w:rPr>
                <w:rFonts w:ascii="Arial Narrow" w:hAnsi="Arial Narrow"/>
                <w:color w:val="1F497D"/>
                <w:lang w:val="en-US"/>
              </w:rPr>
            </w:pPr>
            <w:r w:rsidRPr="00574AB1">
              <w:rPr>
                <w:rFonts w:ascii="Arial Narrow" w:hAnsi="Arial Narrow"/>
                <w:color w:val="1F497D"/>
                <w:lang w:val="en-US"/>
              </w:rPr>
              <w:t xml:space="preserve">8. </w:t>
            </w:r>
            <w:r w:rsidR="009C6467" w:rsidRPr="00574AB1">
              <w:rPr>
                <w:rFonts w:ascii="Arial Narrow" w:hAnsi="Arial Narrow"/>
                <w:color w:val="1F497D"/>
                <w:lang w:val="en-US"/>
              </w:rPr>
              <w:t>Costs</w:t>
            </w:r>
          </w:p>
        </w:tc>
      </w:tr>
      <w:tr w:rsidR="009C6467" w:rsidRPr="00BF139A" w:rsidTr="00290F14">
        <w:tc>
          <w:tcPr>
            <w:tcW w:w="11190" w:type="dxa"/>
            <w:gridSpan w:val="4"/>
            <w:tcBorders>
              <w:top w:val="single" w:sz="4" w:space="0" w:color="000000"/>
              <w:left w:val="double" w:sz="4" w:space="0" w:color="auto"/>
              <w:bottom w:val="nil"/>
              <w:right w:val="double" w:sz="4" w:space="0" w:color="auto"/>
            </w:tcBorders>
          </w:tcPr>
          <w:p w:rsidR="00866975" w:rsidRDefault="003B5CAD" w:rsidP="009C6467">
            <w:pPr>
              <w:spacing w:after="0" w:line="240" w:lineRule="auto"/>
              <w:rPr>
                <w:rFonts w:ascii="Arial Narrow" w:hAnsi="Arial Narrow"/>
                <w:color w:val="1F497D"/>
                <w:lang w:val="en-US"/>
              </w:rPr>
            </w:pPr>
            <w:r w:rsidRPr="003D4777">
              <w:rPr>
                <w:rFonts w:ascii="Arial Narrow" w:hAnsi="Arial Narrow"/>
                <w:color w:val="1F497D"/>
                <w:lang w:val="en-US"/>
              </w:rPr>
              <w:t xml:space="preserve">9. </w:t>
            </w:r>
            <w:r w:rsidR="009C6467" w:rsidRPr="003D4777">
              <w:rPr>
                <w:rFonts w:ascii="Arial Narrow" w:hAnsi="Arial Narrow"/>
                <w:color w:val="1F497D"/>
                <w:lang w:val="en-US"/>
              </w:rPr>
              <w:t xml:space="preserve">Brief summary of the mission </w:t>
            </w:r>
          </w:p>
          <w:p w:rsidR="00073466" w:rsidRDefault="00887633" w:rsidP="00BE4DEF">
            <w:pPr>
              <w:spacing w:after="0" w:line="240" w:lineRule="auto"/>
              <w:rPr>
                <w:color w:val="1F497D"/>
                <w:lang w:val="en-US"/>
              </w:rPr>
            </w:pPr>
            <w:r>
              <w:rPr>
                <w:color w:val="1F497D"/>
                <w:lang w:val="en-US"/>
              </w:rPr>
              <w:t xml:space="preserve">Work with Gabon’s technical advisor on developing an advanced draft of the Gabonese National Investment Framework (NIF) to be re-submitted to the CAFI board. </w:t>
            </w:r>
          </w:p>
          <w:p w:rsidR="00BF139A" w:rsidRPr="00073466" w:rsidRDefault="00BF139A" w:rsidP="00BE4DEF">
            <w:pPr>
              <w:spacing w:after="0" w:line="240" w:lineRule="auto"/>
              <w:rPr>
                <w:color w:val="1F497D"/>
                <w:lang w:val="en-US"/>
              </w:rPr>
            </w:pPr>
          </w:p>
          <w:p w:rsidR="009C6467" w:rsidRDefault="003B5CAD" w:rsidP="009C6467">
            <w:pPr>
              <w:spacing w:after="0" w:line="240" w:lineRule="auto"/>
              <w:rPr>
                <w:rFonts w:ascii="Arial Narrow" w:hAnsi="Arial Narrow"/>
                <w:i/>
                <w:color w:val="1F497D"/>
                <w:lang w:val="en-US"/>
              </w:rPr>
            </w:pPr>
            <w:r w:rsidRPr="00B75C47">
              <w:rPr>
                <w:rFonts w:ascii="Arial Narrow" w:hAnsi="Arial Narrow"/>
                <w:i/>
                <w:color w:val="1F497D"/>
                <w:lang w:val="en-US"/>
              </w:rPr>
              <w:t xml:space="preserve">9.a </w:t>
            </w:r>
            <w:r w:rsidR="009C6467" w:rsidRPr="00B75C47">
              <w:rPr>
                <w:rFonts w:ascii="Arial Narrow" w:hAnsi="Arial Narrow"/>
                <w:i/>
                <w:color w:val="1F497D"/>
                <w:lang w:val="en-US"/>
              </w:rPr>
              <w:t>Findings</w:t>
            </w:r>
          </w:p>
          <w:p w:rsidR="00073466" w:rsidRPr="00936EEB" w:rsidRDefault="00887633"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There were several versions of the NIF</w:t>
            </w:r>
            <w:r w:rsidR="00401949">
              <w:rPr>
                <w:rFonts w:ascii="Calibri" w:eastAsia="Calibri" w:hAnsi="Calibri"/>
                <w:noProof/>
                <w:color w:val="auto"/>
                <w:sz w:val="22"/>
                <w:szCs w:val="22"/>
                <w:lang w:val="en-US" w:eastAsia="en-US"/>
              </w:rPr>
              <w:t xml:space="preserve"> document</w:t>
            </w:r>
            <w:r w:rsidRPr="00936EEB">
              <w:rPr>
                <w:rFonts w:ascii="Calibri" w:eastAsia="Calibri" w:hAnsi="Calibri"/>
                <w:noProof/>
                <w:color w:val="auto"/>
                <w:sz w:val="22"/>
                <w:szCs w:val="22"/>
                <w:lang w:val="en-US" w:eastAsia="en-US"/>
              </w:rPr>
              <w:t xml:space="preserve"> and </w:t>
            </w:r>
            <w:r w:rsidR="00401949">
              <w:rPr>
                <w:rFonts w:ascii="Calibri" w:eastAsia="Calibri" w:hAnsi="Calibri"/>
                <w:noProof/>
                <w:color w:val="auto"/>
                <w:sz w:val="22"/>
                <w:szCs w:val="22"/>
                <w:lang w:val="en-US" w:eastAsia="en-US"/>
              </w:rPr>
              <w:t xml:space="preserve">excel sheets of </w:t>
            </w:r>
            <w:r w:rsidRPr="00936EEB">
              <w:rPr>
                <w:rFonts w:ascii="Calibri" w:eastAsia="Calibri" w:hAnsi="Calibri"/>
                <w:noProof/>
                <w:color w:val="auto"/>
                <w:sz w:val="22"/>
                <w:szCs w:val="22"/>
                <w:lang w:val="en-US" w:eastAsia="en-US"/>
              </w:rPr>
              <w:t>budgets, these had to be standardised.</w:t>
            </w:r>
          </w:p>
          <w:p w:rsidR="00887633" w:rsidRPr="00936EEB" w:rsidRDefault="00887633"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 xml:space="preserve">The text was written by different people in different languages, and was </w:t>
            </w:r>
            <w:r w:rsidR="00401949">
              <w:rPr>
                <w:rFonts w:ascii="Calibri" w:eastAsia="Calibri" w:hAnsi="Calibri"/>
                <w:noProof/>
                <w:color w:val="auto"/>
                <w:sz w:val="22"/>
                <w:szCs w:val="22"/>
                <w:lang w:val="en-US" w:eastAsia="en-US"/>
              </w:rPr>
              <w:t xml:space="preserve">therefore </w:t>
            </w:r>
            <w:r w:rsidRPr="00936EEB">
              <w:rPr>
                <w:rFonts w:ascii="Calibri" w:eastAsia="Calibri" w:hAnsi="Calibri"/>
                <w:noProof/>
                <w:color w:val="auto"/>
                <w:sz w:val="22"/>
                <w:szCs w:val="22"/>
                <w:lang w:val="en-US" w:eastAsia="en-US"/>
              </w:rPr>
              <w:t>hard to follow</w:t>
            </w:r>
            <w:r w:rsidR="001B5AC7" w:rsidRPr="00936EEB">
              <w:rPr>
                <w:rFonts w:ascii="Calibri" w:eastAsia="Calibri" w:hAnsi="Calibri"/>
                <w:noProof/>
                <w:color w:val="auto"/>
                <w:sz w:val="22"/>
                <w:szCs w:val="22"/>
                <w:lang w:val="en-US" w:eastAsia="en-US"/>
              </w:rPr>
              <w:t>.</w:t>
            </w:r>
          </w:p>
          <w:p w:rsidR="00887633" w:rsidRPr="00936EEB" w:rsidRDefault="00887633"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The institutional set up with t</w:t>
            </w:r>
            <w:r w:rsidR="00401949">
              <w:rPr>
                <w:rFonts w:ascii="Calibri" w:eastAsia="Calibri" w:hAnsi="Calibri"/>
                <w:noProof/>
                <w:color w:val="auto"/>
                <w:sz w:val="22"/>
                <w:szCs w:val="22"/>
                <w:lang w:val="en-US" w:eastAsia="en-US"/>
              </w:rPr>
              <w:t>he Implementing Partner (AfD) was</w:t>
            </w:r>
            <w:r w:rsidRPr="00936EEB">
              <w:rPr>
                <w:rFonts w:ascii="Calibri" w:eastAsia="Calibri" w:hAnsi="Calibri"/>
                <w:noProof/>
                <w:color w:val="auto"/>
                <w:sz w:val="22"/>
                <w:szCs w:val="22"/>
                <w:lang w:val="en-US" w:eastAsia="en-US"/>
              </w:rPr>
              <w:t xml:space="preserve"> not clear</w:t>
            </w:r>
            <w:r w:rsidR="001B5AC7" w:rsidRPr="00936EEB">
              <w:rPr>
                <w:rFonts w:ascii="Calibri" w:eastAsia="Calibri" w:hAnsi="Calibri"/>
                <w:noProof/>
                <w:color w:val="auto"/>
                <w:sz w:val="22"/>
                <w:szCs w:val="22"/>
                <w:lang w:val="en-US" w:eastAsia="en-US"/>
              </w:rPr>
              <w:t>.</w:t>
            </w:r>
          </w:p>
          <w:p w:rsidR="00887633" w:rsidRDefault="00887633"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Several discussions were held in Paris during the COP21</w:t>
            </w:r>
            <w:r w:rsidR="00401949">
              <w:rPr>
                <w:rFonts w:ascii="Calibri" w:eastAsia="Calibri" w:hAnsi="Calibri"/>
                <w:noProof/>
                <w:color w:val="auto"/>
                <w:sz w:val="22"/>
                <w:szCs w:val="22"/>
                <w:lang w:val="en-US" w:eastAsia="en-US"/>
              </w:rPr>
              <w:t xml:space="preserve"> that had</w:t>
            </w:r>
            <w:r w:rsidRPr="00936EEB">
              <w:rPr>
                <w:rFonts w:ascii="Calibri" w:eastAsia="Calibri" w:hAnsi="Calibri"/>
                <w:noProof/>
                <w:color w:val="auto"/>
                <w:sz w:val="22"/>
                <w:szCs w:val="22"/>
                <w:lang w:val="en-US" w:eastAsia="en-US"/>
              </w:rPr>
              <w:t xml:space="preserve"> not been reflected in the NIF</w:t>
            </w:r>
            <w:r w:rsidR="001B5AC7" w:rsidRPr="00936EEB">
              <w:rPr>
                <w:rFonts w:ascii="Calibri" w:eastAsia="Calibri" w:hAnsi="Calibri"/>
                <w:noProof/>
                <w:color w:val="auto"/>
                <w:sz w:val="22"/>
                <w:szCs w:val="22"/>
                <w:lang w:val="en-US" w:eastAsia="en-US"/>
              </w:rPr>
              <w:t>.</w:t>
            </w:r>
          </w:p>
          <w:p w:rsidR="00843F97" w:rsidRPr="00936EEB" w:rsidRDefault="00843F97" w:rsidP="00936EEB">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t>Seperating the activities for the first year (for which Gabon is rquesting immediate funding) from the rest of the proposal (which would need more detailed work and a national consultation process) was important, but difficult to do without the necessary institutional clarity from the implementing partner.</w:t>
            </w:r>
          </w:p>
          <w:p w:rsidR="00887633" w:rsidRPr="00073466" w:rsidRDefault="00887633" w:rsidP="00887633">
            <w:pPr>
              <w:tabs>
                <w:tab w:val="left" w:pos="2775"/>
              </w:tabs>
              <w:spacing w:after="0" w:line="240" w:lineRule="auto"/>
              <w:rPr>
                <w:rFonts w:cs="Calibri"/>
                <w:noProof w:val="0"/>
                <w:lang w:val="en-GB" w:eastAsia="en-GB"/>
              </w:rPr>
            </w:pPr>
            <w:r>
              <w:rPr>
                <w:rFonts w:cs="Calibri"/>
                <w:noProof w:val="0"/>
                <w:lang w:val="en-GB" w:eastAsia="en-GB"/>
              </w:rPr>
              <w:tab/>
            </w:r>
          </w:p>
          <w:p w:rsidR="00F25DAA" w:rsidRDefault="003B5CAD" w:rsidP="00F25DAA">
            <w:pPr>
              <w:spacing w:after="0" w:line="240" w:lineRule="auto"/>
              <w:rPr>
                <w:rFonts w:ascii="Arial Narrow" w:hAnsi="Arial Narrow"/>
                <w:i/>
                <w:color w:val="1F497D"/>
                <w:lang w:val="en-US"/>
              </w:rPr>
            </w:pPr>
            <w:r w:rsidRPr="00574AB1">
              <w:rPr>
                <w:rFonts w:ascii="Arial Narrow" w:hAnsi="Arial Narrow"/>
                <w:i/>
                <w:color w:val="1F497D"/>
                <w:lang w:val="en-US"/>
              </w:rPr>
              <w:t xml:space="preserve">9.b </w:t>
            </w:r>
            <w:r w:rsidR="009C6467" w:rsidRPr="00574AB1">
              <w:rPr>
                <w:rFonts w:ascii="Arial Narrow" w:hAnsi="Arial Narrow"/>
                <w:i/>
                <w:color w:val="1F497D"/>
                <w:lang w:val="en-US"/>
              </w:rPr>
              <w:t>Results achieve</w:t>
            </w:r>
            <w:r w:rsidR="00337815" w:rsidRPr="00574AB1">
              <w:rPr>
                <w:rFonts w:ascii="Arial Narrow" w:hAnsi="Arial Narrow"/>
                <w:i/>
                <w:color w:val="1F497D"/>
                <w:lang w:val="en-US"/>
              </w:rPr>
              <w:t>d (key outputs)</w:t>
            </w:r>
          </w:p>
          <w:p w:rsidR="00F643C4" w:rsidRDefault="00073466" w:rsidP="00F25DAA">
            <w:pPr>
              <w:spacing w:after="0" w:line="240" w:lineRule="auto"/>
              <w:rPr>
                <w:rFonts w:ascii="Arial Narrow" w:hAnsi="Arial Narrow"/>
                <w:color w:val="1F497D"/>
                <w:lang w:val="en-US"/>
              </w:rPr>
            </w:pPr>
            <w:r>
              <w:rPr>
                <w:rFonts w:ascii="Arial Narrow" w:hAnsi="Arial Narrow"/>
                <w:color w:val="1F497D"/>
                <w:lang w:val="en-US"/>
              </w:rPr>
              <w:t>Key methodological decisions adopted:</w:t>
            </w:r>
          </w:p>
          <w:p w:rsidR="00073466" w:rsidRPr="00936EEB" w:rsidRDefault="007F4C54"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Restructured text, put together the different versions of the NIF that existed.</w:t>
            </w:r>
          </w:p>
          <w:p w:rsidR="007F4C54" w:rsidRPr="00936EEB" w:rsidRDefault="007F4C54"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Developed the CAFI Theory of Change in the context of Gabon’s vision of the NI</w:t>
            </w:r>
            <w:bookmarkStart w:id="0" w:name="_GoBack"/>
            <w:bookmarkEnd w:id="0"/>
            <w:r w:rsidRPr="00936EEB">
              <w:rPr>
                <w:rFonts w:ascii="Calibri" w:eastAsia="Calibri" w:hAnsi="Calibri"/>
                <w:noProof/>
                <w:color w:val="auto"/>
                <w:sz w:val="22"/>
                <w:szCs w:val="22"/>
                <w:lang w:val="en-US" w:eastAsia="en-US"/>
              </w:rPr>
              <w:t>F.</w:t>
            </w:r>
          </w:p>
          <w:p w:rsidR="007F4C54" w:rsidRDefault="007F4C54"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Standardised</w:t>
            </w:r>
            <w:r w:rsidR="00887633" w:rsidRPr="00936EEB">
              <w:rPr>
                <w:rFonts w:ascii="Calibri" w:eastAsia="Calibri" w:hAnsi="Calibri"/>
                <w:noProof/>
                <w:color w:val="auto"/>
                <w:sz w:val="22"/>
                <w:szCs w:val="22"/>
                <w:lang w:val="en-US" w:eastAsia="en-US"/>
              </w:rPr>
              <w:t xml:space="preserve"> and reviewed</w:t>
            </w:r>
            <w:r w:rsidRPr="00936EEB">
              <w:rPr>
                <w:rFonts w:ascii="Calibri" w:eastAsia="Calibri" w:hAnsi="Calibri"/>
                <w:noProof/>
                <w:color w:val="auto"/>
                <w:sz w:val="22"/>
                <w:szCs w:val="22"/>
                <w:lang w:val="en-US" w:eastAsia="en-US"/>
              </w:rPr>
              <w:t xml:space="preserve"> budgets, descriptions of activities, flow of text, figures etc. </w:t>
            </w:r>
          </w:p>
          <w:p w:rsidR="00843F97" w:rsidRPr="00936EEB" w:rsidRDefault="00843F97" w:rsidP="00936EEB">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t>Activities and budget for first year were seperated from main doc.</w:t>
            </w:r>
          </w:p>
          <w:p w:rsidR="007F4C54" w:rsidRPr="00936EEB" w:rsidRDefault="007F4C54"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Brainstormed about the risk management section.</w:t>
            </w:r>
          </w:p>
          <w:p w:rsidR="00887633" w:rsidRPr="00936EEB" w:rsidRDefault="00887633" w:rsidP="00936EEB">
            <w:pPr>
              <w:pStyle w:val="BodyText"/>
              <w:numPr>
                <w:ilvl w:val="0"/>
                <w:numId w:val="18"/>
              </w:numPr>
              <w:rPr>
                <w:rFonts w:ascii="Calibri" w:eastAsia="Calibri" w:hAnsi="Calibri"/>
                <w:noProof/>
                <w:color w:val="auto"/>
                <w:sz w:val="22"/>
                <w:szCs w:val="22"/>
                <w:lang w:val="en-US" w:eastAsia="en-US"/>
              </w:rPr>
            </w:pPr>
            <w:r w:rsidRPr="00936EEB">
              <w:rPr>
                <w:rFonts w:ascii="Calibri" w:eastAsia="Calibri" w:hAnsi="Calibri"/>
                <w:noProof/>
                <w:color w:val="auto"/>
                <w:sz w:val="22"/>
                <w:szCs w:val="22"/>
                <w:lang w:val="en-US" w:eastAsia="en-US"/>
              </w:rPr>
              <w:t>Comments made by EU were discussed, and partially integrated.</w:t>
            </w:r>
          </w:p>
          <w:p w:rsidR="00073466" w:rsidRPr="007F4C54" w:rsidRDefault="00073466" w:rsidP="00F25DAA">
            <w:pPr>
              <w:spacing w:after="0" w:line="240" w:lineRule="auto"/>
              <w:rPr>
                <w:rFonts w:ascii="Arial Narrow" w:hAnsi="Arial Narrow"/>
                <w:i/>
                <w:color w:val="1F497D"/>
                <w:lang w:val="en-GB"/>
              </w:rPr>
            </w:pPr>
          </w:p>
          <w:p w:rsidR="009C6467" w:rsidRPr="00574AB1" w:rsidRDefault="003B5CAD" w:rsidP="00A35E67">
            <w:pPr>
              <w:spacing w:after="0" w:line="240" w:lineRule="auto"/>
              <w:rPr>
                <w:rFonts w:ascii="Arial Narrow" w:hAnsi="Arial Narrow"/>
                <w:i/>
                <w:color w:val="1F497D"/>
                <w:lang w:val="en-US"/>
              </w:rPr>
            </w:pPr>
            <w:r w:rsidRPr="00574AB1">
              <w:rPr>
                <w:rFonts w:ascii="Arial Narrow" w:hAnsi="Arial Narrow"/>
                <w:i/>
                <w:color w:val="1F497D"/>
                <w:lang w:val="en-US"/>
              </w:rPr>
              <w:t xml:space="preserve">9.c </w:t>
            </w:r>
            <w:r w:rsidR="009C6467" w:rsidRPr="00574AB1">
              <w:rPr>
                <w:rFonts w:ascii="Arial Narrow" w:hAnsi="Arial Narrow"/>
                <w:i/>
                <w:color w:val="1F497D"/>
                <w:lang w:val="en-US"/>
              </w:rPr>
              <w:t>Expected outcomes and impacts</w:t>
            </w:r>
          </w:p>
          <w:p w:rsidR="00A35E67" w:rsidRDefault="007F4C54" w:rsidP="007F4C54">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t>The relationship between Gabon and AfD is strained, there is a lack of clear communication between the parties and what the expectations for the NIF are. This is holding back the full development and finalisation of the NIF as the instituional clarity is missing.</w:t>
            </w:r>
          </w:p>
          <w:p w:rsidR="007F4C54" w:rsidRDefault="007F4C54" w:rsidP="007F4C54">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t>Connie wi</w:t>
            </w:r>
            <w:r w:rsidR="00843F97">
              <w:rPr>
                <w:rFonts w:ascii="Calibri" w:eastAsia="Calibri" w:hAnsi="Calibri"/>
                <w:noProof/>
                <w:color w:val="auto"/>
                <w:sz w:val="22"/>
                <w:szCs w:val="22"/>
                <w:lang w:val="en-US" w:eastAsia="en-US"/>
              </w:rPr>
              <w:t>ll share the</w:t>
            </w:r>
            <w:r w:rsidR="00887633">
              <w:rPr>
                <w:rFonts w:ascii="Calibri" w:eastAsia="Calibri" w:hAnsi="Calibri"/>
                <w:noProof/>
                <w:color w:val="auto"/>
                <w:sz w:val="22"/>
                <w:szCs w:val="22"/>
                <w:lang w:val="en-US" w:eastAsia="en-US"/>
              </w:rPr>
              <w:t xml:space="preserve"> version </w:t>
            </w:r>
            <w:r w:rsidR="00843F97">
              <w:rPr>
                <w:rFonts w:ascii="Calibri" w:eastAsia="Calibri" w:hAnsi="Calibri"/>
                <w:noProof/>
                <w:color w:val="auto"/>
                <w:sz w:val="22"/>
                <w:szCs w:val="22"/>
                <w:lang w:val="en-US" w:eastAsia="en-US"/>
              </w:rPr>
              <w:t xml:space="preserve">developed in Duke </w:t>
            </w:r>
            <w:r w:rsidR="00887633">
              <w:rPr>
                <w:rFonts w:ascii="Calibri" w:eastAsia="Calibri" w:hAnsi="Calibri"/>
                <w:noProof/>
                <w:color w:val="auto"/>
                <w:sz w:val="22"/>
                <w:szCs w:val="22"/>
                <w:lang w:val="en-US" w:eastAsia="en-US"/>
              </w:rPr>
              <w:t>with the various people involved in Gabon and try to finalise the NIF as soon as possible to re-submit it to CAFI.</w:t>
            </w:r>
          </w:p>
          <w:p w:rsidR="00936EEB" w:rsidRDefault="00936EEB" w:rsidP="007F4C54">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t>Important opportunity for UNDP to demonstrate that it can support several of the CAFI countries.</w:t>
            </w:r>
          </w:p>
          <w:p w:rsidR="00936EEB" w:rsidRDefault="00936EEB" w:rsidP="007F4C54">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lastRenderedPageBreak/>
              <w:t xml:space="preserve">UNDP needs to think about how to support Gabon strategically throughout this process, as the Government is commited at the highest level </w:t>
            </w:r>
            <w:r w:rsidR="00843F97">
              <w:rPr>
                <w:rFonts w:ascii="Calibri" w:eastAsia="Calibri" w:hAnsi="Calibri"/>
                <w:noProof/>
                <w:color w:val="auto"/>
                <w:sz w:val="22"/>
                <w:szCs w:val="22"/>
                <w:lang w:val="en-US" w:eastAsia="en-US"/>
              </w:rPr>
              <w:t>to move forward with integrated land-use planning, NFMS, forest protection – with or without the support of CAFI. This is a great opportunity for UNDP to demonstrate the type of support it can deliver, both in technical and political ways.</w:t>
            </w:r>
          </w:p>
          <w:p w:rsidR="001505B5" w:rsidRDefault="001505B5" w:rsidP="007F4C54">
            <w:pPr>
              <w:pStyle w:val="BodyText"/>
              <w:numPr>
                <w:ilvl w:val="0"/>
                <w:numId w:val="18"/>
              </w:numPr>
              <w:rPr>
                <w:rFonts w:ascii="Calibri" w:eastAsia="Calibri" w:hAnsi="Calibri"/>
                <w:noProof/>
                <w:color w:val="auto"/>
                <w:sz w:val="22"/>
                <w:szCs w:val="22"/>
                <w:lang w:val="en-US" w:eastAsia="en-US"/>
              </w:rPr>
            </w:pPr>
            <w:r>
              <w:rPr>
                <w:rFonts w:ascii="Calibri" w:eastAsia="Calibri" w:hAnsi="Calibri"/>
                <w:noProof/>
                <w:color w:val="auto"/>
                <w:sz w:val="22"/>
                <w:szCs w:val="22"/>
                <w:lang w:val="en-US" w:eastAsia="en-US"/>
              </w:rPr>
              <w:t>The independent review process of Gabon NIF will need to be able to take into account the ‘dichotomy’ for immediate funding of activities in 2016 and those to be further developed in parallel as part of a larger envelope.</w:t>
            </w:r>
          </w:p>
          <w:p w:rsidR="00843F97" w:rsidRPr="00950368" w:rsidRDefault="00843F97" w:rsidP="007F4C54">
            <w:pPr>
              <w:pStyle w:val="BodyText"/>
              <w:rPr>
                <w:rFonts w:ascii="Calibri" w:eastAsia="Calibri" w:hAnsi="Calibri"/>
                <w:noProof/>
                <w:color w:val="auto"/>
                <w:sz w:val="22"/>
                <w:szCs w:val="22"/>
                <w:lang w:val="en-US" w:eastAsia="en-US"/>
              </w:rPr>
            </w:pPr>
          </w:p>
        </w:tc>
      </w:tr>
      <w:tr w:rsidR="003B5CAD" w:rsidRPr="00BF139A" w:rsidTr="00290F14">
        <w:tc>
          <w:tcPr>
            <w:tcW w:w="11190" w:type="dxa"/>
            <w:gridSpan w:val="4"/>
            <w:tcBorders>
              <w:top w:val="nil"/>
              <w:left w:val="double" w:sz="4" w:space="0" w:color="auto"/>
              <w:bottom w:val="single" w:sz="4" w:space="0" w:color="000000"/>
              <w:right w:val="double" w:sz="4" w:space="0" w:color="auto"/>
            </w:tcBorders>
          </w:tcPr>
          <w:p w:rsidR="003B5CAD" w:rsidRPr="00574AB1" w:rsidRDefault="003B5CAD" w:rsidP="009C6467">
            <w:pPr>
              <w:spacing w:after="0" w:line="240" w:lineRule="auto"/>
              <w:rPr>
                <w:rFonts w:ascii="Arial Narrow" w:hAnsi="Arial Narrow"/>
                <w:color w:val="1F497D"/>
                <w:lang w:val="en-US"/>
              </w:rPr>
            </w:pPr>
            <w:r w:rsidRPr="00574AB1">
              <w:rPr>
                <w:rFonts w:ascii="Arial Narrow" w:hAnsi="Arial Narrow"/>
                <w:color w:val="1F497D"/>
                <w:lang w:val="en-US"/>
              </w:rPr>
              <w:lastRenderedPageBreak/>
              <w:t>10. Key counterparts</w:t>
            </w:r>
          </w:p>
          <w:p w:rsidR="00BE4DEF" w:rsidRPr="001B5AC7" w:rsidRDefault="007F4C54" w:rsidP="00337815">
            <w:pPr>
              <w:spacing w:after="0" w:line="240" w:lineRule="auto"/>
              <w:rPr>
                <w:lang w:val="en-US"/>
              </w:rPr>
            </w:pPr>
            <w:r w:rsidRPr="001B5AC7">
              <w:rPr>
                <w:lang w:val="en-US"/>
              </w:rPr>
              <w:t>Gabon</w:t>
            </w:r>
          </w:p>
          <w:p w:rsidR="00C011EF" w:rsidRPr="008C2A5C" w:rsidRDefault="00C011EF" w:rsidP="00337815">
            <w:pPr>
              <w:spacing w:after="0" w:line="240" w:lineRule="auto"/>
              <w:rPr>
                <w:rFonts w:ascii="Myriad Pro" w:eastAsia="Myriad Pro" w:hAnsi="Myriad Pro" w:cs="Myriad Pro"/>
                <w:noProof w:val="0"/>
                <w:color w:val="000000"/>
                <w:sz w:val="20"/>
                <w:szCs w:val="20"/>
                <w:lang w:val="en-US"/>
              </w:rPr>
            </w:pPr>
          </w:p>
        </w:tc>
      </w:tr>
      <w:tr w:rsidR="003B5CAD" w:rsidRPr="009C6467" w:rsidTr="00290F14">
        <w:tc>
          <w:tcPr>
            <w:tcW w:w="11190" w:type="dxa"/>
            <w:gridSpan w:val="4"/>
            <w:tcBorders>
              <w:top w:val="single" w:sz="4" w:space="0" w:color="000000"/>
              <w:left w:val="double" w:sz="4" w:space="0" w:color="auto"/>
              <w:bottom w:val="nil"/>
              <w:right w:val="double" w:sz="4" w:space="0" w:color="auto"/>
            </w:tcBorders>
          </w:tcPr>
          <w:p w:rsidR="003B5CAD" w:rsidRPr="009C6467" w:rsidRDefault="003B5CAD" w:rsidP="009C6467">
            <w:pPr>
              <w:spacing w:after="0" w:line="240" w:lineRule="auto"/>
              <w:rPr>
                <w:rFonts w:ascii="Arial Narrow" w:hAnsi="Arial Narrow"/>
                <w:color w:val="1F497D"/>
              </w:rPr>
            </w:pPr>
            <w:r>
              <w:rPr>
                <w:rFonts w:ascii="Arial Narrow" w:hAnsi="Arial Narrow"/>
                <w:color w:val="1F497D"/>
              </w:rPr>
              <w:t xml:space="preserve">11. </w:t>
            </w:r>
            <w:r w:rsidRPr="009C6467">
              <w:rPr>
                <w:rFonts w:ascii="Arial Narrow" w:hAnsi="Arial Narrow"/>
                <w:color w:val="1F497D"/>
              </w:rPr>
              <w:t>Follow up action matrix</w:t>
            </w:r>
          </w:p>
        </w:tc>
      </w:tr>
      <w:tr w:rsidR="003B5CAD" w:rsidRPr="009C6467" w:rsidTr="00290F14">
        <w:tc>
          <w:tcPr>
            <w:tcW w:w="4351" w:type="dxa"/>
            <w:tcBorders>
              <w:top w:val="nil"/>
              <w:left w:val="double" w:sz="4" w:space="0" w:color="auto"/>
              <w:bottom w:val="single" w:sz="4" w:space="0" w:color="000000"/>
              <w:right w:val="nil"/>
            </w:tcBorders>
          </w:tcPr>
          <w:p w:rsidR="009C6467" w:rsidRPr="009C6467" w:rsidRDefault="009C6467" w:rsidP="009C6467">
            <w:pPr>
              <w:spacing w:after="0" w:line="240" w:lineRule="auto"/>
              <w:rPr>
                <w:rFonts w:ascii="Arial Narrow" w:hAnsi="Arial Narrow"/>
                <w:color w:val="1F497D"/>
              </w:rPr>
            </w:pPr>
            <w:r w:rsidRPr="009C6467">
              <w:rPr>
                <w:rFonts w:ascii="Arial Narrow" w:hAnsi="Arial Narrow"/>
                <w:color w:val="1F497D"/>
              </w:rPr>
              <w:t>Action to be taken</w:t>
            </w:r>
          </w:p>
        </w:tc>
        <w:tc>
          <w:tcPr>
            <w:tcW w:w="3470" w:type="dxa"/>
            <w:gridSpan w:val="2"/>
            <w:tcBorders>
              <w:top w:val="nil"/>
              <w:left w:val="nil"/>
              <w:bottom w:val="single" w:sz="4" w:space="0" w:color="000000"/>
              <w:right w:val="nil"/>
            </w:tcBorders>
          </w:tcPr>
          <w:p w:rsidR="009C6467" w:rsidRPr="009C6467" w:rsidRDefault="009C6467" w:rsidP="009C6467">
            <w:pPr>
              <w:spacing w:after="0" w:line="240" w:lineRule="auto"/>
              <w:rPr>
                <w:rFonts w:ascii="Arial Narrow" w:hAnsi="Arial Narrow"/>
                <w:color w:val="1F497D"/>
              </w:rPr>
            </w:pPr>
            <w:r w:rsidRPr="009C6467">
              <w:rPr>
                <w:rFonts w:ascii="Arial Narrow" w:hAnsi="Arial Narrow"/>
                <w:color w:val="1F497D"/>
              </w:rPr>
              <w:t>By whom</w:t>
            </w:r>
          </w:p>
        </w:tc>
        <w:tc>
          <w:tcPr>
            <w:tcW w:w="3369" w:type="dxa"/>
            <w:tcBorders>
              <w:top w:val="nil"/>
              <w:left w:val="nil"/>
              <w:bottom w:val="single" w:sz="4" w:space="0" w:color="000000"/>
              <w:right w:val="double" w:sz="4" w:space="0" w:color="auto"/>
            </w:tcBorders>
          </w:tcPr>
          <w:p w:rsidR="009C6467" w:rsidRPr="009C6467" w:rsidRDefault="009C6467" w:rsidP="009C6467">
            <w:pPr>
              <w:spacing w:after="0" w:line="240" w:lineRule="auto"/>
              <w:rPr>
                <w:rFonts w:ascii="Arial Narrow" w:hAnsi="Arial Narrow"/>
                <w:color w:val="1F497D"/>
              </w:rPr>
            </w:pPr>
            <w:r w:rsidRPr="009C6467">
              <w:rPr>
                <w:rFonts w:ascii="Arial Narrow" w:hAnsi="Arial Narrow"/>
                <w:color w:val="1F497D"/>
              </w:rPr>
              <w:t>Expected completion date</w:t>
            </w:r>
          </w:p>
        </w:tc>
      </w:tr>
      <w:tr w:rsidR="00111386" w:rsidRPr="00C05FFE" w:rsidTr="00290F14">
        <w:tc>
          <w:tcPr>
            <w:tcW w:w="4351" w:type="dxa"/>
            <w:tcBorders>
              <w:top w:val="single" w:sz="4" w:space="0" w:color="000000"/>
              <w:left w:val="double" w:sz="4" w:space="0" w:color="auto"/>
              <w:bottom w:val="single" w:sz="4" w:space="0" w:color="000000"/>
              <w:right w:val="single" w:sz="4" w:space="0" w:color="000000"/>
            </w:tcBorders>
          </w:tcPr>
          <w:p w:rsidR="00111386" w:rsidRPr="00C7335B" w:rsidRDefault="00BF139A" w:rsidP="00C05FFE">
            <w:pPr>
              <w:spacing w:after="0" w:line="240" w:lineRule="auto"/>
              <w:rPr>
                <w:rFonts w:ascii="Arial Narrow" w:hAnsi="Arial Narrow"/>
                <w:color w:val="1F497D"/>
                <w:lang w:val="en-US"/>
              </w:rPr>
            </w:pPr>
            <w:r>
              <w:rPr>
                <w:rFonts w:cs="Calibri"/>
                <w:noProof w:val="0"/>
                <w:lang w:val="en-GB" w:eastAsia="en-GB"/>
              </w:rPr>
              <w:t>Support Connie to finalise the Investment Plan</w:t>
            </w:r>
            <w:r w:rsidR="00887633">
              <w:rPr>
                <w:rFonts w:cs="Calibri"/>
                <w:noProof w:val="0"/>
                <w:lang w:val="en-GB" w:eastAsia="en-GB"/>
              </w:rPr>
              <w:t xml:space="preserve"> if requested</w:t>
            </w:r>
          </w:p>
        </w:tc>
        <w:tc>
          <w:tcPr>
            <w:tcW w:w="3470" w:type="dxa"/>
            <w:gridSpan w:val="2"/>
            <w:tcBorders>
              <w:top w:val="single" w:sz="4" w:space="0" w:color="000000"/>
              <w:left w:val="single" w:sz="4" w:space="0" w:color="000000"/>
              <w:bottom w:val="single" w:sz="4" w:space="0" w:color="000000"/>
              <w:right w:val="single" w:sz="4" w:space="0" w:color="000000"/>
            </w:tcBorders>
          </w:tcPr>
          <w:p w:rsidR="00111386" w:rsidRPr="00C7335B" w:rsidRDefault="00C05FFE" w:rsidP="00F64755">
            <w:pPr>
              <w:spacing w:after="0" w:line="240" w:lineRule="auto"/>
              <w:rPr>
                <w:lang w:val="en-US"/>
              </w:rPr>
            </w:pPr>
            <w:r>
              <w:rPr>
                <w:lang w:val="en-US"/>
              </w:rPr>
              <w:t>Danae Maniatis</w:t>
            </w:r>
          </w:p>
        </w:tc>
        <w:tc>
          <w:tcPr>
            <w:tcW w:w="3369" w:type="dxa"/>
            <w:tcBorders>
              <w:top w:val="single" w:sz="4" w:space="0" w:color="000000"/>
              <w:left w:val="single" w:sz="4" w:space="0" w:color="000000"/>
              <w:bottom w:val="single" w:sz="4" w:space="0" w:color="000000"/>
              <w:right w:val="double" w:sz="4" w:space="0" w:color="auto"/>
            </w:tcBorders>
          </w:tcPr>
          <w:p w:rsidR="00111386" w:rsidRPr="00C7335B" w:rsidRDefault="00BF139A" w:rsidP="00F64755">
            <w:pPr>
              <w:spacing w:after="0" w:line="240" w:lineRule="auto"/>
              <w:rPr>
                <w:lang w:val="en-US"/>
              </w:rPr>
            </w:pPr>
            <w:r>
              <w:rPr>
                <w:lang w:val="en-US"/>
              </w:rPr>
              <w:t>February 2016</w:t>
            </w:r>
          </w:p>
        </w:tc>
      </w:tr>
      <w:tr w:rsidR="00111386" w:rsidRPr="00C7335B" w:rsidTr="00290F14">
        <w:trPr>
          <w:trHeight w:val="83"/>
        </w:trPr>
        <w:tc>
          <w:tcPr>
            <w:tcW w:w="4351" w:type="dxa"/>
            <w:tcBorders>
              <w:top w:val="single" w:sz="4" w:space="0" w:color="000000"/>
              <w:left w:val="double" w:sz="4" w:space="0" w:color="auto"/>
              <w:bottom w:val="nil"/>
              <w:right w:val="nil"/>
            </w:tcBorders>
          </w:tcPr>
          <w:p w:rsidR="00111386" w:rsidRPr="00C7335B" w:rsidRDefault="00111386" w:rsidP="009C6467">
            <w:pPr>
              <w:spacing w:after="0" w:line="240" w:lineRule="auto"/>
              <w:rPr>
                <w:rFonts w:ascii="Arial Narrow" w:hAnsi="Arial Narrow"/>
                <w:color w:val="1F497D"/>
                <w:lang w:val="en-US"/>
              </w:rPr>
            </w:pPr>
          </w:p>
        </w:tc>
        <w:tc>
          <w:tcPr>
            <w:tcW w:w="3470" w:type="dxa"/>
            <w:gridSpan w:val="2"/>
            <w:tcBorders>
              <w:top w:val="single" w:sz="4" w:space="0" w:color="000000"/>
              <w:left w:val="nil"/>
              <w:bottom w:val="nil"/>
              <w:right w:val="nil"/>
            </w:tcBorders>
          </w:tcPr>
          <w:p w:rsidR="00111386" w:rsidRPr="00C7335B" w:rsidRDefault="00111386" w:rsidP="009C6467">
            <w:pPr>
              <w:spacing w:after="0" w:line="240" w:lineRule="auto"/>
              <w:rPr>
                <w:rFonts w:ascii="Arial Narrow" w:hAnsi="Arial Narrow"/>
                <w:color w:val="1F497D"/>
                <w:lang w:val="en-US"/>
              </w:rPr>
            </w:pPr>
          </w:p>
        </w:tc>
        <w:tc>
          <w:tcPr>
            <w:tcW w:w="3369" w:type="dxa"/>
            <w:tcBorders>
              <w:top w:val="single" w:sz="4" w:space="0" w:color="000000"/>
              <w:left w:val="nil"/>
              <w:bottom w:val="nil"/>
              <w:right w:val="double" w:sz="4" w:space="0" w:color="auto"/>
            </w:tcBorders>
          </w:tcPr>
          <w:p w:rsidR="00111386" w:rsidRPr="00C7335B" w:rsidRDefault="00111386" w:rsidP="009C6467">
            <w:pPr>
              <w:spacing w:after="0" w:line="240" w:lineRule="auto"/>
              <w:rPr>
                <w:rFonts w:ascii="Arial Narrow" w:hAnsi="Arial Narrow"/>
                <w:color w:val="1F497D"/>
                <w:lang w:val="en-US"/>
              </w:rPr>
            </w:pPr>
          </w:p>
        </w:tc>
      </w:tr>
      <w:tr w:rsidR="00111386" w:rsidRPr="00BF139A" w:rsidTr="00290F14">
        <w:tc>
          <w:tcPr>
            <w:tcW w:w="11190" w:type="dxa"/>
            <w:gridSpan w:val="4"/>
            <w:tcBorders>
              <w:top w:val="nil"/>
              <w:left w:val="double" w:sz="4" w:space="0" w:color="auto"/>
              <w:bottom w:val="double" w:sz="4" w:space="0" w:color="auto"/>
              <w:right w:val="double" w:sz="4" w:space="0" w:color="auto"/>
            </w:tcBorders>
          </w:tcPr>
          <w:p w:rsidR="00111386" w:rsidRPr="00C05FFE" w:rsidRDefault="00111386" w:rsidP="00F25DAA">
            <w:pPr>
              <w:spacing w:after="0" w:line="240" w:lineRule="auto"/>
              <w:rPr>
                <w:rFonts w:ascii="Arial Narrow" w:hAnsi="Arial Narrow"/>
                <w:color w:val="1F497D"/>
                <w:lang w:val="en-GB"/>
              </w:rPr>
            </w:pPr>
            <w:r w:rsidRPr="00C05FFE">
              <w:rPr>
                <w:rFonts w:ascii="Arial Narrow" w:hAnsi="Arial Narrow"/>
                <w:color w:val="1F497D"/>
                <w:lang w:val="en-GB"/>
              </w:rPr>
              <w:t>12. Distribution list</w:t>
            </w:r>
          </w:p>
          <w:p w:rsidR="00111386" w:rsidRPr="00574AB1" w:rsidRDefault="00160F60" w:rsidP="00BF139A">
            <w:pPr>
              <w:spacing w:after="0" w:line="240" w:lineRule="auto"/>
              <w:rPr>
                <w:lang w:val="en-US"/>
              </w:rPr>
            </w:pPr>
            <w:r>
              <w:rPr>
                <w:lang w:val="en-US"/>
              </w:rPr>
              <w:t xml:space="preserve">Tim Clairs, </w:t>
            </w:r>
            <w:r w:rsidR="00BF139A">
              <w:rPr>
                <w:lang w:val="en-US"/>
              </w:rPr>
              <w:t>Estelle Fach, Berta Pesti</w:t>
            </w:r>
            <w:r w:rsidR="001505B5">
              <w:rPr>
                <w:lang w:val="en-US"/>
              </w:rPr>
              <w:t>, Rose Devillier</w:t>
            </w:r>
          </w:p>
        </w:tc>
      </w:tr>
    </w:tbl>
    <w:p w:rsidR="006174B4" w:rsidRPr="00574AB1" w:rsidRDefault="006174B4" w:rsidP="00D80954">
      <w:pPr>
        <w:rPr>
          <w:lang w:val="en-US"/>
        </w:rPr>
      </w:pPr>
    </w:p>
    <w:sectPr w:rsidR="006174B4" w:rsidRPr="00574AB1" w:rsidSect="001A58AC">
      <w:pgSz w:w="12240" w:h="15840"/>
      <w:pgMar w:top="340"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40242"/>
    <w:multiLevelType w:val="hybridMultilevel"/>
    <w:tmpl w:val="A950D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873772"/>
    <w:multiLevelType w:val="hybridMultilevel"/>
    <w:tmpl w:val="908CD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6EC01BA"/>
    <w:multiLevelType w:val="hybridMultilevel"/>
    <w:tmpl w:val="DCA42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1916ACF"/>
    <w:multiLevelType w:val="hybridMultilevel"/>
    <w:tmpl w:val="8870A1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CD430C"/>
    <w:multiLevelType w:val="hybridMultilevel"/>
    <w:tmpl w:val="B8CCE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3E699E"/>
    <w:multiLevelType w:val="hybridMultilevel"/>
    <w:tmpl w:val="3236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6730520"/>
    <w:multiLevelType w:val="hybridMultilevel"/>
    <w:tmpl w:val="6D76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8DC5ECE"/>
    <w:multiLevelType w:val="hybridMultilevel"/>
    <w:tmpl w:val="A896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9"/>
  </w:num>
  <w:num w:numId="5">
    <w:abstractNumId w:val="5"/>
  </w:num>
  <w:num w:numId="6">
    <w:abstractNumId w:val="16"/>
  </w:num>
  <w:num w:numId="7">
    <w:abstractNumId w:val="14"/>
  </w:num>
  <w:num w:numId="8">
    <w:abstractNumId w:val="7"/>
  </w:num>
  <w:num w:numId="9">
    <w:abstractNumId w:val="4"/>
  </w:num>
  <w:num w:numId="10">
    <w:abstractNumId w:val="10"/>
  </w:num>
  <w:num w:numId="11">
    <w:abstractNumId w:val="10"/>
  </w:num>
  <w:num w:numId="12">
    <w:abstractNumId w:val="2"/>
  </w:num>
  <w:num w:numId="13">
    <w:abstractNumId w:val="12"/>
  </w:num>
  <w:num w:numId="14">
    <w:abstractNumId w:val="11"/>
  </w:num>
  <w:num w:numId="15">
    <w:abstractNumId w:val="8"/>
  </w:num>
  <w:num w:numId="16">
    <w:abstractNumId w:val="17"/>
  </w:num>
  <w:num w:numId="17">
    <w:abstractNumId w:val="1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130B1"/>
    <w:rsid w:val="00073466"/>
    <w:rsid w:val="000C1E95"/>
    <w:rsid w:val="000D6EAA"/>
    <w:rsid w:val="000F3936"/>
    <w:rsid w:val="00102FEC"/>
    <w:rsid w:val="00111386"/>
    <w:rsid w:val="0011432A"/>
    <w:rsid w:val="001201D4"/>
    <w:rsid w:val="00123FAC"/>
    <w:rsid w:val="00132A98"/>
    <w:rsid w:val="001505B5"/>
    <w:rsid w:val="00160F60"/>
    <w:rsid w:val="001907BF"/>
    <w:rsid w:val="0019087A"/>
    <w:rsid w:val="00196F5B"/>
    <w:rsid w:val="001A58AC"/>
    <w:rsid w:val="001B5AC7"/>
    <w:rsid w:val="001C0DBB"/>
    <w:rsid w:val="001E4DCE"/>
    <w:rsid w:val="00210A69"/>
    <w:rsid w:val="00225C7C"/>
    <w:rsid w:val="00233F9A"/>
    <w:rsid w:val="002453FD"/>
    <w:rsid w:val="0026106F"/>
    <w:rsid w:val="002778C9"/>
    <w:rsid w:val="00290F14"/>
    <w:rsid w:val="002A72E3"/>
    <w:rsid w:val="002B7E1C"/>
    <w:rsid w:val="002C599A"/>
    <w:rsid w:val="002E1AD0"/>
    <w:rsid w:val="002F4F75"/>
    <w:rsid w:val="0031710B"/>
    <w:rsid w:val="00337815"/>
    <w:rsid w:val="00341614"/>
    <w:rsid w:val="00385F3F"/>
    <w:rsid w:val="003B5CAD"/>
    <w:rsid w:val="003D4777"/>
    <w:rsid w:val="003D78C3"/>
    <w:rsid w:val="00401949"/>
    <w:rsid w:val="00422A60"/>
    <w:rsid w:val="004743CB"/>
    <w:rsid w:val="00516AA3"/>
    <w:rsid w:val="005218D1"/>
    <w:rsid w:val="00574AB1"/>
    <w:rsid w:val="005945C1"/>
    <w:rsid w:val="005E3A00"/>
    <w:rsid w:val="00607204"/>
    <w:rsid w:val="006174B4"/>
    <w:rsid w:val="006715AA"/>
    <w:rsid w:val="00690BD1"/>
    <w:rsid w:val="00691B56"/>
    <w:rsid w:val="006B30E7"/>
    <w:rsid w:val="006C1D17"/>
    <w:rsid w:val="006C4FF3"/>
    <w:rsid w:val="00767741"/>
    <w:rsid w:val="007B04C7"/>
    <w:rsid w:val="007B4FFD"/>
    <w:rsid w:val="007B702F"/>
    <w:rsid w:val="007F4C54"/>
    <w:rsid w:val="00811481"/>
    <w:rsid w:val="00822784"/>
    <w:rsid w:val="0082708B"/>
    <w:rsid w:val="00843F97"/>
    <w:rsid w:val="00855304"/>
    <w:rsid w:val="0085559D"/>
    <w:rsid w:val="00866975"/>
    <w:rsid w:val="0088446B"/>
    <w:rsid w:val="00887633"/>
    <w:rsid w:val="00891E40"/>
    <w:rsid w:val="008A1301"/>
    <w:rsid w:val="008C2A5C"/>
    <w:rsid w:val="008D6FEB"/>
    <w:rsid w:val="008F3003"/>
    <w:rsid w:val="00936BA3"/>
    <w:rsid w:val="00936EEB"/>
    <w:rsid w:val="0094659B"/>
    <w:rsid w:val="00950368"/>
    <w:rsid w:val="009A1BF6"/>
    <w:rsid w:val="009C6467"/>
    <w:rsid w:val="00A35E67"/>
    <w:rsid w:val="00AB29D3"/>
    <w:rsid w:val="00B41FDC"/>
    <w:rsid w:val="00B446A8"/>
    <w:rsid w:val="00B533E9"/>
    <w:rsid w:val="00B75C47"/>
    <w:rsid w:val="00B82B7B"/>
    <w:rsid w:val="00BA1157"/>
    <w:rsid w:val="00BE4DEF"/>
    <w:rsid w:val="00BF139A"/>
    <w:rsid w:val="00C011EF"/>
    <w:rsid w:val="00C05FFE"/>
    <w:rsid w:val="00C50922"/>
    <w:rsid w:val="00C7335B"/>
    <w:rsid w:val="00C81C9D"/>
    <w:rsid w:val="00CA7DC2"/>
    <w:rsid w:val="00CB7F09"/>
    <w:rsid w:val="00CC52CE"/>
    <w:rsid w:val="00CF2EB0"/>
    <w:rsid w:val="00D12A5F"/>
    <w:rsid w:val="00D80954"/>
    <w:rsid w:val="00D9431A"/>
    <w:rsid w:val="00E26D7F"/>
    <w:rsid w:val="00F037BF"/>
    <w:rsid w:val="00F25DAA"/>
    <w:rsid w:val="00F643C4"/>
    <w:rsid w:val="00F64755"/>
    <w:rsid w:val="00FC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6DD88-0356-4ADA-9403-5FB8C12A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noProof/>
      <w:sz w:val="22"/>
      <w:szCs w:val="22"/>
      <w:lang w:val="fr-FR" w:eastAsia="en-US"/>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noProof w:val="0"/>
      <w:kern w:val="32"/>
      <w:sz w:val="26"/>
      <w:szCs w:val="32"/>
      <w:lang w:val="en-GB" w:eastAsia="x-none"/>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noProof w:val="0"/>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noProof w:val="0"/>
      <w:color w:val="000000"/>
      <w:sz w:val="20"/>
      <w:szCs w:val="20"/>
      <w:lang w:val="x-none" w:eastAsia="x-none"/>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noProof w:val="0"/>
      <w:color w:val="000080"/>
      <w:sz w:val="20"/>
      <w:szCs w:val="18"/>
      <w:lang w:val="x-none" w:eastAsia="x-none"/>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noProof w:val="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1605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Fach</dc:creator>
  <cp:keywords/>
  <cp:lastModifiedBy>Danae Maniatis</cp:lastModifiedBy>
  <cp:revision>8</cp:revision>
  <dcterms:created xsi:type="dcterms:W3CDTF">2016-02-12T21:21:00Z</dcterms:created>
  <dcterms:modified xsi:type="dcterms:W3CDTF">2016-02-12T22:09:00Z</dcterms:modified>
</cp:coreProperties>
</file>