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sz w:val="32"/>
          <w:lang w:val="fr-FR"/>
        </w:rPr>
        <w:t xml:space="preserve">QUESTIONNAIRE À CHOIX MULTIPLES – SNSF et </w:t>
      </w:r>
      <w:r>
        <w:rPr>
          <w:b/>
          <w:sz w:val="32"/>
          <w:lang w:val="fr-FR"/>
        </w:rPr>
        <w:t>la</w:t>
      </w:r>
      <w:r>
        <w:rPr>
          <w:b/>
          <w:sz w:val="32"/>
          <w:lang w:val="fr-FR"/>
        </w:rPr>
        <w:t xml:space="preserve"> CCNUCC. Le cadre de Varsovie pour la REDD+. Décision 11/CP.19.</w:t>
      </w:r>
    </w:p>
    <w:p>
      <w:pPr>
        <w:pStyle w:val="Normal"/>
        <w:rPr>
          <w:lang w:val="fr-FR"/>
        </w:rPr>
      </w:pPr>
      <w:r>
        <w:rPr>
          <w:lang w:val="fr-FR"/>
        </w:rPr>
        <w:t>A l'appui du texte de la Décision 11/CP.19 (Systèmes Nationaux de Surveillance des Forêts - SNSF), répondez aux questions suivantes. Réalisez l'exercice individuellement puis comparez vos réponse avec votre voisin(e).</w:t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Les Systèmes Nationaux de Surveillance des Forêts doivent être guidés par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 Groupe d'experts intergouvernemental sur l'évolution du climat (GIEC)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 Protocole de Kyoto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La Convention des Nations Unies sur la diversité biologique (CDB)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L'ensemble des choix précédent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Les Systèmes Nationaux de Surveillance des Forêts doivent être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Transparents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Cohérents dans le temps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Adaptés à la </w:t>
      </w:r>
      <w:r>
        <w:rPr>
          <w:lang w:val="fr-FR"/>
        </w:rPr>
        <w:t>mesure</w:t>
      </w:r>
      <w:r>
        <w:rPr>
          <w:lang w:val="fr-FR"/>
        </w:rPr>
        <w:t>, notification et vérification (MNV)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L'ensemble des choix précédents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Les Systèmes Nationaux de Surveillance des Forêts doivent être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Appliqués à l'échelon local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Appliqués à l'échelon national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Appliqués à l'échelon sous-national comme mesure provisoire jusqu'à leur élaboration au niveau national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Choix b. et c.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Les Systèmes Nationaux de Surveillance des Forêts doivent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bookmarkStart w:id="0" w:name="__DdeLink__349_1037586471"/>
      <w:r>
        <w:rPr>
          <w:lang w:val="fr-FR"/>
        </w:rPr>
        <w:t xml:space="preserve">Être </w:t>
      </w:r>
      <w:bookmarkEnd w:id="0"/>
      <w:r>
        <w:rPr>
          <w:lang w:val="fr-FR"/>
        </w:rPr>
        <w:t>construits sur la base des systèmes existants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Être flexible et laisser place à l'amélioration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Permettre l'évaluation de différents types de forêts dans le pays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Refléter l'approche par phase de la REDD+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>
          <w:lang w:val="fr-FR"/>
        </w:rPr>
        <w:t>L'ensemble des choix précédents</w:t>
      </w:r>
    </w:p>
    <w:sectPr>
      <w:type w:val="nextPage"/>
      <w:pgSz w:w="11906" w:h="16838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087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00000A"/>
      <w:sz w:val="24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5e0f11"/>
    <w:rPr>
      <w:rFonts w:ascii="Times New Roman" w:hAnsi="Times New Roman"/>
      <w:sz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c087b"/>
    <w:rPr>
      <w:rFonts w:ascii="Times New Roman" w:hAnsi="Times New Roman"/>
      <w:sz w:val="24"/>
      <w:lang w:val="en-GB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a9252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Application>LibreOffice/4.4.2.2$Linux_X86_64 LibreOffice_project/40m0$Build-2</Application>
  <Paragraphs>23</Paragraphs>
  <Company>FAO of the UN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2014-09-19T13:24:00Z</dcterms:created>
  <dc:creator>Julian Fox (FOM)</dc:creator>
  <dc:language>fr-FR</dc:language>
  <dcterms:modified xsi:type="dcterms:W3CDTF">2015-10-20T12:20:37Z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FAO of the UN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