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fr-FR"/>
        </w:rPr>
      </w:pPr>
      <w:r>
        <w:rPr>
          <w:b/>
          <w:sz w:val="32"/>
          <w:lang w:val="fr-FR"/>
        </w:rPr>
        <w:t xml:space="preserve">QUESTIONNAIRE À CHOIX MULTIPLES – </w:t>
      </w:r>
      <w:r>
        <w:rPr>
          <w:b/>
          <w:sz w:val="32"/>
          <w:lang w:val="fr-FR"/>
        </w:rPr>
        <w:t>SN</w:t>
      </w:r>
      <w:r>
        <w:rPr>
          <w:b/>
          <w:sz w:val="32"/>
          <w:lang w:val="fr-FR"/>
        </w:rPr>
        <w:t>S</w:t>
      </w:r>
      <w:r>
        <w:rPr>
          <w:b/>
          <w:sz w:val="32"/>
          <w:lang w:val="fr-FR"/>
        </w:rPr>
        <w:t>F</w:t>
      </w:r>
      <w:r>
        <w:rPr>
          <w:b/>
          <w:sz w:val="32"/>
          <w:lang w:val="fr-FR"/>
        </w:rPr>
        <w:t xml:space="preserve"> and the CCNUCC. </w:t>
      </w:r>
      <w:bookmarkStart w:id="0" w:name="_GoBack"/>
      <w:bookmarkEnd w:id="0"/>
      <w:r>
        <w:rPr>
          <w:b/>
          <w:sz w:val="32"/>
          <w:lang w:val="fr-FR"/>
        </w:rPr>
        <w:t>Le cadre de Varsovie pour la REDD+. Décision 1</w:t>
      </w:r>
      <w:r>
        <w:rPr>
          <w:b/>
          <w:sz w:val="32"/>
          <w:lang w:val="fr-FR"/>
        </w:rPr>
        <w:t>4</w:t>
      </w:r>
      <w:r>
        <w:rPr>
          <w:b/>
          <w:sz w:val="32"/>
          <w:lang w:val="fr-FR"/>
        </w:rPr>
        <w:t>/CP.19.</w:t>
      </w:r>
    </w:p>
    <w:p>
      <w:pPr>
        <w:pStyle w:val="Normal"/>
        <w:rPr>
          <w:lang w:val="fr-FR"/>
        </w:rPr>
      </w:pPr>
      <w:r>
        <w:rPr>
          <w:lang w:val="fr-FR"/>
        </w:rPr>
        <w:t>A l'appui du texte de la Décision 1</w:t>
      </w:r>
      <w:r>
        <w:rPr>
          <w:lang w:val="fr-FR"/>
        </w:rPr>
        <w:t>4</w:t>
      </w:r>
      <w:r>
        <w:rPr>
          <w:lang w:val="fr-FR"/>
        </w:rPr>
        <w:t>/CP.19 (Systèmes Nationaux de Surveillance des Forêts - SNSF), répondez aux questions suivantes. Réalisez l'exercice individuellement puis comparez vos réponse avec votre voisin(e).</w:t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 devrait faire l'objet de mesure, notification et vérification (MNV) ?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émissions de gaz à effet de serre anthropiques liées aux forêts et les absorption par les puits.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stocks de carbone forestiers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changements de stocks de carbone forestiers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variations des superficies forestières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L'ensemble des choix précédents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systèmes nationaux de mesure, notification et vérification (MNV) de la </w:t>
      </w:r>
      <w:r>
        <w:rPr>
          <w:lang w:val="fr-FR"/>
        </w:rPr>
        <w:t xml:space="preserve">REDD+ </w:t>
      </w:r>
      <w:r>
        <w:rPr>
          <w:lang w:val="fr-FR"/>
        </w:rPr>
        <w:t>doivent être cohérents avec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systèmes MNV pour les mesures d'atténuation appropriées au niveau national (MAAN)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Le programme </w:t>
      </w:r>
      <w:r>
        <w:rPr>
          <w:lang w:val="fr-FR"/>
        </w:rPr>
        <w:t>Landsat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ONG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L'ensemble des choix précédents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MNV de la </w:t>
      </w:r>
      <w:r>
        <w:rPr>
          <w:lang w:val="fr-FR"/>
        </w:rPr>
        <w:t xml:space="preserve">REDD+ </w:t>
      </w:r>
      <w:r>
        <w:rPr>
          <w:lang w:val="fr-FR"/>
        </w:rPr>
        <w:t>doivent être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Transparents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Cohérents avec </w:t>
      </w:r>
      <w:r>
        <w:rPr>
          <w:lang w:val="fr-FR"/>
        </w:rPr>
        <w:t xml:space="preserve"> </w:t>
      </w:r>
      <w:r>
        <w:rPr>
          <w:lang w:val="fr-FR"/>
        </w:rPr>
        <w:t>les Niveaux de Références (NR) établis par les pays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Utilisés pour maximiser les paiements</w:t>
      </w:r>
      <w:r>
        <w:rPr>
          <w:lang w:val="fr-FR"/>
        </w:rPr>
        <w:t xml:space="preserve"> </w:t>
      </w:r>
      <w:r>
        <w:rPr>
          <w:lang w:val="fr-FR"/>
        </w:rPr>
        <w:t>de la REDD +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Réponses a. et b.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 suivi des MNV de la </w:t>
      </w:r>
      <w:r>
        <w:rPr>
          <w:lang w:val="fr-FR"/>
        </w:rPr>
        <w:t xml:space="preserve">REDD+ </w:t>
      </w:r>
      <w:r>
        <w:rPr>
          <w:lang w:val="fr-FR"/>
        </w:rPr>
        <w:t>est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Volontaire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Obligatoire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Exigé pour les paiements basés sur la performance dans le cadre de la CCNUCC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Réponses a. et c.</w:t>
      </w:r>
    </w:p>
    <w:p>
      <w:pPr>
        <w:pStyle w:val="ListParagraph"/>
        <w:ind w:left="1440" w:hanging="0"/>
        <w:rPr>
          <w:lang w:val="fr-FR"/>
        </w:rPr>
      </w:pPr>
      <w:r>
        <w:rPr>
          <w:lang w:val="fr-FR"/>
        </w:rPr>
      </w:r>
    </w:p>
    <w:p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 suivi des MNV de la </w:t>
      </w:r>
      <w:r>
        <w:rPr>
          <w:lang w:val="fr-FR"/>
        </w:rPr>
        <w:t xml:space="preserve">REDD+ </w:t>
      </w:r>
      <w:r>
        <w:rPr>
          <w:lang w:val="fr-FR"/>
        </w:rPr>
        <w:t>est réalisé par le biais de :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O</w:t>
      </w:r>
      <w:r>
        <w:rPr>
          <w:lang w:val="fr-FR"/>
        </w:rPr>
        <w:t>NG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Une annexe technique aux rapports bisannuels à la CCNUCC</w:t>
      </w:r>
    </w:p>
    <w:p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Wikipedia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>
          <w:lang w:val="fr-FR"/>
        </w:rPr>
      </w:pPr>
      <w:r>
        <w:rPr>
          <w:lang w:val="fr-FR"/>
        </w:rPr>
        <w:t>L'ensemble des réponses précédentes</w:t>
      </w:r>
    </w:p>
    <w:sect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087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5e0f11"/>
    <w:rPr>
      <w:rFonts w:ascii="Times New Roman" w:hAnsi="Times New Roman"/>
      <w:sz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c087b"/>
    <w:rPr>
      <w:rFonts w:ascii="Times New Roman" w:hAnsi="Times New Roman"/>
      <w:sz w:val="24"/>
      <w:lang w:val="en-GB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a9252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2649</TotalTime>
  <Application>LibreOffice/4.4.2.2$Linux_X86_64 LibreOffice_project/40m0$Build-2</Application>
  <Paragraphs>28</Paragraphs>
  <Company>FAO of the UN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2014-09-19T13:25:00Z</dcterms:created>
  <dc:creator>Julian Fox (FOM)</dc:creator>
  <dc:language>fr-FR</dc:language>
  <dcterms:modified xsi:type="dcterms:W3CDTF">2015-10-20T12:47:30Z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FAO of the UN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