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A49516" w14:textId="10439AA8" w:rsidR="00901B07" w:rsidRPr="00B44F78" w:rsidRDefault="00E50197">
      <w:pPr>
        <w:ind w:left="-140"/>
        <w:rPr>
          <w:lang w:val="es-ES_tradnl"/>
        </w:rPr>
      </w:pPr>
      <w:r w:rsidRPr="00B44F78">
        <w:rPr>
          <w:noProof/>
          <w:lang w:val="es-ES_tradnl" w:eastAsia="zh-TW"/>
        </w:rPr>
        <w:drawing>
          <wp:inline distT="0" distB="0" distL="0" distR="0" wp14:anchorId="0C90CC5E" wp14:editId="29FCE181">
            <wp:extent cx="1380392" cy="978427"/>
            <wp:effectExtent l="0" t="0" r="0" b="12700"/>
            <wp:docPr id="4" name="Imagen 4" descr="SISTEMA:Users:xavi:Desktop:OMM:TRAD ONU REDD:logo_un-redd_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:Users:xavi:Desktop:OMM:TRAD ONU REDD:logo_un-redd_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92" cy="9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6C98" w14:textId="77777777" w:rsidR="00557195" w:rsidRPr="00B44F78" w:rsidRDefault="00557195">
      <w:pPr>
        <w:ind w:left="-140"/>
        <w:rPr>
          <w:lang w:val="es-ES_tradnl"/>
        </w:rPr>
      </w:pPr>
    </w:p>
    <w:p w14:paraId="796AE9F1" w14:textId="77777777" w:rsidR="00901B07" w:rsidRPr="00B44F78" w:rsidRDefault="00557195">
      <w:pPr>
        <w:rPr>
          <w:lang w:val="es-ES_tradnl"/>
        </w:rPr>
      </w:pPr>
      <w:r w:rsidRPr="00B44F78">
        <w:rPr>
          <w:lang w:val="es-ES_tradnl"/>
        </w:rPr>
        <w:t xml:space="preserve"> </w:t>
      </w:r>
    </w:p>
    <w:p w14:paraId="159DC3F4" w14:textId="77777777" w:rsidR="00901B07" w:rsidRPr="00B44F78" w:rsidRDefault="00557195">
      <w:pPr>
        <w:rPr>
          <w:lang w:val="es-ES_tradnl"/>
        </w:rPr>
      </w:pPr>
      <w:r w:rsidRPr="00B44F78">
        <w:rPr>
          <w:lang w:val="es-ES_tradnl"/>
        </w:rPr>
        <w:t xml:space="preserve"> </w:t>
      </w:r>
    </w:p>
    <w:p w14:paraId="4CA75F27" w14:textId="77777777" w:rsidR="00557195" w:rsidRPr="00B44F78" w:rsidRDefault="00557195" w:rsidP="00557195">
      <w:pPr>
        <w:jc w:val="right"/>
        <w:rPr>
          <w:lang w:val="es-ES_tradnl"/>
        </w:rPr>
      </w:pPr>
    </w:p>
    <w:p w14:paraId="4BFA409F" w14:textId="77777777" w:rsidR="00557195" w:rsidRPr="00B44F78" w:rsidRDefault="00557195" w:rsidP="00557195">
      <w:pPr>
        <w:jc w:val="right"/>
        <w:rPr>
          <w:lang w:val="es-ES_tradnl"/>
        </w:rPr>
      </w:pPr>
    </w:p>
    <w:tbl>
      <w:tblPr>
        <w:tblpPr w:leftFromText="187" w:rightFromText="187" w:vertAnchor="page" w:horzAnchor="margin" w:tblpXSpec="right" w:tblpY="5446"/>
        <w:tblW w:w="285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472"/>
      </w:tblGrid>
      <w:tr w:rsidR="0006360C" w:rsidRPr="00B44F78" w14:paraId="2198F0E7" w14:textId="77777777" w:rsidTr="009F50A3">
        <w:trPr>
          <w:trHeight w:val="1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E72FB" w14:textId="434C4DAA" w:rsidR="0006360C" w:rsidRPr="00B44F78" w:rsidRDefault="0006360C" w:rsidP="009F50A3">
            <w:pPr>
              <w:pStyle w:val="NoSpacing"/>
              <w:tabs>
                <w:tab w:val="left" w:pos="2100"/>
              </w:tabs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</w:pPr>
            <w:r w:rsidRPr="00B44F78"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  <w:t>Enfoque sobre salvaguardas a nivel de país:</w:t>
            </w:r>
          </w:p>
          <w:p w14:paraId="6A4DACB8" w14:textId="77777777" w:rsidR="0006360C" w:rsidRPr="00B44F78" w:rsidRDefault="0006360C" w:rsidP="009F50A3">
            <w:pPr>
              <w:pStyle w:val="NoSpacing"/>
              <w:tabs>
                <w:tab w:val="left" w:pos="2100"/>
              </w:tabs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</w:pPr>
          </w:p>
          <w:p w14:paraId="40E80F1F" w14:textId="609BF8A5" w:rsidR="0006360C" w:rsidRPr="00B44F78" w:rsidRDefault="0006360C" w:rsidP="007E4CE4">
            <w:pPr>
              <w:pStyle w:val="NoSpacing"/>
              <w:tabs>
                <w:tab w:val="left" w:pos="2100"/>
              </w:tabs>
              <w:rPr>
                <w:rFonts w:ascii="Franklin Gothic Book" w:hAnsi="Franklin Gothic Book"/>
                <w:b/>
                <w:bCs/>
                <w:color w:val="000000"/>
                <w:sz w:val="56"/>
                <w:szCs w:val="56"/>
                <w:lang w:val="es-ES_tradnl"/>
              </w:rPr>
            </w:pPr>
            <w:r w:rsidRPr="00B44F78"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  <w:t>Glosa</w:t>
            </w:r>
            <w:r w:rsidR="007E4CE4" w:rsidRPr="00B44F78"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  <w:t>rio de términos</w:t>
            </w:r>
            <w:r w:rsidR="00957062" w:rsidRPr="00B44F78"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  <w:t xml:space="preserve"> </w:t>
            </w:r>
            <w:r w:rsidRPr="00B44F78">
              <w:rPr>
                <w:rFonts w:ascii="Franklin Gothic Book" w:hAnsi="Franklin Gothic Book"/>
                <w:b/>
                <w:bCs/>
                <w:sz w:val="56"/>
                <w:szCs w:val="56"/>
                <w:lang w:val="es-ES_tradnl"/>
              </w:rPr>
              <w:t xml:space="preserve">clave </w:t>
            </w:r>
          </w:p>
        </w:tc>
      </w:tr>
      <w:tr w:rsidR="0006360C" w:rsidRPr="00B44F78" w14:paraId="60A73709" w14:textId="77777777" w:rsidTr="009F50A3">
        <w:trPr>
          <w:trHeight w:val="3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5EA331" w14:textId="7239A37F" w:rsidR="0006360C" w:rsidRPr="00B44F78" w:rsidRDefault="0006360C" w:rsidP="0006360C">
            <w:pPr>
              <w:pStyle w:val="NoSpacing"/>
              <w:rPr>
                <w:bCs/>
                <w:color w:val="0070C0"/>
                <w:sz w:val="40"/>
                <w:szCs w:val="40"/>
                <w:lang w:val="es-ES_tradnl"/>
              </w:rPr>
            </w:pPr>
            <w:r w:rsidRPr="00B44F78">
              <w:rPr>
                <w:bCs/>
                <w:color w:val="548DD4"/>
                <w:sz w:val="32"/>
                <w:szCs w:val="32"/>
                <w:lang w:val="es-ES_tradnl"/>
              </w:rPr>
              <w:t>P</w:t>
            </w:r>
            <w:r w:rsidRPr="00B44F78">
              <w:rPr>
                <w:bCs/>
                <w:color w:val="548DD4"/>
                <w:sz w:val="24"/>
                <w:szCs w:val="32"/>
                <w:lang w:val="es-ES_tradnl"/>
              </w:rPr>
              <w:t>ROGRAMA ONU-REDD</w:t>
            </w:r>
          </w:p>
        </w:tc>
      </w:tr>
      <w:tr w:rsidR="0006360C" w:rsidRPr="00B44F78" w14:paraId="6DCCF605" w14:textId="77777777" w:rsidTr="009F50A3">
        <w:trPr>
          <w:trHeight w:val="213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742DE" w14:textId="0ECFD203" w:rsidR="0006360C" w:rsidRPr="00B44F78" w:rsidRDefault="0006360C" w:rsidP="0006360C">
            <w:pPr>
              <w:pStyle w:val="NoSpacing"/>
              <w:rPr>
                <w:bCs/>
                <w:color w:val="000000"/>
                <w:sz w:val="28"/>
                <w:szCs w:val="28"/>
                <w:lang w:val="es-ES_tradnl"/>
              </w:rPr>
            </w:pPr>
            <w:r w:rsidRPr="00B44F78">
              <w:rPr>
                <w:bCs/>
                <w:color w:val="000000"/>
                <w:sz w:val="28"/>
                <w:szCs w:val="28"/>
                <w:lang w:val="es-ES_tradnl"/>
              </w:rPr>
              <w:t>Junio de 2015</w:t>
            </w:r>
          </w:p>
        </w:tc>
      </w:tr>
    </w:tbl>
    <w:p w14:paraId="5A8DEB5A" w14:textId="77777777" w:rsidR="0054058E" w:rsidRPr="00B44F78" w:rsidRDefault="0054058E">
      <w:pPr>
        <w:rPr>
          <w:lang w:val="es-ES_tradnl"/>
        </w:rPr>
      </w:pPr>
    </w:p>
    <w:p w14:paraId="118AC280" w14:textId="77777777" w:rsidR="0054058E" w:rsidRPr="00B44F78" w:rsidRDefault="0054058E">
      <w:pPr>
        <w:rPr>
          <w:lang w:val="es-ES_tradnl"/>
        </w:rPr>
      </w:pPr>
      <w:r w:rsidRPr="00B44F78">
        <w:rPr>
          <w:lang w:val="es-ES_tradnl"/>
        </w:rPr>
        <w:br w:type="page"/>
      </w:r>
    </w:p>
    <w:p w14:paraId="278FC987" w14:textId="77777777" w:rsidR="00965368" w:rsidRPr="00B44F78" w:rsidRDefault="00965368">
      <w:pPr>
        <w:rPr>
          <w:rFonts w:asciiTheme="minorHAnsi" w:hAnsiTheme="minorHAnsi"/>
          <w:lang w:val="es-ES_tradnl"/>
        </w:rPr>
      </w:pPr>
    </w:p>
    <w:p w14:paraId="5233025B" w14:textId="3DAEFEAB" w:rsidR="00965368" w:rsidRPr="00B44F78" w:rsidRDefault="00965368">
      <w:pPr>
        <w:rPr>
          <w:rFonts w:asciiTheme="minorHAnsi" w:hAnsiTheme="minorHAnsi"/>
          <w:lang w:val="es-ES_tradnl"/>
        </w:rPr>
      </w:pPr>
      <w:r w:rsidRPr="00B44F78">
        <w:rPr>
          <w:rFonts w:asciiTheme="minorHAnsi" w:hAnsiTheme="minorHAnsi"/>
          <w:lang w:val="es-ES_tradnl"/>
        </w:rPr>
        <w:t xml:space="preserve">El presente glosario </w:t>
      </w:r>
      <w:r w:rsidR="00717428" w:rsidRPr="00B44F78">
        <w:rPr>
          <w:rFonts w:asciiTheme="minorHAnsi" w:hAnsiTheme="minorHAnsi"/>
          <w:lang w:val="es-ES_tradnl"/>
        </w:rPr>
        <w:t xml:space="preserve">ha sido </w:t>
      </w:r>
      <w:r w:rsidRPr="00B44F78">
        <w:rPr>
          <w:rFonts w:asciiTheme="minorHAnsi" w:hAnsiTheme="minorHAnsi"/>
          <w:lang w:val="es-ES_tradnl"/>
        </w:rPr>
        <w:t xml:space="preserve">elaborado </w:t>
      </w:r>
      <w:r w:rsidR="00B335EE" w:rsidRPr="00B44F78">
        <w:rPr>
          <w:rFonts w:asciiTheme="minorHAnsi" w:hAnsiTheme="minorHAnsi"/>
          <w:lang w:val="es-ES_tradnl"/>
        </w:rPr>
        <w:t>a fin de</w:t>
      </w:r>
      <w:r w:rsidRPr="00B44F78">
        <w:rPr>
          <w:rFonts w:asciiTheme="minorHAnsi" w:hAnsiTheme="minorHAnsi"/>
          <w:lang w:val="es-ES_tradnl"/>
        </w:rPr>
        <w:t xml:space="preserve"> que sirva de referencia interna </w:t>
      </w:r>
      <w:r w:rsidR="00B335EE" w:rsidRPr="00B44F78">
        <w:rPr>
          <w:rFonts w:asciiTheme="minorHAnsi" w:hAnsiTheme="minorHAnsi"/>
          <w:lang w:val="es-ES_tradnl"/>
        </w:rPr>
        <w:t>para</w:t>
      </w:r>
      <w:r w:rsidRPr="00B44F78">
        <w:rPr>
          <w:rFonts w:asciiTheme="minorHAnsi" w:hAnsiTheme="minorHAnsi"/>
          <w:lang w:val="es-ES_tradnl"/>
        </w:rPr>
        <w:t xml:space="preserve"> todo el personal del Programa ONU-REDD en apoyo de la aplicación del </w:t>
      </w:r>
      <w:hyperlink r:id="rId9" w:history="1">
        <w:r w:rsidRPr="00B44F78">
          <w:rPr>
            <w:rStyle w:val="Hyperlink"/>
            <w:rFonts w:asciiTheme="minorHAnsi" w:hAnsiTheme="minorHAnsi"/>
            <w:lang w:val="es-ES_tradnl"/>
          </w:rPr>
          <w:t>enfoque sobre salvaguardas a nivel de país</w:t>
        </w:r>
      </w:hyperlink>
      <w:r w:rsidR="00B44F78">
        <w:rPr>
          <w:rFonts w:asciiTheme="minorHAnsi" w:hAnsiTheme="minorHAnsi"/>
          <w:lang w:val="es-ES_tradnl"/>
        </w:rPr>
        <w:t xml:space="preserve"> (v</w:t>
      </w:r>
      <w:r w:rsidR="00B44F78" w:rsidRPr="00B44F78">
        <w:rPr>
          <w:rFonts w:asciiTheme="minorHAnsi" w:hAnsiTheme="minorHAnsi"/>
          <w:lang w:val="es-ES_tradnl"/>
        </w:rPr>
        <w:t>éase</w:t>
      </w:r>
      <w:r w:rsidRPr="00B44F78">
        <w:rPr>
          <w:rFonts w:asciiTheme="minorHAnsi" w:hAnsiTheme="minorHAnsi"/>
          <w:lang w:val="es-ES_tradnl"/>
        </w:rPr>
        <w:t xml:space="preserve"> la figura </w:t>
      </w:r>
      <w:r w:rsidR="00B44F78">
        <w:rPr>
          <w:rFonts w:asciiTheme="minorHAnsi" w:hAnsiTheme="minorHAnsi"/>
          <w:lang w:val="es-ES_tradnl"/>
        </w:rPr>
        <w:t>a continuación</w:t>
      </w:r>
      <w:r w:rsidRPr="00B44F78">
        <w:rPr>
          <w:rFonts w:asciiTheme="minorHAnsi" w:hAnsiTheme="minorHAnsi"/>
          <w:lang w:val="es-ES_tradnl"/>
        </w:rPr>
        <w:t xml:space="preserve">). El glosario </w:t>
      </w:r>
      <w:r w:rsidR="00E605E1" w:rsidRPr="00B44F78">
        <w:rPr>
          <w:rFonts w:asciiTheme="minorHAnsi" w:hAnsiTheme="minorHAnsi"/>
          <w:lang w:val="es-ES_tradnl"/>
        </w:rPr>
        <w:t>se mantiene como un</w:t>
      </w:r>
      <w:r w:rsidRPr="00B44F78">
        <w:rPr>
          <w:rFonts w:asciiTheme="minorHAnsi" w:hAnsiTheme="minorHAnsi"/>
          <w:lang w:val="es-ES_tradnl"/>
        </w:rPr>
        <w:t xml:space="preserve"> documento vivo</w:t>
      </w:r>
      <w:r w:rsidR="00935569" w:rsidRPr="00B44F78">
        <w:rPr>
          <w:rFonts w:asciiTheme="minorHAnsi" w:hAnsiTheme="minorHAnsi"/>
          <w:lang w:val="es-ES_tradnl"/>
        </w:rPr>
        <w:t>,</w:t>
      </w:r>
      <w:r w:rsidRPr="00B44F78">
        <w:rPr>
          <w:rFonts w:asciiTheme="minorHAnsi" w:hAnsiTheme="minorHAnsi"/>
          <w:lang w:val="es-ES_tradnl"/>
        </w:rPr>
        <w:t xml:space="preserve"> actualiza</w:t>
      </w:r>
      <w:r w:rsidR="00FE08D6" w:rsidRPr="00B44F78">
        <w:rPr>
          <w:rFonts w:asciiTheme="minorHAnsi" w:hAnsiTheme="minorHAnsi"/>
          <w:lang w:val="es-ES_tradnl"/>
        </w:rPr>
        <w:t>do</w:t>
      </w:r>
      <w:r w:rsidRPr="00B44F78">
        <w:rPr>
          <w:rFonts w:asciiTheme="minorHAnsi" w:hAnsiTheme="minorHAnsi"/>
          <w:lang w:val="es-ES_tradnl"/>
        </w:rPr>
        <w:t xml:space="preserve"> </w:t>
      </w:r>
      <w:r w:rsidR="00935569" w:rsidRPr="00B44F78">
        <w:rPr>
          <w:rFonts w:asciiTheme="minorHAnsi" w:hAnsiTheme="minorHAnsi"/>
          <w:lang w:val="es-ES_tradnl"/>
        </w:rPr>
        <w:t>periódicamente</w:t>
      </w:r>
      <w:r w:rsidRPr="00B44F78">
        <w:rPr>
          <w:rFonts w:asciiTheme="minorHAnsi" w:hAnsiTheme="minorHAnsi"/>
          <w:lang w:val="es-ES_tradnl"/>
        </w:rPr>
        <w:t xml:space="preserve"> por el </w:t>
      </w:r>
      <w:hyperlink r:id="rId10" w:history="1">
        <w:r w:rsidR="00D34E91" w:rsidRPr="00B44F78">
          <w:rPr>
            <w:rStyle w:val="Hyperlink"/>
            <w:rFonts w:asciiTheme="minorHAnsi" w:hAnsiTheme="minorHAnsi"/>
            <w:lang w:val="es-ES_tradnl"/>
          </w:rPr>
          <w:t>Grupo de Coordinación sobre Salvaguardas</w:t>
        </w:r>
      </w:hyperlink>
      <w:r w:rsidR="00D34E91" w:rsidRPr="00B44F78">
        <w:rPr>
          <w:rFonts w:asciiTheme="minorHAnsi" w:hAnsiTheme="minorHAnsi"/>
          <w:lang w:val="es-ES_tradnl"/>
        </w:rPr>
        <w:t xml:space="preserve"> de ONU-REDD</w:t>
      </w:r>
      <w:r w:rsidRPr="00B44F78">
        <w:rPr>
          <w:rFonts w:asciiTheme="minorHAnsi" w:hAnsiTheme="minorHAnsi"/>
          <w:lang w:val="es-ES_tradnl"/>
        </w:rPr>
        <w:t xml:space="preserve">, que tiene por objeto garantizar </w:t>
      </w:r>
      <w:r w:rsidR="00D34E91" w:rsidRPr="00B44F78">
        <w:rPr>
          <w:rFonts w:asciiTheme="minorHAnsi" w:hAnsiTheme="minorHAnsi"/>
          <w:lang w:val="es-ES_tradnl"/>
        </w:rPr>
        <w:t xml:space="preserve">el </w:t>
      </w:r>
      <w:r w:rsidRPr="00B44F78">
        <w:rPr>
          <w:rFonts w:asciiTheme="minorHAnsi" w:hAnsiTheme="minorHAnsi"/>
          <w:lang w:val="es-ES_tradnl"/>
        </w:rPr>
        <w:t xml:space="preserve">consenso </w:t>
      </w:r>
      <w:r w:rsidR="00E605E1" w:rsidRPr="00B44F78">
        <w:rPr>
          <w:rFonts w:asciiTheme="minorHAnsi" w:hAnsiTheme="minorHAnsi"/>
          <w:lang w:val="es-ES_tradnl"/>
        </w:rPr>
        <w:t xml:space="preserve">interinstitucional </w:t>
      </w:r>
      <w:r w:rsidRPr="00B44F78">
        <w:rPr>
          <w:rFonts w:asciiTheme="minorHAnsi" w:hAnsiTheme="minorHAnsi"/>
          <w:lang w:val="es-ES_tradnl"/>
        </w:rPr>
        <w:t xml:space="preserve">sobre el apoyo del Programa a los </w:t>
      </w:r>
      <w:r w:rsidR="00E605E1" w:rsidRPr="00B44F78">
        <w:rPr>
          <w:rFonts w:asciiTheme="minorHAnsi" w:hAnsiTheme="minorHAnsi"/>
          <w:lang w:val="es-ES_tradnl"/>
        </w:rPr>
        <w:t>países en materia de salvaguard</w:t>
      </w:r>
      <w:r w:rsidRPr="00B44F78">
        <w:rPr>
          <w:rFonts w:asciiTheme="minorHAnsi" w:hAnsiTheme="minorHAnsi"/>
          <w:lang w:val="es-ES_tradnl"/>
        </w:rPr>
        <w:t xml:space="preserve">as, </w:t>
      </w:r>
      <w:r w:rsidR="00E605E1" w:rsidRPr="00B44F78">
        <w:rPr>
          <w:rFonts w:asciiTheme="minorHAnsi" w:hAnsiTheme="minorHAnsi"/>
          <w:lang w:val="es-ES_tradnl"/>
        </w:rPr>
        <w:t>incluidas</w:t>
      </w:r>
      <w:r w:rsidR="00FE08D6" w:rsidRPr="00B44F78">
        <w:rPr>
          <w:rFonts w:asciiTheme="minorHAnsi" w:hAnsiTheme="minorHAnsi"/>
          <w:lang w:val="es-ES_tradnl"/>
        </w:rPr>
        <w:t xml:space="preserve"> estas</w:t>
      </w:r>
      <w:r w:rsidRPr="00B44F78">
        <w:rPr>
          <w:rFonts w:asciiTheme="minorHAnsi" w:hAnsiTheme="minorHAnsi"/>
          <w:lang w:val="es-ES_tradnl"/>
        </w:rPr>
        <w:t xml:space="preserve"> definiciones de </w:t>
      </w:r>
      <w:r w:rsidR="00D12F95" w:rsidRPr="00B44F78">
        <w:rPr>
          <w:rFonts w:asciiTheme="minorHAnsi" w:hAnsiTheme="minorHAnsi"/>
          <w:lang w:val="es-ES_tradnl"/>
        </w:rPr>
        <w:t>terminológicas</w:t>
      </w:r>
      <w:r w:rsidRPr="00B44F78">
        <w:rPr>
          <w:rFonts w:asciiTheme="minorHAnsi" w:hAnsiTheme="minorHAnsi"/>
          <w:lang w:val="es-ES_tradnl"/>
        </w:rPr>
        <w:t>.</w:t>
      </w:r>
    </w:p>
    <w:p w14:paraId="09EE2D63" w14:textId="77777777" w:rsidR="001C3F51" w:rsidRPr="00B44F78" w:rsidRDefault="001C3F51">
      <w:pPr>
        <w:rPr>
          <w:rFonts w:asciiTheme="minorHAnsi" w:hAnsiTheme="minorHAnsi"/>
          <w:lang w:val="es-ES_tradnl"/>
        </w:rPr>
      </w:pPr>
    </w:p>
    <w:p w14:paraId="114FD7A7" w14:textId="0159C1EF" w:rsidR="001C3F51" w:rsidRPr="00B44F78" w:rsidRDefault="00717428" w:rsidP="008860DC">
      <w:pPr>
        <w:jc w:val="center"/>
        <w:rPr>
          <w:rFonts w:asciiTheme="minorHAnsi" w:hAnsiTheme="minorHAnsi"/>
          <w:lang w:val="es-ES_tradnl"/>
        </w:rPr>
      </w:pPr>
      <w:r w:rsidRPr="00B44F78">
        <w:rPr>
          <w:noProof/>
          <w:lang w:val="es-ES_tradnl" w:eastAsia="zh-TW"/>
        </w:rPr>
        <w:drawing>
          <wp:inline distT="0" distB="0" distL="0" distR="0" wp14:anchorId="6B719D07" wp14:editId="59804B43">
            <wp:extent cx="5943600" cy="4460752"/>
            <wp:effectExtent l="0" t="0" r="0" b="10160"/>
            <wp:docPr id="2" name="Picture 1" descr="Macintosh HD:Users:appletoso:Downloads:TRAD ONU REDD:CAS master fig.-1.0-ES:Slid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toso:Downloads:TRAD ONU REDD:CAS master fig.-1.0-ES:Slide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ED59" w14:textId="77777777" w:rsidR="001C3F51" w:rsidRPr="00B44F78" w:rsidRDefault="001C3F51">
      <w:pPr>
        <w:rPr>
          <w:rFonts w:asciiTheme="minorHAnsi" w:hAnsiTheme="minorHAnsi"/>
          <w:lang w:val="es-ES_tradnl"/>
        </w:rPr>
      </w:pPr>
    </w:p>
    <w:p w14:paraId="29DAD29C" w14:textId="78EFE90E" w:rsidR="00E605E1" w:rsidRPr="00B44F78" w:rsidRDefault="00E605E1">
      <w:pPr>
        <w:rPr>
          <w:rFonts w:asciiTheme="minorHAnsi" w:hAnsiTheme="minorHAnsi"/>
          <w:lang w:val="es-ES_tradnl"/>
        </w:rPr>
      </w:pPr>
      <w:r w:rsidRPr="00B44F78">
        <w:rPr>
          <w:rFonts w:asciiTheme="minorHAnsi" w:hAnsiTheme="minorHAnsi"/>
          <w:lang w:val="es-ES_tradnl"/>
        </w:rPr>
        <w:t xml:space="preserve">El propósito del glosario no es proporcionar </w:t>
      </w:r>
      <w:r w:rsidR="00501194" w:rsidRPr="00B44F78">
        <w:rPr>
          <w:rFonts w:asciiTheme="minorHAnsi" w:hAnsiTheme="minorHAnsi"/>
          <w:lang w:val="es-ES_tradnl"/>
        </w:rPr>
        <w:t>definiciones</w:t>
      </w:r>
      <w:r w:rsidRPr="00B44F78">
        <w:rPr>
          <w:rFonts w:asciiTheme="minorHAnsi" w:hAnsiTheme="minorHAnsi"/>
          <w:lang w:val="es-ES_tradnl"/>
        </w:rPr>
        <w:t xml:space="preserve"> </w:t>
      </w:r>
      <w:r w:rsidR="00501194" w:rsidRPr="00B44F78">
        <w:rPr>
          <w:rFonts w:asciiTheme="minorHAnsi" w:hAnsiTheme="minorHAnsi"/>
          <w:lang w:val="es-ES_tradnl"/>
        </w:rPr>
        <w:t>categóricas</w:t>
      </w:r>
      <w:r w:rsidRPr="00B44F78">
        <w:rPr>
          <w:rFonts w:asciiTheme="minorHAnsi" w:hAnsiTheme="minorHAnsi"/>
          <w:lang w:val="es-ES_tradnl"/>
        </w:rPr>
        <w:t xml:space="preserve"> de los términos clave sobre salvaguardas adoptados por el Programa, la Convención Marco de las Naciones Unidas sobre el Cambio Climático (CMNUCC) o cualquier otra entidad, sino aportar claridad y estandarizar un vocabulario de trabajo sobre salvaguardas para su uso diario por el Programa. S</w:t>
      </w:r>
      <w:r w:rsidR="00850C79" w:rsidRPr="00B44F78">
        <w:rPr>
          <w:rFonts w:asciiTheme="minorHAnsi" w:hAnsiTheme="minorHAnsi"/>
          <w:lang w:val="es-ES_tradnl"/>
        </w:rPr>
        <w:t xml:space="preserve">e alienta </w:t>
      </w:r>
      <w:r w:rsidRPr="00B44F78">
        <w:rPr>
          <w:rFonts w:asciiTheme="minorHAnsi" w:hAnsiTheme="minorHAnsi"/>
          <w:lang w:val="es-ES_tradnl"/>
        </w:rPr>
        <w:t xml:space="preserve">encarecidamente a los usuarios </w:t>
      </w:r>
      <w:r w:rsidR="00850C79" w:rsidRPr="00B44F78">
        <w:rPr>
          <w:rFonts w:asciiTheme="minorHAnsi" w:hAnsiTheme="minorHAnsi"/>
          <w:lang w:val="es-ES_tradnl"/>
        </w:rPr>
        <w:t>del presente</w:t>
      </w:r>
      <w:r w:rsidRPr="00B44F78">
        <w:rPr>
          <w:rFonts w:asciiTheme="minorHAnsi" w:hAnsiTheme="minorHAnsi"/>
          <w:lang w:val="es-ES_tradnl"/>
        </w:rPr>
        <w:t xml:space="preserve"> documento a que </w:t>
      </w:r>
      <w:r w:rsidR="00313E10" w:rsidRPr="00B44F78">
        <w:rPr>
          <w:rFonts w:asciiTheme="minorHAnsi" w:hAnsiTheme="minorHAnsi"/>
          <w:lang w:val="es-ES_tradnl"/>
        </w:rPr>
        <w:t>remitan</w:t>
      </w:r>
      <w:r w:rsidRPr="00B44F78">
        <w:rPr>
          <w:rFonts w:asciiTheme="minorHAnsi" w:hAnsiTheme="minorHAnsi"/>
          <w:lang w:val="es-ES_tradnl"/>
        </w:rPr>
        <w:t xml:space="preserve"> cualquier </w:t>
      </w:r>
      <w:r w:rsidR="00FE08D6" w:rsidRPr="00B44F78">
        <w:rPr>
          <w:rFonts w:asciiTheme="minorHAnsi" w:hAnsiTheme="minorHAnsi"/>
          <w:lang w:val="es-ES_tradnl"/>
        </w:rPr>
        <w:t>observación</w:t>
      </w:r>
      <w:r w:rsidRPr="00B44F78">
        <w:rPr>
          <w:rFonts w:asciiTheme="minorHAnsi" w:hAnsiTheme="minorHAnsi"/>
          <w:lang w:val="es-ES_tradnl"/>
        </w:rPr>
        <w:t xml:space="preserve"> sobre estas definiciones </w:t>
      </w:r>
      <w:r w:rsidR="00501194" w:rsidRPr="00B44F78">
        <w:rPr>
          <w:rFonts w:asciiTheme="minorHAnsi" w:hAnsiTheme="minorHAnsi"/>
          <w:lang w:val="es-ES_tradnl"/>
        </w:rPr>
        <w:t>al</w:t>
      </w:r>
      <w:r w:rsidRPr="00B44F78">
        <w:rPr>
          <w:rFonts w:asciiTheme="minorHAnsi" w:hAnsiTheme="minorHAnsi"/>
          <w:lang w:val="es-ES_tradnl"/>
        </w:rPr>
        <w:t xml:space="preserve"> </w:t>
      </w:r>
      <w:r w:rsidR="00313E10" w:rsidRPr="00B44F78">
        <w:rPr>
          <w:rFonts w:asciiTheme="minorHAnsi" w:hAnsiTheme="minorHAnsi"/>
          <w:lang w:val="es-ES_tradnl"/>
        </w:rPr>
        <w:t xml:space="preserve">Grupo de Coordinación sobre Salvaguardas </w:t>
      </w:r>
      <w:r w:rsidRPr="00B44F78">
        <w:rPr>
          <w:rFonts w:asciiTheme="minorHAnsi" w:hAnsiTheme="minorHAnsi"/>
          <w:lang w:val="es-ES_tradnl"/>
        </w:rPr>
        <w:t>(</w:t>
      </w:r>
      <w:hyperlink r:id="rId12">
        <w:r w:rsidR="00FE08D6" w:rsidRPr="00B44F78">
          <w:rPr>
            <w:rFonts w:asciiTheme="minorHAnsi" w:hAnsiTheme="minorHAnsi"/>
            <w:color w:val="1155CC"/>
            <w:u w:val="single"/>
            <w:lang w:val="es-ES_tradnl"/>
          </w:rPr>
          <w:t>safeguards@un-redd.org</w:t>
        </w:r>
      </w:hyperlink>
      <w:r w:rsidRPr="00B44F78">
        <w:rPr>
          <w:rFonts w:asciiTheme="minorHAnsi" w:hAnsiTheme="minorHAnsi"/>
          <w:lang w:val="es-ES_tradnl"/>
        </w:rPr>
        <w:t>)</w:t>
      </w:r>
      <w:r w:rsidR="00FE08D6" w:rsidRPr="00B44F78">
        <w:rPr>
          <w:rFonts w:asciiTheme="minorHAnsi" w:hAnsiTheme="minorHAnsi"/>
          <w:lang w:val="es-ES_tradnl"/>
        </w:rPr>
        <w:t>. Esas observaciones servirán para orientar</w:t>
      </w:r>
      <w:r w:rsidRPr="00B44F78">
        <w:rPr>
          <w:rFonts w:asciiTheme="minorHAnsi" w:hAnsiTheme="minorHAnsi"/>
          <w:lang w:val="es-ES_tradnl"/>
        </w:rPr>
        <w:t xml:space="preserve"> las futuras versiones de</w:t>
      </w:r>
      <w:r w:rsidR="00313E10" w:rsidRPr="00B44F78">
        <w:rPr>
          <w:rFonts w:asciiTheme="minorHAnsi" w:hAnsiTheme="minorHAnsi"/>
          <w:lang w:val="es-ES_tradnl"/>
        </w:rPr>
        <w:t xml:space="preserve">l </w:t>
      </w:r>
      <w:r w:rsidRPr="00B44F78">
        <w:rPr>
          <w:rFonts w:asciiTheme="minorHAnsi" w:hAnsiTheme="minorHAnsi"/>
          <w:lang w:val="es-ES_tradnl"/>
        </w:rPr>
        <w:t>glosario.</w:t>
      </w:r>
    </w:p>
    <w:p w14:paraId="4CF5CC29" w14:textId="77777777" w:rsidR="00FA0A3A" w:rsidRPr="00B44F78" w:rsidRDefault="00FA0A3A">
      <w:pPr>
        <w:rPr>
          <w:rFonts w:asciiTheme="minorHAnsi" w:hAnsiTheme="minorHAnsi"/>
          <w:lang w:val="es-ES_tradnl"/>
        </w:rPr>
      </w:pPr>
    </w:p>
    <w:p w14:paraId="4ACE7ED1" w14:textId="77777777" w:rsidR="00901B07" w:rsidRPr="00B44F78" w:rsidRDefault="00557195">
      <w:pPr>
        <w:rPr>
          <w:rFonts w:asciiTheme="minorHAnsi" w:hAnsiTheme="minorHAnsi"/>
          <w:lang w:val="es-ES_tradnl"/>
        </w:rPr>
      </w:pPr>
      <w:r w:rsidRPr="00B44F78">
        <w:rPr>
          <w:rFonts w:asciiTheme="minorHAnsi" w:hAnsiTheme="minorHAnsi"/>
          <w:lang w:val="es-ES_tradnl"/>
        </w:rPr>
        <w:t xml:space="preserve"> </w:t>
      </w:r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5367"/>
        <w:gridCol w:w="2475"/>
      </w:tblGrid>
      <w:tr w:rsidR="00901B07" w:rsidRPr="00B44F78" w14:paraId="6C622279" w14:textId="77777777" w:rsidTr="00207EE3">
        <w:trPr>
          <w:cantSplit/>
          <w:tblHeader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F117" w14:textId="14A3AF6A" w:rsidR="00901B07" w:rsidRPr="00B44F78" w:rsidRDefault="00E40BEF">
            <w:pPr>
              <w:jc w:val="center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b/>
                <w:color w:val="auto"/>
                <w:shd w:val="clear" w:color="auto" w:fill="BFBFBF"/>
                <w:lang w:val="es-ES_tradnl"/>
              </w:rPr>
              <w:lastRenderedPageBreak/>
              <w:t>Término</w:t>
            </w:r>
          </w:p>
        </w:tc>
        <w:tc>
          <w:tcPr>
            <w:tcW w:w="5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DF0A" w14:textId="0D281A51" w:rsidR="00901B07" w:rsidRPr="00B44F78" w:rsidRDefault="00A345BC" w:rsidP="00E40BEF">
            <w:pPr>
              <w:ind w:left="-1080"/>
              <w:jc w:val="center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b/>
                <w:color w:val="auto"/>
                <w:shd w:val="clear" w:color="auto" w:fill="BFBFBF"/>
                <w:lang w:val="es-ES_tradnl"/>
              </w:rPr>
              <w:t xml:space="preserve">                 </w:t>
            </w:r>
            <w:r w:rsidR="00557195" w:rsidRPr="00B44F78">
              <w:rPr>
                <w:rFonts w:asciiTheme="minorHAnsi" w:hAnsiTheme="minorHAnsi"/>
                <w:b/>
                <w:color w:val="auto"/>
                <w:shd w:val="clear" w:color="auto" w:fill="BFBFBF"/>
                <w:lang w:val="es-ES_tradnl"/>
              </w:rPr>
              <w:t>Defi</w:t>
            </w:r>
            <w:r w:rsidR="00E40BEF" w:rsidRPr="00B44F78">
              <w:rPr>
                <w:rFonts w:asciiTheme="minorHAnsi" w:hAnsiTheme="minorHAnsi"/>
                <w:b/>
                <w:color w:val="auto"/>
                <w:shd w:val="clear" w:color="auto" w:fill="BFBFBF"/>
                <w:lang w:val="es-ES_tradnl"/>
              </w:rPr>
              <w:t>nición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5AD4" w14:textId="7DEBAC96" w:rsidR="00901B07" w:rsidRPr="00B44F78" w:rsidRDefault="00E40BE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b/>
                <w:shd w:val="clear" w:color="auto" w:fill="BFBFBF"/>
                <w:lang w:val="es-ES_tradnl"/>
              </w:rPr>
              <w:t>Fuente</w:t>
            </w:r>
          </w:p>
        </w:tc>
      </w:tr>
      <w:tr w:rsidR="00901B07" w:rsidRPr="00B44F78" w14:paraId="69AF3F0F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6349" w14:textId="2BF6DC11" w:rsidR="00E40BEF" w:rsidRPr="00B44F78" w:rsidRDefault="00AF7109">
            <w:p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Análisis de 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>las salvaguardas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DA3D" w14:textId="5A5E0F00" w:rsidR="00901B07" w:rsidRPr="00B44F78" w:rsidRDefault="007E4CE4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G</w:t>
            </w:r>
            <w:r w:rsidR="00AF7109" w:rsidRPr="00B44F78">
              <w:rPr>
                <w:rFonts w:asciiTheme="minorHAnsi" w:hAnsiTheme="minorHAnsi"/>
                <w:color w:val="auto"/>
                <w:lang w:val="es-ES_tradnl"/>
              </w:rPr>
              <w:t xml:space="preserve">arantía de que </w:t>
            </w:r>
            <w:r w:rsidR="00FE08D6" w:rsidRPr="00B44F78">
              <w:rPr>
                <w:rFonts w:asciiTheme="minorHAnsi" w:hAnsiTheme="minorHAnsi"/>
                <w:color w:val="auto"/>
                <w:lang w:val="es-ES_tradnl"/>
              </w:rPr>
              <w:t>se ha establecido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 un conjunto coherente de políticas, leyes y reglamentos (PLR), y arreglos institucionales conexos, para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>abordar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 xml:space="preserve">los riesgos y promover los 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beneficios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AF7109" w:rsidRPr="00B44F78">
              <w:rPr>
                <w:rFonts w:asciiTheme="minorHAnsi" w:hAnsiTheme="minorHAnsi"/>
                <w:color w:val="auto"/>
                <w:lang w:val="es-ES_tradnl"/>
              </w:rPr>
              <w:t xml:space="preserve">otenciales 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>asociados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 xml:space="preserve"> a las </w:t>
            </w:r>
            <w:r w:rsidR="002011B3" w:rsidRPr="00B44F78">
              <w:rPr>
                <w:rFonts w:asciiTheme="minorHAnsi" w:hAnsiTheme="minorHAnsi"/>
                <w:color w:val="auto"/>
                <w:lang w:val="es-ES_tradnl"/>
              </w:rPr>
              <w:t>medidas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 xml:space="preserve"> REDD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+, y al hacerlo,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 xml:space="preserve">se permita 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la aplicación de las salvaguardas de Cancún en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>el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 contexto del país y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>el logro de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 xml:space="preserve"> los objetivos </w:t>
            </w:r>
            <w:r w:rsidR="00501194" w:rsidRPr="00B44F78">
              <w:rPr>
                <w:rFonts w:asciiTheme="minorHAnsi" w:hAnsiTheme="minorHAnsi"/>
                <w:color w:val="auto"/>
                <w:lang w:val="es-ES_tradnl"/>
              </w:rPr>
              <w:t xml:space="preserve">nacionales 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 xml:space="preserve">en materia de 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>salvaguarda</w:t>
            </w:r>
            <w:r w:rsidR="005B27DC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E40BEF"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F431" w14:textId="6A1FCCF2" w:rsidR="00E13326" w:rsidRPr="00B44F78" w:rsidRDefault="00E13326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Adaptado de:</w:t>
            </w:r>
          </w:p>
          <w:p w14:paraId="35ADEDAA" w14:textId="77777777" w:rsidR="00541CC5" w:rsidRPr="00B44F78" w:rsidRDefault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13" w:history="1">
              <w:r w:rsidR="00541CC5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00D83996" w14:textId="241FC565" w:rsidR="00FF6766" w:rsidRPr="00B44F78" w:rsidRDefault="00FF6766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y</w:t>
            </w:r>
          </w:p>
          <w:p w14:paraId="7078E9D3" w14:textId="65726AF5" w:rsidR="00901B07" w:rsidRPr="00B44F78" w:rsidRDefault="00B44F78" w:rsidP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14" w:history="1">
              <w:r w:rsidR="00FF6766" w:rsidRPr="00B44F78">
                <w:rPr>
                  <w:rStyle w:val="Hyperlink"/>
                  <w:rFonts w:asciiTheme="minorHAnsi" w:hAnsiTheme="minorHAnsi"/>
                  <w:lang w:val="es-ES_tradnl"/>
                </w:rPr>
                <w:t>Herramienta de Beneficios</w:t>
              </w:r>
              <w:r w:rsidR="00622682" w:rsidRPr="00B44F78">
                <w:rPr>
                  <w:rStyle w:val="Hyperlink"/>
                  <w:rFonts w:asciiTheme="minorHAnsi" w:hAnsiTheme="minorHAnsi"/>
                  <w:lang w:val="es-ES_tradnl"/>
                </w:rPr>
                <w:t xml:space="preserve"> y Riesgos (BeRT) v2: Guía del u</w:t>
              </w:r>
              <w:r w:rsidR="00FF6766" w:rsidRPr="00B44F78">
                <w:rPr>
                  <w:rStyle w:val="Hyperlink"/>
                  <w:rFonts w:asciiTheme="minorHAnsi" w:hAnsiTheme="minorHAnsi"/>
                  <w:lang w:val="es-ES_tradnl"/>
                </w:rPr>
                <w:t>suario</w:t>
              </w:r>
            </w:hyperlink>
            <w:hyperlink r:id="rId15"/>
          </w:p>
        </w:tc>
      </w:tr>
      <w:tr w:rsidR="00901B07" w:rsidRPr="00B44F78" w14:paraId="559E2399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0296" w14:textId="737280FA" w:rsidR="005B27DC" w:rsidRPr="00B44F78" w:rsidRDefault="005B27DC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Salvaguardas de Cancún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1A90" w14:textId="264DA8CD" w:rsidR="005B27DC" w:rsidRPr="00B44F78" w:rsidRDefault="00622682" w:rsidP="00622682">
            <w:p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Al emprender</w:t>
            </w:r>
            <w:r w:rsidR="00501194" w:rsidRPr="00B44F78">
              <w:rPr>
                <w:rFonts w:asciiTheme="minorHAnsi" w:hAnsiTheme="minorHAnsi"/>
                <w:color w:val="auto"/>
                <w:lang w:val="es-ES_tradnl"/>
              </w:rPr>
              <w:t>se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actividades [</w:t>
            </w:r>
            <w:r w:rsidR="00E67976" w:rsidRPr="00B44F78">
              <w:rPr>
                <w:rFonts w:asciiTheme="minorHAnsi" w:hAnsiTheme="minorHAnsi"/>
                <w:color w:val="auto"/>
                <w:lang w:val="es-ES_tradnl"/>
              </w:rPr>
              <w:t>REDD+]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... deberían promoverse y apoyarse las siguientes salvaguardas:</w:t>
            </w:r>
          </w:p>
          <w:p w14:paraId="6B36804E" w14:textId="5C6930BD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>a) La complementariedad o compatibilidad de las medidas con los objetivos de los programas forestales nacionales y de las convenciones y los acuerdos internacionales sobre la materia;</w:t>
            </w:r>
          </w:p>
          <w:p w14:paraId="042596AE" w14:textId="1EAED4A3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b) La transparencia y eficacia de las estructuras de gobernanza forestal nacional, teniendo en cuenta la legislación y la soberanía nacionales;</w:t>
            </w:r>
          </w:p>
          <w:p w14:paraId="7B0862DD" w14:textId="6421687A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c) El respeto de los conocimientos y los derechos de los pueblos indígenas y los miembros de las comunidades locales, tomando en consideración las obligaciones internacionales pertinentes y las circunstancias y la legislación nacionales, y teniendo</w:t>
            </w:r>
          </w:p>
          <w:p w14:paraId="396BFA5E" w14:textId="74D873E8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presente que la Asamblea General de las Naciones Unidas ha aprobado la Declaración de las Naciones Unidas sobre los derechos de los pueblos indígenas; </w:t>
            </w:r>
          </w:p>
          <w:p w14:paraId="4A5A2FEB" w14:textId="19884351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d) La participación plena y efectiva de los interesados, en particular los pueblos indígenas y las comunidades locales, en las medidas </w:t>
            </w:r>
            <w:r w:rsidR="00DA30E8" w:rsidRPr="00B44F78">
              <w:rPr>
                <w:rFonts w:asciiTheme="minorHAnsi" w:hAnsiTheme="minorHAnsi"/>
                <w:i/>
                <w:color w:val="auto"/>
                <w:lang w:val="es-ES_tradnl"/>
              </w:rPr>
              <w:t>[REDD+]…</w:t>
            </w: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>;</w:t>
            </w:r>
          </w:p>
          <w:p w14:paraId="50F7F0E3" w14:textId="51B83AD0" w:rsidR="005B27DC" w:rsidRPr="00B44F78" w:rsidRDefault="005B27DC" w:rsidP="00DA30E8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e) La compatibilidad de las medidas con la conservación de los bosques naturales y la diversidad biológica, velando por que </w:t>
            </w:r>
            <w:r w:rsidR="00DA30E8"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las medidas [REDD+]… </w:t>
            </w: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>no se utilicen para la conversión de bosques naturales, sino que sirvan, en cambio, para incentivar la protección y la conservación de esos bosques y los servicios</w:t>
            </w:r>
            <w:r w:rsidR="00DA30E8"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>derivados de sus ecosistemas y para potenciar otros beneficios sociales y ambientales;</w:t>
            </w:r>
          </w:p>
          <w:p w14:paraId="52E10CE1" w14:textId="77777777" w:rsidR="005B27DC" w:rsidRPr="00B44F78" w:rsidRDefault="005B27DC" w:rsidP="005B27DC">
            <w:pPr>
              <w:ind w:left="360"/>
              <w:rPr>
                <w:rFonts w:asciiTheme="minorHAnsi" w:hAnsiTheme="minorHAnsi"/>
                <w:i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f) La adopción de medidas para hacer frente a los riesgos de reversión;</w:t>
            </w:r>
          </w:p>
          <w:p w14:paraId="581EFCEB" w14:textId="10CECB62" w:rsidR="005B27DC" w:rsidRPr="00B44F78" w:rsidRDefault="005B27DC" w:rsidP="00B44F78">
            <w:pPr>
              <w:ind w:left="36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g) La adopción de medidas para reducir el desplazamiento de las emisiones.</w:t>
            </w:r>
            <w:r w:rsidR="00DA30E8"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4352" w14:textId="5A19821F" w:rsidR="005B27DC" w:rsidRPr="00B44F78" w:rsidRDefault="009B195D" w:rsidP="005B27DC">
            <w:pPr>
              <w:rPr>
                <w:rFonts w:asciiTheme="minorHAnsi" w:hAnsiTheme="minorHAnsi"/>
                <w:lang w:val="es-ES_tradnl"/>
              </w:rPr>
            </w:pPr>
            <w:hyperlink r:id="rId16" w:anchor="page=2" w:history="1">
              <w:r w:rsidR="00622682" w:rsidRPr="00B44F78">
                <w:rPr>
                  <w:rStyle w:val="Hyperlink"/>
                  <w:rFonts w:asciiTheme="minorHAnsi" w:hAnsiTheme="minorHAnsi"/>
                  <w:lang w:val="es-ES_tradnl"/>
                </w:rPr>
                <w:t>Decisió</w:t>
              </w:r>
              <w:r w:rsidR="005B27DC" w:rsidRPr="00B44F78">
                <w:rPr>
                  <w:rStyle w:val="Hyperlink"/>
                  <w:rFonts w:asciiTheme="minorHAnsi" w:hAnsiTheme="minorHAnsi"/>
                  <w:lang w:val="es-ES_tradnl"/>
                </w:rPr>
                <w:t>n 1/CP.16</w:t>
              </w:r>
              <w:r w:rsidR="00622682" w:rsidRPr="00B44F78">
                <w:rPr>
                  <w:rStyle w:val="Hyperlink"/>
                  <w:rFonts w:asciiTheme="minorHAnsi" w:hAnsiTheme="minorHAnsi"/>
                  <w:lang w:val="es-ES_tradnl"/>
                </w:rPr>
                <w:t xml:space="preserve"> de la CMNUCC</w:t>
              </w:r>
            </w:hyperlink>
            <w:r w:rsidR="005B27DC" w:rsidRPr="00B44F78">
              <w:rPr>
                <w:rFonts w:asciiTheme="minorHAnsi" w:hAnsiTheme="minorHAnsi"/>
                <w:lang w:val="es-ES_tradnl"/>
              </w:rPr>
              <w:t>, Anexo I, párrafo 2</w:t>
            </w:r>
          </w:p>
          <w:p w14:paraId="36A82C7B" w14:textId="77777777" w:rsidR="005B27DC" w:rsidRPr="00B44F78" w:rsidRDefault="005B27DC">
            <w:pPr>
              <w:rPr>
                <w:rFonts w:asciiTheme="minorHAnsi" w:hAnsiTheme="minorHAnsi"/>
                <w:lang w:val="es-ES_tradnl"/>
              </w:rPr>
            </w:pPr>
          </w:p>
          <w:p w14:paraId="31B05AF4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34E8E495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8012" w14:textId="4AB8AAEA" w:rsidR="00B6368E" w:rsidRPr="00B44F78" w:rsidRDefault="00AF7109" w:rsidP="00B6368E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Clarificación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de 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salvaguardas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040F" w14:textId="61AB8F6B" w:rsidR="00DA30E8" w:rsidRPr="00B44F78" w:rsidRDefault="002B115A" w:rsidP="00B44F7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I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dentific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ación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y documenta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ción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 xml:space="preserve">de una elaboración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más detallada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>,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 xml:space="preserve">en su contenido sustantivo,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de cada un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o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de los siete grandes principios consagrados en las salvaguardas de Cancún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. </w:t>
            </w:r>
            <w:r w:rsid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uede comprender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temática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, criterios, indicadores o de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scripciones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narrativas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 específicas de cada país </w:t>
            </w:r>
            <w:r w:rsidR="002011B3" w:rsidRPr="00B44F78">
              <w:rPr>
                <w:rFonts w:asciiTheme="minorHAnsi" w:hAnsiTheme="minorHAnsi"/>
                <w:color w:val="auto"/>
                <w:lang w:val="es-ES_tradnl"/>
              </w:rPr>
              <w:t>respect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>o de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medidas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+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, en particular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en lo que se refiere a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la estrategia nacional o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 xml:space="preserve">el 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plan de acción. </w:t>
            </w:r>
            <w:r w:rsidR="00B6368E" w:rsidRPr="00B44F78">
              <w:rPr>
                <w:rFonts w:asciiTheme="minorHAnsi" w:hAnsiTheme="minorHAnsi"/>
                <w:color w:val="auto"/>
                <w:lang w:val="es-ES_tradnl"/>
              </w:rPr>
              <w:t>También se denomina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 xml:space="preserve"> “interpretación”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, 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>“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especifica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>ción”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 xml:space="preserve"> o</w:t>
            </w:r>
            <w:r w:rsidR="00E611D0" w:rsidRPr="00B44F78">
              <w:rPr>
                <w:rFonts w:asciiTheme="minorHAnsi" w:hAnsiTheme="minorHAnsi"/>
                <w:color w:val="auto"/>
                <w:lang w:val="es-ES_tradnl"/>
              </w:rPr>
              <w:t xml:space="preserve"> “comprensión” de las salvaguard</w:t>
            </w:r>
            <w:r w:rsidR="00DA30E8" w:rsidRPr="00B44F78">
              <w:rPr>
                <w:rFonts w:asciiTheme="minorHAnsi" w:hAnsiTheme="minorHAnsi"/>
                <w:color w:val="auto"/>
                <w:lang w:val="es-ES_tradnl"/>
              </w:rPr>
              <w:t>as.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A543" w14:textId="26702FE4" w:rsidR="00901B07" w:rsidRPr="00B44F78" w:rsidRDefault="009B195D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</w:t>
            </w:r>
            <w:r w:rsidR="00FA0A3A" w:rsidRPr="00B44F78">
              <w:rPr>
                <w:rFonts w:asciiTheme="minorHAnsi" w:hAnsiTheme="minorHAnsi"/>
                <w:lang w:val="es-ES_tradnl"/>
              </w:rPr>
              <w:t>tado</w:t>
            </w:r>
            <w:r w:rsidRPr="00B44F78">
              <w:rPr>
                <w:rFonts w:asciiTheme="minorHAnsi" w:hAnsiTheme="minorHAnsi"/>
                <w:lang w:val="es-ES_tradnl"/>
              </w:rPr>
              <w:t xml:space="preserve"> de</w:t>
            </w:r>
            <w:r w:rsidR="00557195" w:rsidRPr="00B44F78">
              <w:rPr>
                <w:rFonts w:asciiTheme="minorHAnsi" w:hAnsiTheme="minorHAnsi"/>
                <w:lang w:val="es-ES_tradnl"/>
              </w:rPr>
              <w:t>:</w:t>
            </w:r>
          </w:p>
          <w:p w14:paraId="263477A6" w14:textId="77777777" w:rsidR="00AA7B63" w:rsidRPr="00B44F78" w:rsidRDefault="00B44F78" w:rsidP="00AA7B63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17" w:history="1">
              <w:r w:rsidR="00AA7B63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799DC704" w14:textId="0DA9D471" w:rsidR="00901B07" w:rsidRPr="00B44F78" w:rsidRDefault="00AA7B63" w:rsidP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proofErr w:type="gramStart"/>
            <w:r w:rsidRPr="00B44F78">
              <w:rPr>
                <w:rFonts w:asciiTheme="minorHAnsi" w:hAnsiTheme="minorHAnsi"/>
                <w:lang w:val="es-ES_tradnl"/>
              </w:rPr>
              <w:t>y</w:t>
            </w:r>
            <w:proofErr w:type="gramEnd"/>
            <w:r w:rsidR="00FA0A3A" w:rsidRPr="00B44F78">
              <w:rPr>
                <w:rFonts w:asciiTheme="minorHAnsi" w:hAnsiTheme="minorHAnsi"/>
                <w:lang w:val="es-ES_tradnl"/>
              </w:rPr>
              <w:br/>
            </w:r>
            <w:hyperlink r:id="rId18" w:history="1">
              <w:r w:rsidRPr="00B44F78">
                <w:rPr>
                  <w:rStyle w:val="Hyperlink"/>
                  <w:rFonts w:asciiTheme="minorHAnsi" w:hAnsiTheme="minorHAnsi"/>
                  <w:lang w:val="es-ES_tradnl"/>
                </w:rPr>
                <w:t>Salvaguardas de REDD+. Consideraciones prácticas para desarrollar un resumen de información del Instituto Meridian</w:t>
              </w:r>
            </w:hyperlink>
          </w:p>
        </w:tc>
      </w:tr>
      <w:tr w:rsidR="00901B07" w:rsidRPr="00B44F78" w14:paraId="540BF7C3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C47F" w14:textId="38E9FC52" w:rsidR="00927C61" w:rsidRPr="00B44F78" w:rsidRDefault="00E611D0" w:rsidP="00927C61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Enfoque sobre salvaguardas a nivel d</w:t>
            </w:r>
            <w:r w:rsidR="00FA0A3A" w:rsidRPr="00B44F78">
              <w:rPr>
                <w:rFonts w:asciiTheme="minorHAnsi" w:hAnsiTheme="minorHAnsi"/>
                <w:color w:val="auto"/>
                <w:lang w:val="es-ES_tradnl"/>
              </w:rPr>
              <w:t>e</w:t>
            </w:r>
          </w:p>
          <w:p w14:paraId="6595F2FB" w14:textId="03819C00" w:rsidR="00E611D0" w:rsidRPr="00B44F78" w:rsidRDefault="00E611D0" w:rsidP="00927C61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país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0EA5" w14:textId="6737F7A8" w:rsidR="00D91E32" w:rsidRPr="00B44F78" w:rsidRDefault="002B115A">
            <w:pPr>
              <w:spacing w:after="120" w:line="240" w:lineRule="auto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roceso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>emprendido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por un país (</w:t>
            </w:r>
            <w:r w:rsidR="00B06956" w:rsidRPr="00B44F78">
              <w:rPr>
                <w:rFonts w:asciiTheme="minorHAnsi" w:hAnsiTheme="minorHAnsi"/>
                <w:color w:val="auto"/>
                <w:lang w:val="es-ES_tradnl"/>
              </w:rPr>
              <w:t xml:space="preserve">generalmente 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por su gobierno) </w:t>
            </w:r>
            <w:r w:rsidR="00B168DB" w:rsidRPr="00B44F78">
              <w:rPr>
                <w:rFonts w:asciiTheme="minorHAnsi" w:hAnsiTheme="minorHAnsi"/>
                <w:color w:val="auto"/>
                <w:lang w:val="es-ES_tradnl"/>
              </w:rPr>
              <w:t>que tiene por obje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>to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B168DB" w:rsidRPr="00B44F78">
              <w:rPr>
                <w:rFonts w:asciiTheme="minorHAnsi" w:hAnsiTheme="minorHAnsi"/>
                <w:color w:val="auto"/>
                <w:lang w:val="es-ES_tradnl"/>
              </w:rPr>
              <w:t>cumplir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los requisitos internacionales </w:t>
            </w:r>
            <w:r w:rsidR="00B168DB" w:rsidRPr="00B44F78">
              <w:rPr>
                <w:rFonts w:asciiTheme="minorHAnsi" w:hAnsiTheme="minorHAnsi"/>
                <w:color w:val="auto"/>
                <w:lang w:val="es-ES_tradnl"/>
              </w:rPr>
              <w:t>en materia de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salvaguarda</w:t>
            </w:r>
            <w:r w:rsidR="00B168DB" w:rsidRPr="00B44F78">
              <w:rPr>
                <w:rFonts w:asciiTheme="minorHAnsi" w:hAnsiTheme="minorHAnsi"/>
                <w:color w:val="auto"/>
                <w:lang w:val="es-ES_tradnl"/>
              </w:rPr>
              <w:t>s de REDD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+ (salvaguardas de Cancún de la CMNUCC y otras salvaguardas, según corresponda), 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 xml:space="preserve">de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>modo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 xml:space="preserve"> coherente 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>con los objetivos de política nacional</w:t>
            </w:r>
            <w:r w:rsidR="00B06956" w:rsidRPr="00B44F78">
              <w:rPr>
                <w:rFonts w:asciiTheme="minorHAnsi" w:hAnsiTheme="minorHAnsi"/>
                <w:color w:val="auto"/>
                <w:lang w:val="es-ES_tradnl"/>
              </w:rPr>
              <w:t xml:space="preserve"> y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 xml:space="preserve">aprovechando 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 xml:space="preserve">los 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>mecanismos de gobernanza existentes. Estos a</w:t>
            </w:r>
            <w:r w:rsidR="00B06956" w:rsidRPr="00B44F78">
              <w:rPr>
                <w:rFonts w:asciiTheme="minorHAnsi" w:hAnsiTheme="minorHAnsi"/>
                <w:color w:val="auto"/>
                <w:lang w:val="es-ES_tradnl"/>
              </w:rPr>
              <w:t>rreglos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gobernanza utilizados para 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>poner en práctica las sa</w:t>
            </w:r>
            <w:r w:rsidR="00B06956" w:rsidRPr="00B44F78">
              <w:rPr>
                <w:rFonts w:asciiTheme="minorHAnsi" w:hAnsiTheme="minorHAnsi"/>
                <w:color w:val="auto"/>
                <w:lang w:val="es-ES_tradnl"/>
              </w:rPr>
              <w:t>lv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>aguardas de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 xml:space="preserve"> Cancún (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 xml:space="preserve">entre 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>otr</w:t>
            </w:r>
            <w:r w:rsidR="004D2309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D91E32" w:rsidRPr="00B44F78">
              <w:rPr>
                <w:rFonts w:asciiTheme="minorHAnsi" w:hAnsiTheme="minorHAnsi"/>
                <w:color w:val="auto"/>
                <w:lang w:val="es-ES_tradnl"/>
              </w:rPr>
              <w:t>s), comprenden tres elementos básicos:</w:t>
            </w:r>
          </w:p>
          <w:p w14:paraId="1207DF01" w14:textId="465BA993" w:rsidR="00927C61" w:rsidRPr="00B44F78" w:rsidRDefault="00B225A8" w:rsidP="00927C61">
            <w:pPr>
              <w:spacing w:before="200" w:after="120" w:line="240" w:lineRule="auto"/>
              <w:ind w:left="363"/>
              <w:contextualSpacing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1.</w:t>
            </w:r>
            <w:r w:rsidR="00927C61" w:rsidRPr="00B44F78">
              <w:rPr>
                <w:rFonts w:asciiTheme="minorHAnsi" w:hAnsiTheme="minorHAnsi"/>
                <w:color w:val="auto"/>
                <w:lang w:val="es-ES_tradnl"/>
              </w:rPr>
              <w:tab/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olíticas, leyes y reglamentos (PLR) que definen, </w:t>
            </w:r>
            <w:r w:rsidR="002B115A" w:rsidRPr="00B44F78">
              <w:rPr>
                <w:rFonts w:asciiTheme="minorHAnsi" w:hAnsiTheme="minorHAnsi"/>
                <w:i/>
                <w:color w:val="auto"/>
                <w:lang w:val="es-ES_tradnl"/>
              </w:rPr>
              <w:t>sobre</w:t>
            </w:r>
            <w:r w:rsidR="004A093D"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 </w:t>
            </w:r>
            <w:r w:rsidR="006B16BC" w:rsidRPr="00B44F78">
              <w:rPr>
                <w:rFonts w:asciiTheme="minorHAnsi" w:hAnsiTheme="minorHAnsi"/>
                <w:i/>
                <w:color w:val="auto"/>
                <w:lang w:val="es-ES_tradnl"/>
              </w:rPr>
              <w:t xml:space="preserve">el </w:t>
            </w:r>
            <w:r w:rsidR="004A093D" w:rsidRPr="00B44F78">
              <w:rPr>
                <w:rFonts w:asciiTheme="minorHAnsi" w:hAnsiTheme="minorHAnsi"/>
                <w:i/>
                <w:color w:val="auto"/>
                <w:lang w:val="es-ES_tradnl"/>
              </w:rPr>
              <w:t>papel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,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>l</w:t>
            </w:r>
            <w:r w:rsidR="00A346AD" w:rsidRPr="00B44F78">
              <w:rPr>
                <w:rFonts w:asciiTheme="minorHAnsi" w:hAnsiTheme="minorHAnsi"/>
                <w:color w:val="auto"/>
                <w:lang w:val="es-ES_tradnl"/>
              </w:rPr>
              <w:t>as acciones que han de llevarse a cabo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346AD" w:rsidRPr="00B44F78">
              <w:rPr>
                <w:rFonts w:asciiTheme="minorHAnsi" w:hAnsiTheme="minorHAnsi"/>
                <w:color w:val="auto"/>
                <w:lang w:val="es-ES_tradnl"/>
              </w:rPr>
              <w:t>para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apoyar la implementación de 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medidas REDD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+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conformes con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las salvaguardas de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Cancún (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entre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otr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s), es decir,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el </w:t>
            </w:r>
            <w:r w:rsidR="003B6990" w:rsidRPr="00B44F78">
              <w:rPr>
                <w:rFonts w:asciiTheme="minorHAnsi" w:hAnsiTheme="minorHAnsi"/>
                <w:color w:val="auto"/>
                <w:lang w:val="es-ES_tradnl"/>
              </w:rPr>
              <w:t>modo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en que se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analizan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salvaguard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as. 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Las PLR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son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principalmente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disposiciones </w:t>
            </w:r>
            <w:r w:rsidR="006B16BC" w:rsidRPr="00B44F78">
              <w:rPr>
                <w:rFonts w:asciiTheme="minorHAnsi" w:hAnsiTheme="minorHAnsi"/>
                <w:color w:val="auto"/>
                <w:lang w:val="es-ES_tradnl"/>
              </w:rPr>
              <w:t>jurídicas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codificadas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>, pero también puede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>comprender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políticas de responsabilidad ambiental y social de las empr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esas, normas de la industria y leyes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 xml:space="preserve"> consuetudinarias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d</w:t>
            </w:r>
            <w:r w:rsidR="004A093D" w:rsidRPr="00B44F78">
              <w:rPr>
                <w:rFonts w:asciiTheme="minorHAnsi" w:hAnsiTheme="minorHAnsi"/>
                <w:color w:val="auto"/>
                <w:lang w:val="es-ES_tradnl"/>
              </w:rPr>
              <w:t>e los pueblos indígenas y las comunidades locales.</w:t>
            </w:r>
            <w:r w:rsidR="00927C61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  <w:p w14:paraId="37EE705F" w14:textId="2F2F62A2" w:rsidR="004A093D" w:rsidRPr="00B44F78" w:rsidRDefault="004A093D" w:rsidP="00AC5F12">
            <w:pPr>
              <w:spacing w:after="120" w:line="240" w:lineRule="auto"/>
              <w:ind w:left="325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br/>
              <w:t>2.</w:t>
            </w:r>
            <w:r w:rsidR="00927C61" w:rsidRPr="00B44F78">
              <w:rPr>
                <w:rFonts w:asciiTheme="minorHAnsi" w:hAnsiTheme="minorHAnsi"/>
                <w:color w:val="auto"/>
                <w:lang w:val="es-ES_tradnl"/>
              </w:rPr>
              <w:tab/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rreglos institucionales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>: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t xml:space="preserve">los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mandatos, procedimientos y capacidades 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>que garantizan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que l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>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PLR pertinentes se implementan </w:t>
            </w:r>
            <w:r w:rsidR="00B225A8" w:rsidRPr="00B44F78">
              <w:rPr>
                <w:rFonts w:asciiTheme="minorHAnsi" w:hAnsiTheme="minorHAnsi"/>
                <w:i/>
                <w:color w:val="auto"/>
                <w:lang w:val="es-ES_tradnl"/>
              </w:rPr>
              <w:t>en la práctica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, es decir, 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 xml:space="preserve">el </w:t>
            </w:r>
            <w:r w:rsidR="003B6990" w:rsidRPr="00B44F78">
              <w:rPr>
                <w:rFonts w:asciiTheme="minorHAnsi" w:hAnsiTheme="minorHAnsi"/>
                <w:color w:val="auto"/>
                <w:lang w:val="es-ES_tradnl"/>
              </w:rPr>
              <w:t>modo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 xml:space="preserve"> en que se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respetan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las garantías. </w:t>
            </w:r>
            <w:r w:rsidR="00B225A8" w:rsidRPr="00B44F78">
              <w:rPr>
                <w:rFonts w:asciiTheme="minorHAnsi" w:hAnsiTheme="minorHAnsi"/>
                <w:color w:val="auto"/>
                <w:lang w:val="es-ES_tradnl"/>
              </w:rPr>
              <w:t>Estos arreglos suelen estar institucionalizados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en los sectores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públic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, privad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o 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de la sociedad civil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, pero también puede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ser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>arreglos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>destinados 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fortalecer las capacidades individuales de los ciudadanos, incluidos los pueblos indígenas y las comunidades locales, para aplicar y hacer cumplir 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PLR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pertinentes.</w:t>
            </w:r>
            <w:r w:rsidR="00A16DE5" w:rsidRPr="00B44F78">
              <w:rPr>
                <w:rFonts w:asciiTheme="minorHAnsi" w:hAnsiTheme="minorHAnsi"/>
                <w:color w:val="auto"/>
                <w:lang w:val="es-ES_tradnl"/>
              </w:rPr>
              <w:br/>
            </w:r>
            <w:r w:rsidR="00927C61" w:rsidRPr="00B44F78">
              <w:rPr>
                <w:rFonts w:asciiTheme="minorHAnsi" w:hAnsiTheme="minorHAnsi"/>
                <w:color w:val="auto"/>
                <w:lang w:val="es-ES_tradnl"/>
              </w:rPr>
              <w:br/>
              <w:t>3.</w:t>
            </w:r>
            <w:r w:rsidR="00927C61" w:rsidRPr="00B44F78">
              <w:rPr>
                <w:rFonts w:asciiTheme="minorHAnsi" w:hAnsiTheme="minorHAnsi"/>
                <w:color w:val="auto"/>
                <w:lang w:val="es-ES_tradnl"/>
              </w:rPr>
              <w:tab/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Sistemas de información 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>que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recopila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y proporciona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información sobre 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>el modo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en que se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analizan</w:t>
            </w:r>
            <w:r w:rsidR="007F7EF9" w:rsidRPr="00B44F78">
              <w:rPr>
                <w:rFonts w:asciiTheme="minorHAnsi" w:hAnsiTheme="minorHAnsi"/>
                <w:color w:val="auto"/>
                <w:lang w:val="es-ES_tradnl"/>
              </w:rPr>
              <w:t xml:space="preserve"> y respetan las salvaguardas de REDD+ en la implementación de REDD+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DD0" w14:textId="229D4C07" w:rsidR="00901B07" w:rsidRPr="00B44F78" w:rsidRDefault="009B195D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Adaptado de:</w:t>
            </w:r>
          </w:p>
          <w:p w14:paraId="1483A8B9" w14:textId="77777777" w:rsidR="00AA7B63" w:rsidRPr="00B44F78" w:rsidRDefault="00B44F78" w:rsidP="00AA7B63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19" w:history="1">
              <w:r w:rsidR="00AA7B63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28D1D46A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14CE9C16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5546A699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127214AD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3D8FE333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</w:tc>
      </w:tr>
      <w:tr w:rsidR="00901B07" w:rsidRPr="00B44F78" w14:paraId="0E98EDA9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E4AE" w14:textId="663FE83E" w:rsidR="007F7EF9" w:rsidRPr="00B44F78" w:rsidRDefault="007F7EF9" w:rsidP="00AC5F12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Objetivo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del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 enfoque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sobre salvaguardas a nivel de país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0996" w14:textId="4B7D125D" w:rsidR="002F6CA8" w:rsidRPr="00B44F78" w:rsidRDefault="002B115A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rticulación de los objetivos de política que 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 xml:space="preserve">un país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quiere lograr 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>por medio</w:t>
            </w:r>
            <w:r w:rsidR="00B743FC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su enfoque de salvaguard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as,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que </w:t>
            </w:r>
            <w:r w:rsidR="00721BBF" w:rsidRPr="00B44F78">
              <w:rPr>
                <w:rFonts w:asciiTheme="minorHAnsi" w:hAnsiTheme="minorHAnsi"/>
                <w:bCs/>
                <w:color w:val="auto"/>
                <w:lang w:val="es-ES_tradnl"/>
              </w:rPr>
              <w:t>comprende</w:t>
            </w:r>
            <w:r w:rsidR="002D0AD3" w:rsidRPr="00B44F78">
              <w:rPr>
                <w:rFonts w:asciiTheme="minorHAnsi" w:hAnsiTheme="minorHAnsi"/>
                <w:bCs/>
                <w:color w:val="auto"/>
                <w:lang w:val="es-ES_tradnl"/>
              </w:rPr>
              <w:t xml:space="preserve">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los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>re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>quisitos de la CMNUCC para REDD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>+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>, aunque</w:t>
            </w:r>
            <w:r w:rsidR="002D0AD3" w:rsidRPr="00B44F78">
              <w:rPr>
                <w:rFonts w:asciiTheme="minorHAnsi" w:hAnsiTheme="minorHAnsi"/>
                <w:bCs/>
                <w:color w:val="auto"/>
                <w:lang w:val="es-ES_tradnl"/>
              </w:rPr>
              <w:t xml:space="preserve"> no tiene que limitarse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 xml:space="preserve"> a ellos</w:t>
            </w:r>
            <w:r w:rsidR="00AC5F12" w:rsidRPr="00B44F78">
              <w:rPr>
                <w:rFonts w:asciiTheme="minorHAnsi" w:hAnsiTheme="minorHAnsi"/>
                <w:bCs/>
                <w:color w:val="auto"/>
                <w:lang w:val="es-ES_tradnl"/>
              </w:rPr>
              <w:t xml:space="preserve"> necesariamente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 xml:space="preserve">.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salvaguardas de Cancún son un requisito básico para poder optar a los pagos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basados en resultados de </w:t>
            </w:r>
            <w:r w:rsidR="002D0AD3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+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en el marco de la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CMNUCC, pero 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es posible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 que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un país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>quier</w:t>
            </w:r>
            <w:r w:rsidR="00AC5F12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considerar otros requisitos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 xml:space="preserve">bilaterales o multilaterales </w:t>
            </w:r>
            <w:r w:rsidR="00721BBF" w:rsidRPr="00B44F78">
              <w:rPr>
                <w:rFonts w:asciiTheme="minorHAnsi" w:hAnsiTheme="minorHAnsi"/>
                <w:color w:val="auto"/>
                <w:lang w:val="es-ES_tradnl"/>
              </w:rPr>
              <w:t>de salvaguard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as, por ejemplo,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>las p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olíticas 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>op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>era</w:t>
            </w:r>
            <w:r w:rsidR="00E152CE" w:rsidRPr="00B44F78">
              <w:rPr>
                <w:rFonts w:asciiTheme="minorHAnsi" w:hAnsiTheme="minorHAnsi"/>
                <w:color w:val="auto"/>
                <w:lang w:val="es-ES_tradnl"/>
              </w:rPr>
              <w:t>cionales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 del Banco Mundial</w:t>
            </w:r>
            <w:r w:rsidR="00F22281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>que exige el Fondo Cooperativo para el Carbono de los Bosques (FCPF</w:t>
            </w:r>
            <w:r w:rsidR="00F22281" w:rsidRPr="00B44F78">
              <w:rPr>
                <w:rFonts w:asciiTheme="minorHAnsi" w:hAnsiTheme="minorHAnsi"/>
                <w:color w:val="auto"/>
                <w:lang w:val="es-ES_tradnl"/>
              </w:rPr>
              <w:t>, por sus siglas en inglés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). </w:t>
            </w:r>
            <w:r w:rsidR="00F22281" w:rsidRPr="00B44F78">
              <w:rPr>
                <w:rFonts w:asciiTheme="minorHAnsi" w:hAnsiTheme="minorHAnsi"/>
                <w:bCs/>
                <w:color w:val="auto"/>
                <w:lang w:val="es-ES_tradnl"/>
              </w:rPr>
              <w:t>Se podrán</w:t>
            </w:r>
            <w:r w:rsidR="002D0AD3" w:rsidRPr="00B44F78">
              <w:rPr>
                <w:rFonts w:asciiTheme="minorHAnsi" w:hAnsiTheme="minorHAnsi"/>
                <w:bCs/>
                <w:color w:val="auto"/>
                <w:lang w:val="es-ES_tradnl"/>
              </w:rPr>
              <w:t xml:space="preserve"> considerar </w:t>
            </w:r>
            <w:r w:rsidR="00F22281" w:rsidRPr="00B44F78">
              <w:rPr>
                <w:rFonts w:asciiTheme="minorHAnsi" w:hAnsiTheme="minorHAnsi"/>
                <w:bCs/>
                <w:color w:val="auto"/>
                <w:lang w:val="es-ES_tradnl"/>
              </w:rPr>
              <w:t>los</w:t>
            </w:r>
            <w:r w:rsidR="00F22281" w:rsidRPr="00B44F78">
              <w:rPr>
                <w:rFonts w:asciiTheme="minorHAnsi" w:hAnsiTheme="minorHAnsi"/>
                <w:b/>
                <w:bCs/>
                <w:color w:val="auto"/>
                <w:lang w:val="es-ES_tradnl"/>
              </w:rPr>
              <w:t xml:space="preserve">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requisitos y </w:t>
            </w:r>
            <w:r w:rsidR="00721BBF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expectativas </w:t>
            </w:r>
            <w:r w:rsidR="00F22281" w:rsidRPr="00B44F78">
              <w:rPr>
                <w:rFonts w:asciiTheme="minorHAnsi" w:hAnsiTheme="minorHAnsi"/>
                <w:color w:val="auto"/>
                <w:lang w:val="es-ES_tradnl"/>
              </w:rPr>
              <w:t xml:space="preserve">en materia de salvaguardas 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>de los inv</w:t>
            </w:r>
            <w:r w:rsidR="00721BBF" w:rsidRPr="00B44F78">
              <w:rPr>
                <w:rFonts w:asciiTheme="minorHAnsi" w:hAnsiTheme="minorHAnsi"/>
                <w:color w:val="auto"/>
                <w:lang w:val="es-ES_tradnl"/>
              </w:rPr>
              <w:t>ersores en las actividades REDD</w:t>
            </w:r>
            <w:r w:rsidR="002F6CA8" w:rsidRPr="00B44F78">
              <w:rPr>
                <w:rFonts w:asciiTheme="minorHAnsi" w:hAnsiTheme="minorHAnsi"/>
                <w:color w:val="auto"/>
                <w:lang w:val="es-ES_tradnl"/>
              </w:rPr>
              <w:t xml:space="preserve">+, así como los de los compradores 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de créditos de </w:t>
            </w:r>
            <w:r w:rsidR="00F279EF" w:rsidRPr="00B44F78">
              <w:rPr>
                <w:rFonts w:asciiTheme="minorHAnsi" w:hAnsiTheme="minorHAnsi"/>
                <w:bCs/>
                <w:color w:val="auto"/>
                <w:lang w:val="es-ES_tradnl"/>
              </w:rPr>
              <w:t>reducción de emisiones verificada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s o aumento de 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>las eliminaciones</w:t>
            </w:r>
            <w:r w:rsidR="001B5C4D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las mismas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</w:p>
          <w:p w14:paraId="601E7CEC" w14:textId="703B4AC2" w:rsidR="002F6CA8" w:rsidRPr="00B44F78" w:rsidRDefault="002F6CA8" w:rsidP="00FA0A3A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br/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 xml:space="preserve">La </w:t>
            </w:r>
            <w:r w:rsidR="00106900" w:rsidRPr="00B44F78">
              <w:rPr>
                <w:rFonts w:asciiTheme="minorHAnsi" w:hAnsiTheme="minorHAnsi"/>
                <w:color w:val="auto"/>
                <w:lang w:val="es-ES_tradnl"/>
              </w:rPr>
              <w:t>definición de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 los objetivos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>de las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 salvaguard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as también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>comprende</w:t>
            </w:r>
            <w:r w:rsidR="00106900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>la consideración de qué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políticas nacionales podrían beneficiarse 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>del análisis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y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 el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respet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E72FBF" w:rsidRPr="00B44F78">
              <w:rPr>
                <w:rFonts w:asciiTheme="minorHAnsi" w:hAnsiTheme="minorHAnsi"/>
                <w:color w:val="auto"/>
                <w:lang w:val="es-ES_tradnl"/>
              </w:rPr>
              <w:t xml:space="preserve">de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las salvaguard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as de REDD+. Estos objetivos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deben ser coherentes con los objetivos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 xml:space="preserve">generales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para 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+ 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del país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en términos de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 xml:space="preserve"> los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beneficios adicionales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>,</w:t>
            </w:r>
            <w:r w:rsidR="00F279EF" w:rsidRPr="00B44F78">
              <w:rPr>
                <w:rFonts w:asciiTheme="minorHAnsi" w:hAnsiTheme="minorHAnsi"/>
                <w:color w:val="auto"/>
                <w:lang w:val="es-ES_tradnl"/>
              </w:rPr>
              <w:t xml:space="preserve"> más allá de la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mitigación del cambio climático, como 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>la lucha contra la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pobreza o la conservación de la biodiversidad. En última instancia, los objetivos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>de las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salvaguardas 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>tienen que ver con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expectativas de un país 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 xml:space="preserve">de los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resultados sociales y ambienta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 xml:space="preserve">les que </w:t>
            </w:r>
            <w:r w:rsidR="00B81D83" w:rsidRPr="00B44F78">
              <w:rPr>
                <w:rFonts w:asciiTheme="minorHAnsi" w:hAnsiTheme="minorHAnsi"/>
                <w:color w:val="auto"/>
                <w:lang w:val="es-ES_tradnl"/>
              </w:rPr>
              <w:t>produce</w:t>
            </w:r>
            <w:r w:rsidR="001C5A76" w:rsidRPr="00B44F78">
              <w:rPr>
                <w:rFonts w:asciiTheme="minorHAnsi" w:hAnsiTheme="minorHAnsi"/>
                <w:color w:val="auto"/>
                <w:lang w:val="es-ES_tradnl"/>
              </w:rPr>
              <w:t xml:space="preserve"> su participación en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5E40" w14:textId="7B76253C" w:rsidR="00901B07" w:rsidRPr="00B44F78" w:rsidRDefault="00B743FC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Adaptado de:</w:t>
            </w:r>
          </w:p>
          <w:p w14:paraId="19EC6CE5" w14:textId="77777777" w:rsidR="00AA7B63" w:rsidRPr="00B44F78" w:rsidRDefault="00B44F78" w:rsidP="00AA7B63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0" w:history="1">
              <w:r w:rsidR="00AA7B63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5CC8635E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254EF886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1E13" w14:textId="42AD9992" w:rsidR="00002DAE" w:rsidRPr="00B44F78" w:rsidRDefault="00002DAE" w:rsidP="000C3C2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Mecanismo de </w:t>
            </w:r>
            <w:r w:rsidR="000C3C27" w:rsidRPr="00B44F78">
              <w:rPr>
                <w:rFonts w:asciiTheme="minorHAnsi" w:hAnsiTheme="minorHAnsi"/>
                <w:color w:val="auto"/>
                <w:lang w:val="es-ES_tradnl"/>
              </w:rPr>
              <w:t>reclamación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82C9" w14:textId="281630A2" w:rsidR="00002DAE" w:rsidRPr="00B44F78" w:rsidRDefault="002B115A" w:rsidP="00B44F7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M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edios formales e informales 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por los cuales se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9F3D58" w:rsidRPr="00B44F78">
              <w:rPr>
                <w:rFonts w:asciiTheme="minorHAnsi" w:hAnsiTheme="minorHAnsi"/>
                <w:color w:val="auto"/>
                <w:lang w:val="es-ES_tradnl"/>
              </w:rPr>
              <w:t>res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uelve y facilita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la resolución (por medio del diálogo, la negociación, la mediación o el arbitraje) de las reclamaciones o 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controversias de los grupos y los individuos cuyos derechos </w:t>
            </w:r>
            <w:r w:rsidR="009F3D58" w:rsidRPr="00B44F78">
              <w:rPr>
                <w:rFonts w:asciiTheme="minorHAnsi" w:hAnsiTheme="minorHAnsi"/>
                <w:color w:val="auto"/>
                <w:lang w:val="es-ES_tradnl"/>
              </w:rPr>
              <w:t>hayan podido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 xml:space="preserve">verse 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>vulnerados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por la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implementación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las actividades REDD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+.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Si bien n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o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son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 xml:space="preserve"> un requisito de las salvaguard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la CMNUCC, algunos países optan por incorporar 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 xml:space="preserve">estos mecanismos 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(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>existentes, fortale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>cidos y/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>o nuevo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) 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>en su enfoque nacional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para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 xml:space="preserve"> contribu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ir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al análisis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y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 xml:space="preserve">el 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>respet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o de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l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>as salvaguard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as. Algunos países también están </w:t>
            </w:r>
            <w:r w:rsidR="006B1876" w:rsidRPr="00B44F78">
              <w:rPr>
                <w:rFonts w:asciiTheme="minorHAnsi" w:hAnsiTheme="minorHAnsi"/>
                <w:color w:val="auto"/>
                <w:lang w:val="es-ES_tradnl"/>
              </w:rPr>
              <w:t>estudiando la posibilidad de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860EDC" w:rsidRPr="00B44F78">
              <w:rPr>
                <w:rFonts w:asciiTheme="minorHAnsi" w:hAnsiTheme="minorHAnsi"/>
                <w:color w:val="auto"/>
                <w:lang w:val="es-ES_tradnl"/>
              </w:rPr>
              <w:t xml:space="preserve">utilizar el mecanismo de </w:t>
            </w:r>
            <w:r w:rsidR="000C3C27" w:rsidRPr="00B44F78">
              <w:rPr>
                <w:rFonts w:asciiTheme="minorHAnsi" w:hAnsiTheme="minorHAnsi"/>
                <w:color w:val="auto"/>
                <w:lang w:val="es-ES_tradnl"/>
              </w:rPr>
              <w:t>reclamación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 xml:space="preserve"> como fuente de información para su </w:t>
            </w:r>
            <w:r w:rsidR="009F3D58" w:rsidRPr="00B44F78">
              <w:rPr>
                <w:rFonts w:asciiTheme="minorHAnsi" w:hAnsiTheme="minorHAnsi"/>
                <w:color w:val="auto"/>
                <w:lang w:val="es-ES_tradnl"/>
              </w:rPr>
              <w:t>sistema de información sobre salvaguardas</w:t>
            </w:r>
            <w:r w:rsidR="00002DAE"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4896" w14:textId="472275BA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</w:t>
            </w:r>
            <w:r w:rsidR="00FA0A3A" w:rsidRPr="00B44F78">
              <w:rPr>
                <w:rFonts w:asciiTheme="minorHAnsi" w:hAnsiTheme="minorHAnsi"/>
                <w:lang w:val="es-ES_tradnl"/>
              </w:rPr>
              <w:t xml:space="preserve">tado de: </w:t>
            </w:r>
          </w:p>
          <w:p w14:paraId="00B8A806" w14:textId="127A0723" w:rsidR="00776583" w:rsidRPr="00B44F78" w:rsidRDefault="00776583" w:rsidP="00776583">
            <w:pPr>
              <w:widowControl w:val="0"/>
              <w:rPr>
                <w:rStyle w:val="Hyperlink"/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fldChar w:fldCharType="begin"/>
            </w:r>
            <w:r w:rsidRPr="00B44F78">
              <w:rPr>
                <w:rFonts w:asciiTheme="minorHAnsi" w:hAnsiTheme="minorHAnsi"/>
                <w:lang w:val="es-ES_tradnl"/>
              </w:rPr>
              <w:instrText xml:space="preserve"> HYPERLINK "http://www.unredd.net/index.php?view=download&amp;alias=8718-directrices-sobre-el-consentimiento-libre-previo-e-informado-de-onu-redd-8718&amp;category_slug=un-redd-fpic-guidelines-2648&amp;option=com_docman&amp;Itemid=134" </w:instrText>
            </w:r>
            <w:r w:rsidRPr="00B44F78">
              <w:rPr>
                <w:rFonts w:asciiTheme="minorHAnsi" w:hAnsiTheme="minorHAnsi"/>
                <w:lang w:val="es-ES_tradnl"/>
              </w:rPr>
              <w:fldChar w:fldCharType="separate"/>
            </w:r>
            <w:r w:rsidRPr="00B44F78">
              <w:rPr>
                <w:rStyle w:val="Hyperlink"/>
                <w:rFonts w:asciiTheme="minorHAnsi" w:hAnsiTheme="minorHAnsi"/>
                <w:lang w:val="es-ES_tradnl"/>
              </w:rPr>
              <w:t>Directrices sobre el</w:t>
            </w:r>
          </w:p>
          <w:p w14:paraId="130EDBE7" w14:textId="33E6BCB2" w:rsidR="00901B07" w:rsidRPr="00B44F78" w:rsidRDefault="00776583" w:rsidP="00776583">
            <w:pPr>
              <w:widowControl w:val="0"/>
              <w:rPr>
                <w:rStyle w:val="Hyperlink"/>
                <w:rFonts w:asciiTheme="minorHAnsi" w:hAnsiTheme="minorHAnsi"/>
                <w:lang w:val="es-ES_tradnl"/>
              </w:rPr>
            </w:pPr>
            <w:r w:rsidRPr="00B44F78">
              <w:rPr>
                <w:rStyle w:val="Hyperlink"/>
                <w:rFonts w:asciiTheme="minorHAnsi" w:hAnsiTheme="minorHAnsi"/>
                <w:lang w:val="es-ES_tradnl"/>
              </w:rPr>
              <w:t>Consentimiento Libre, Previo e Informado del Programa ONU-REDD</w:t>
            </w:r>
          </w:p>
          <w:p w14:paraId="3C16F4C6" w14:textId="720B91F3" w:rsidR="00901B07" w:rsidRPr="00B44F78" w:rsidRDefault="00776583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fldChar w:fldCharType="end"/>
            </w:r>
            <w:r w:rsidR="00FF6766" w:rsidRPr="00B44F78">
              <w:rPr>
                <w:rFonts w:asciiTheme="minorHAnsi" w:hAnsiTheme="minorHAnsi"/>
                <w:lang w:val="es-ES_tradnl"/>
              </w:rPr>
              <w:t>y</w:t>
            </w:r>
          </w:p>
          <w:p w14:paraId="57B9312F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1242BCBA" w14:textId="70D92702" w:rsidR="00901B07" w:rsidRPr="00B44F78" w:rsidRDefault="00B44F78" w:rsidP="007E397E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1" w:history="1">
              <w:r w:rsidR="002431F4" w:rsidRPr="00B44F78">
                <w:rPr>
                  <w:rStyle w:val="Hyperlink"/>
                  <w:rFonts w:asciiTheme="minorHAnsi" w:hAnsiTheme="minorHAnsi"/>
                  <w:lang w:val="es-ES_tradnl"/>
                </w:rPr>
                <w:t>Salvaguardas de REDD+. Consideraciones prácticas para desarrollar un resumen de in</w:t>
              </w:r>
              <w:r w:rsidR="007E397E" w:rsidRPr="00B44F78">
                <w:rPr>
                  <w:rStyle w:val="Hyperlink"/>
                  <w:rFonts w:asciiTheme="minorHAnsi" w:hAnsiTheme="minorHAnsi"/>
                  <w:lang w:val="es-ES_tradnl"/>
                </w:rPr>
                <w:t>formación del Instituto Meridian</w:t>
              </w:r>
            </w:hyperlink>
          </w:p>
        </w:tc>
      </w:tr>
      <w:tr w:rsidR="00901B07" w:rsidRPr="00B44F78" w14:paraId="21261F62" w14:textId="77777777" w:rsidTr="009F3D58">
        <w:trPr>
          <w:trHeight w:val="3424"/>
        </w:trPr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D8A2" w14:textId="100B365E" w:rsidR="009F3D58" w:rsidRPr="00B44F78" w:rsidRDefault="009F3D58" w:rsidP="009F3D5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Arreglos</w:t>
            </w:r>
          </w:p>
          <w:p w14:paraId="61A0F50F" w14:textId="0EBA19C2" w:rsidR="009F3D58" w:rsidRPr="00B44F78" w:rsidRDefault="009F3D58" w:rsidP="009F3D5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institucionales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2C1E" w14:textId="224E89DC" w:rsidR="009F3D58" w:rsidRPr="00B44F78" w:rsidRDefault="009F3D58" w:rsidP="000C3C27">
            <w:pPr>
              <w:widowControl w:val="0"/>
              <w:rPr>
                <w:rFonts w:asciiTheme="minorHAnsi" w:hAnsiTheme="minorHAnsi"/>
                <w:b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En el contexto de las salvaguard</w:t>
            </w:r>
            <w:r w:rsidR="00704C37" w:rsidRPr="00B44F78">
              <w:rPr>
                <w:rFonts w:asciiTheme="minorHAnsi" w:hAnsiTheme="minorHAnsi"/>
                <w:color w:val="auto"/>
                <w:lang w:val="es-ES_tradnl"/>
              </w:rPr>
              <w:t>as de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+, los arreglos institucionales se refieren a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 xml:space="preserve"> las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 xml:space="preserve">instituciones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(formal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e informal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, estatal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y no estatal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), sus mandatos, procedimientos y capacidades para 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 xml:space="preserve">implementar las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políticas, leyes y reglamentos de un país, (junto con las normas del sector privado y las </w:t>
            </w:r>
            <w:r w:rsidR="007E397E" w:rsidRPr="00B44F78">
              <w:rPr>
                <w:rFonts w:asciiTheme="minorHAnsi" w:hAnsiTheme="minorHAnsi"/>
                <w:color w:val="auto"/>
                <w:lang w:val="es-ES_tradnl"/>
              </w:rPr>
              <w:t>leyes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consuetudinarias de las comunidades locales), que sirven para definir quién será el responsable de velar por </w:t>
            </w:r>
            <w:r w:rsidR="00C36285" w:rsidRPr="00B44F78">
              <w:rPr>
                <w:rFonts w:asciiTheme="minorHAnsi" w:hAnsiTheme="minorHAnsi"/>
                <w:color w:val="auto"/>
                <w:lang w:val="es-ES_tradnl"/>
              </w:rPr>
              <w:t>el respeto de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</w:t>
            </w:r>
            <w:r w:rsidR="00C36285" w:rsidRPr="00B44F78">
              <w:rPr>
                <w:rFonts w:asciiTheme="minorHAnsi" w:hAnsiTheme="minorHAnsi"/>
                <w:color w:val="auto"/>
                <w:lang w:val="es-ES_tradnl"/>
              </w:rPr>
              <w:t>salvaguardas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en la </w:t>
            </w:r>
            <w:r w:rsidR="00C36285" w:rsidRPr="00B44F78">
              <w:rPr>
                <w:rFonts w:asciiTheme="minorHAnsi" w:hAnsiTheme="minorHAnsi"/>
                <w:color w:val="auto"/>
                <w:lang w:val="es-ES_tradnl"/>
              </w:rPr>
              <w:t>implementación</w:t>
            </w:r>
            <w:r w:rsidR="00704C37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las actividades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+. </w:t>
            </w:r>
            <w:r w:rsidR="00E72FBF" w:rsidRPr="00B44F78">
              <w:rPr>
                <w:rFonts w:asciiTheme="minorHAnsi" w:hAnsiTheme="minorHAnsi"/>
                <w:color w:val="auto"/>
                <w:lang w:val="es-ES_tradnl"/>
              </w:rPr>
              <w:t>Pueden incluir</w:t>
            </w:r>
            <w:r w:rsidR="00704C37" w:rsidRPr="00B44F78">
              <w:rPr>
                <w:rFonts w:asciiTheme="minorHAnsi" w:hAnsiTheme="minorHAnsi"/>
                <w:color w:val="auto"/>
                <w:lang w:val="es-ES_tradnl"/>
              </w:rPr>
              <w:t xml:space="preserve"> arreglos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para fortalecer la capacidad de las distintas partes interesadas </w:t>
            </w:r>
            <w:r w:rsidR="00704C37" w:rsidRPr="00B44F78">
              <w:rPr>
                <w:rFonts w:asciiTheme="minorHAnsi" w:hAnsiTheme="minorHAnsi"/>
                <w:color w:val="auto"/>
                <w:lang w:val="es-ES_tradnl"/>
              </w:rPr>
              <w:t>de</w:t>
            </w:r>
            <w:r w:rsidR="00E72FBF" w:rsidRPr="00B44F78">
              <w:rPr>
                <w:rFonts w:asciiTheme="minorHAnsi" w:hAnsiTheme="minorHAnsi"/>
                <w:color w:val="auto"/>
                <w:lang w:val="es-ES_tradnl"/>
              </w:rPr>
              <w:t xml:space="preserve"> respetar las salvaguard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as.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7BC6" w14:textId="53E2D300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</w:t>
            </w:r>
            <w:r w:rsidR="00C36285" w:rsidRPr="00B44F78">
              <w:rPr>
                <w:rFonts w:asciiTheme="minorHAnsi" w:hAnsiTheme="minorHAnsi"/>
                <w:lang w:val="es-ES_tradnl"/>
              </w:rPr>
              <w:t>ado de:</w:t>
            </w:r>
          </w:p>
          <w:p w14:paraId="5DE73A3C" w14:textId="77777777" w:rsidR="00901B07" w:rsidRPr="00B44F78" w:rsidRDefault="00B44F78" w:rsidP="007E397E">
            <w:pPr>
              <w:widowControl w:val="0"/>
              <w:rPr>
                <w:rStyle w:val="Hyperlink"/>
                <w:rFonts w:asciiTheme="minorHAnsi" w:hAnsiTheme="minorHAnsi"/>
                <w:lang w:val="es-ES_tradnl"/>
              </w:rPr>
            </w:pPr>
            <w:hyperlink r:id="rId22" w:history="1">
              <w:r w:rsidR="007E397E" w:rsidRPr="00B44F78">
                <w:rPr>
                  <w:rStyle w:val="Hyperlink"/>
                  <w:rFonts w:asciiTheme="minorHAnsi" w:hAnsiTheme="minorHAnsi"/>
                  <w:lang w:val="es-ES_tradnl"/>
                </w:rPr>
                <w:t>Salvaguardas de REDD+. Consideraciones prácticas para desarrollar un resumen de información del Instituto Meridian</w:t>
              </w:r>
            </w:hyperlink>
          </w:p>
          <w:p w14:paraId="269444F5" w14:textId="0B0B2840" w:rsidR="00FA0A3A" w:rsidRPr="00B44F78" w:rsidRDefault="00FA0A3A" w:rsidP="007E397E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</w:tc>
      </w:tr>
      <w:tr w:rsidR="00901B07" w:rsidRPr="00B44F78" w14:paraId="002FF444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AB23" w14:textId="77777777" w:rsidR="00704C37" w:rsidRPr="00B44F78" w:rsidRDefault="00704C3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Políticas y medidas</w:t>
            </w:r>
          </w:p>
          <w:p w14:paraId="4E8EA4CE" w14:textId="21DD2F80" w:rsidR="00C40D3D" w:rsidRPr="00B44F78" w:rsidRDefault="00C40D3D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(PyM)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AE6F" w14:textId="66C763A4" w:rsidR="00901B07" w:rsidRPr="00B44F78" w:rsidRDefault="000C3C2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</w:t>
            </w:r>
            <w:r w:rsidR="006A3B52" w:rsidRPr="00B44F78">
              <w:rPr>
                <w:rFonts w:asciiTheme="minorHAnsi" w:hAnsiTheme="minorHAnsi"/>
                <w:color w:val="auto"/>
                <w:lang w:val="es-ES_tradnl"/>
              </w:rPr>
              <w:t>xpresió</w:t>
            </w:r>
            <w:r w:rsidR="00704C37" w:rsidRPr="00B44F78">
              <w:rPr>
                <w:rFonts w:asciiTheme="minorHAnsi" w:hAnsiTheme="minorHAnsi"/>
                <w:color w:val="auto"/>
                <w:lang w:val="es-ES_tradnl"/>
              </w:rPr>
              <w:t xml:space="preserve">n </w:t>
            </w:r>
            <w:r w:rsidR="006A3B52" w:rsidRPr="00B44F78">
              <w:rPr>
                <w:rFonts w:asciiTheme="minorHAnsi" w:hAnsiTheme="minorHAnsi"/>
                <w:color w:val="auto"/>
                <w:lang w:val="es-ES_tradnl"/>
              </w:rPr>
              <w:t xml:space="preserve">de uso frecuente (en ocasiones abreviada como PyM) que </w:t>
            </w:r>
            <w:r w:rsidR="00C40D3D" w:rsidRPr="00B44F78">
              <w:rPr>
                <w:rFonts w:asciiTheme="minorHAnsi" w:hAnsiTheme="minorHAnsi"/>
                <w:color w:val="auto"/>
                <w:lang w:val="es-ES_tradnl"/>
              </w:rPr>
              <w:t>se refiere</w:t>
            </w:r>
            <w:r w:rsidR="006A3B52" w:rsidRPr="00B44F78">
              <w:rPr>
                <w:rFonts w:asciiTheme="minorHAnsi" w:hAnsiTheme="minorHAnsi"/>
                <w:color w:val="auto"/>
                <w:lang w:val="es-ES_tradnl"/>
              </w:rPr>
              <w:t xml:space="preserve"> a las medidas adoptadas o que se van a adoptar por los países para reducir las emisiones y aumentar la 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 xml:space="preserve">eliminación </w:t>
            </w:r>
            <w:r w:rsidR="006A3B52" w:rsidRPr="00B44F78">
              <w:rPr>
                <w:rFonts w:asciiTheme="minorHAnsi" w:hAnsiTheme="minorHAnsi"/>
                <w:color w:val="auto"/>
                <w:lang w:val="es-ES_tradnl"/>
              </w:rPr>
              <w:t>de gases de efecto invernadero de conformidad con</w:t>
            </w:r>
            <w:r w:rsidR="00C40D3D" w:rsidRPr="00B44F78">
              <w:rPr>
                <w:rFonts w:asciiTheme="minorHAnsi" w:hAnsiTheme="minorHAnsi"/>
                <w:color w:val="auto"/>
                <w:lang w:val="es-ES_tradnl"/>
              </w:rPr>
              <w:t xml:space="preserve"> la</w:t>
            </w:r>
            <w:r w:rsidR="006A3B52" w:rsidRPr="00B44F78">
              <w:rPr>
                <w:rFonts w:asciiTheme="minorHAnsi" w:hAnsiTheme="minorHAnsi"/>
                <w:color w:val="auto"/>
                <w:lang w:val="es-ES_tradnl"/>
              </w:rPr>
              <w:t xml:space="preserve"> CMNUCC.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C68B" w14:textId="2269E459" w:rsidR="00901B07" w:rsidRPr="00B44F78" w:rsidRDefault="00A2019A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3" w:anchor="page=69">
              <w:r w:rsidR="00557195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>Decisi</w:t>
              </w:r>
              <w:r w:rsidR="00791200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>ón</w:t>
              </w:r>
              <w:r w:rsidR="00557195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 xml:space="preserve"> 13/CP.7</w:t>
              </w:r>
            </w:hyperlink>
            <w:r w:rsidR="00AA7B63" w:rsidRPr="00B44F78">
              <w:rPr>
                <w:rFonts w:asciiTheme="minorHAnsi" w:hAnsiTheme="minorHAnsi"/>
                <w:color w:val="1155CC"/>
                <w:u w:val="single"/>
                <w:lang w:val="es-ES_tradnl"/>
              </w:rPr>
              <w:t xml:space="preserve"> de la CMNUCC</w:t>
            </w:r>
          </w:p>
          <w:p w14:paraId="636DA3C0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4B5F1846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7D50" w14:textId="0A5C9EFC" w:rsidR="006A3B52" w:rsidRPr="00B44F78" w:rsidRDefault="006A3B52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Políticas, leyes y reglamentos (PLR)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8C5E" w14:textId="1DB9CE8C" w:rsidR="00634B79" w:rsidRPr="00B44F78" w:rsidRDefault="000C3C2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634B79" w:rsidRPr="00B44F78">
              <w:rPr>
                <w:rFonts w:asciiTheme="minorHAnsi" w:hAnsiTheme="minorHAnsi"/>
                <w:color w:val="auto"/>
                <w:lang w:val="es-ES_tradnl"/>
              </w:rPr>
              <w:t xml:space="preserve">olíticas, leyes y reglamentos (PLR), así como planes y programas operativos para implementar estas PLR,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que </w:t>
            </w:r>
            <w:r w:rsidR="00634B79" w:rsidRPr="00B44F78">
              <w:rPr>
                <w:rFonts w:asciiTheme="minorHAnsi" w:hAnsiTheme="minorHAnsi"/>
                <w:color w:val="auto"/>
                <w:lang w:val="es-ES_tradnl"/>
              </w:rPr>
              <w:t>sirven para definir cómo se aplicarán las salvaguardias durante la implementación de las actividades REDD+.</w:t>
            </w:r>
          </w:p>
          <w:p w14:paraId="4343833B" w14:textId="77777777" w:rsidR="00901B07" w:rsidRPr="00B44F78" w:rsidRDefault="00901B0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</w:p>
          <w:p w14:paraId="42F08CDA" w14:textId="69525E2A" w:rsidR="005A660F" w:rsidRPr="00B44F78" w:rsidRDefault="00FA0A3A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L</w:t>
            </w:r>
            <w:r w:rsidR="005A660F" w:rsidRPr="00B44F78">
              <w:rPr>
                <w:rFonts w:asciiTheme="minorHAnsi" w:hAnsiTheme="minorHAnsi"/>
                <w:color w:val="auto"/>
                <w:lang w:val="es-ES_tradnl"/>
              </w:rPr>
              <w:t xml:space="preserve">as </w:t>
            </w:r>
            <w:r w:rsidR="005A660F" w:rsidRPr="00B44F78">
              <w:rPr>
                <w:rFonts w:asciiTheme="minorHAnsi" w:hAnsiTheme="minorHAnsi"/>
                <w:color w:val="auto"/>
                <w:u w:val="single"/>
                <w:lang w:val="es-ES_tradnl"/>
              </w:rPr>
              <w:t>políticas</w:t>
            </w:r>
            <w:r w:rsidR="005A660F" w:rsidRPr="00B44F78">
              <w:rPr>
                <w:rFonts w:asciiTheme="minorHAnsi" w:hAnsiTheme="minorHAnsi"/>
                <w:color w:val="auto"/>
                <w:lang w:val="es-ES_tradnl"/>
              </w:rPr>
              <w:t xml:space="preserve"> son documentos estratégicos, rectores o de planificación 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 xml:space="preserve">elaborados </w:t>
            </w:r>
            <w:r w:rsidR="005A660F" w:rsidRPr="00B44F78">
              <w:rPr>
                <w:rFonts w:asciiTheme="minorHAnsi" w:hAnsiTheme="minorHAnsi"/>
                <w:color w:val="auto"/>
                <w:lang w:val="es-ES_tradnl"/>
              </w:rPr>
              <w:t xml:space="preserve">por un organismo del gobierno </w:t>
            </w:r>
            <w:r w:rsidR="00B00EB3" w:rsidRPr="00B44F78">
              <w:rPr>
                <w:rFonts w:asciiTheme="minorHAnsi" w:hAnsiTheme="minorHAnsi"/>
                <w:color w:val="auto"/>
                <w:lang w:val="es-ES_tradnl"/>
              </w:rPr>
              <w:t xml:space="preserve">(aunque en ocasiones también pueden ser otros organismos) </w:t>
            </w:r>
            <w:r w:rsidR="005A660F" w:rsidRPr="00B44F78">
              <w:rPr>
                <w:rFonts w:asciiTheme="minorHAnsi" w:hAnsiTheme="minorHAnsi"/>
                <w:color w:val="auto"/>
                <w:lang w:val="es-ES_tradnl"/>
              </w:rPr>
              <w:t xml:space="preserve">y que describen una 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visi</w:t>
            </w:r>
            <w:r w:rsidR="006528BD" w:rsidRPr="00B44F78">
              <w:rPr>
                <w:rFonts w:asciiTheme="minorHAnsi" w:hAnsiTheme="minorHAnsi"/>
                <w:color w:val="auto"/>
                <w:lang w:val="es-ES_tradnl"/>
              </w:rPr>
              <w:t>ó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n y una dirección política</w:t>
            </w:r>
            <w:r w:rsidR="005A660F" w:rsidRPr="00B44F78">
              <w:rPr>
                <w:rFonts w:asciiTheme="minorHAnsi" w:hAnsiTheme="minorHAnsi"/>
                <w:color w:val="auto"/>
                <w:lang w:val="es-ES_tradnl"/>
              </w:rPr>
              <w:t xml:space="preserve"> para abordar un problema o un tema concretos.</w:t>
            </w:r>
          </w:p>
          <w:p w14:paraId="5DD65D5D" w14:textId="65202E7F" w:rsidR="00B00EB3" w:rsidRPr="00B44F78" w:rsidRDefault="00B00EB3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Pr="00B44F78">
              <w:rPr>
                <w:rFonts w:asciiTheme="minorHAnsi" w:hAnsiTheme="minorHAnsi"/>
                <w:color w:val="auto"/>
                <w:u w:val="single"/>
                <w:lang w:val="es-ES_tradnl"/>
              </w:rPr>
              <w:t>leyes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son instrumentos legalmente vinculantes promulgados por un órgano legislativo (p.ej.</w:t>
            </w:r>
            <w:r w:rsidR="00C40509" w:rsidRPr="00B44F78">
              <w:rPr>
                <w:rFonts w:asciiTheme="minorHAnsi" w:hAnsiTheme="minorHAnsi"/>
                <w:color w:val="auto"/>
                <w:lang w:val="es-ES_tradnl"/>
              </w:rPr>
              <w:t>,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el Parlamento) que, por general, sirven crear derechos y obligaciones que pueden proteg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erse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judicialmente.</w:t>
            </w:r>
          </w:p>
          <w:p w14:paraId="6B464B94" w14:textId="0A7C7A33" w:rsidR="00B00EB3" w:rsidRPr="00B44F78" w:rsidRDefault="00B00EB3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Los </w:t>
            </w:r>
            <w:r w:rsidRPr="00B44F78">
              <w:rPr>
                <w:rFonts w:asciiTheme="minorHAnsi" w:hAnsiTheme="minorHAnsi"/>
                <w:color w:val="auto"/>
                <w:u w:val="single"/>
                <w:lang w:val="es-ES_tradnl"/>
              </w:rPr>
              <w:t xml:space="preserve">reglamentos </w:t>
            </w:r>
            <w:r w:rsidR="00B625E1" w:rsidRPr="00B44F78">
              <w:rPr>
                <w:rFonts w:asciiTheme="minorHAnsi" w:hAnsiTheme="minorHAnsi"/>
                <w:color w:val="auto"/>
                <w:lang w:val="es-ES_tradnl"/>
              </w:rPr>
              <w:t xml:space="preserve">están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elaborad</w:t>
            </w:r>
            <w:r w:rsidR="00B625E1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s por un organismo ejecutivo (p.ej.</w:t>
            </w:r>
            <w:r w:rsidR="00B625E1" w:rsidRPr="00B44F78">
              <w:rPr>
                <w:rFonts w:asciiTheme="minorHAnsi" w:hAnsiTheme="minorHAnsi"/>
                <w:color w:val="auto"/>
                <w:lang w:val="es-ES_tradnl"/>
              </w:rPr>
              <w:t>,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un ministerio) a modo de instrumento legalmente vinculante para 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aplicar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leyes y aportar directrices operativas.</w:t>
            </w:r>
          </w:p>
          <w:p w14:paraId="6B89046C" w14:textId="77777777" w:rsidR="00C77A02" w:rsidRPr="00B44F78" w:rsidRDefault="00C77A02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</w:p>
          <w:p w14:paraId="4914C75E" w14:textId="65720516" w:rsidR="00A345BC" w:rsidRPr="00B44F78" w:rsidRDefault="00C77A02" w:rsidP="00B44F7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Algunas PLR también puede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servir como políticas y medidas (PyM) para reducir las emisiones de gases de efecto invernadero y mejorar su 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>eliminación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, como se establece 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 xml:space="preserve">en la 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e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 xml:space="preserve">strategia 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>acional/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plan de a</w:t>
            </w:r>
            <w:r w:rsidR="00D07385" w:rsidRPr="00B44F78">
              <w:rPr>
                <w:rFonts w:asciiTheme="minorHAnsi" w:hAnsiTheme="minorHAnsi"/>
                <w:color w:val="auto"/>
                <w:lang w:val="es-ES_tradnl"/>
              </w:rPr>
              <w:t>cción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+. Por ejemplo, una política para designar nuevas áreas protegidas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 xml:space="preserve"> en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sitios 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>importantes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para la conservación </w:t>
            </w:r>
            <w:r w:rsidRPr="00B44F78">
              <w:rPr>
                <w:rFonts w:asciiTheme="minorHAnsi" w:hAnsiTheme="minorHAnsi"/>
                <w:i/>
                <w:color w:val="auto"/>
                <w:lang w:val="es-ES_tradnl"/>
              </w:rPr>
              <w:t>y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 xml:space="preserve">con potencial de reducción de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las emisiones 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>mejora de su eliminación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es </w:t>
            </w:r>
            <w:r w:rsidR="00AE1F90" w:rsidRPr="00B44F78">
              <w:rPr>
                <w:rFonts w:asciiTheme="minorHAnsi" w:hAnsiTheme="minorHAnsi"/>
                <w:color w:val="auto"/>
                <w:lang w:val="es-ES_tradnl"/>
              </w:rPr>
              <w:t>al mismo tiempo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 xml:space="preserve"> PyM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EC24A1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 y PLR</w:t>
            </w:r>
            <w:r w:rsidR="00115DDA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salvaguardas.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2E53" w14:textId="08AFEA2F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</w:t>
            </w:r>
            <w:r w:rsidR="00634B79" w:rsidRPr="00B44F78">
              <w:rPr>
                <w:rFonts w:asciiTheme="minorHAnsi" w:hAnsiTheme="minorHAnsi"/>
                <w:lang w:val="es-ES_tradnl"/>
              </w:rPr>
              <w:t>ado de:</w:t>
            </w:r>
          </w:p>
          <w:p w14:paraId="6F9758A5" w14:textId="77777777" w:rsidR="00AA7B63" w:rsidRPr="00B44F78" w:rsidRDefault="00B44F78" w:rsidP="00AA7B63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4" w:history="1">
              <w:r w:rsidR="00AA7B63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614FBEFF" w14:textId="1E1A3CB3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</w:tc>
      </w:tr>
      <w:tr w:rsidR="00901B07" w:rsidRPr="00B44F78" w14:paraId="39B35DDE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14E4" w14:textId="71423BF7" w:rsidR="00F44005" w:rsidRPr="00B44F78" w:rsidRDefault="00F22F17" w:rsidP="00F22F17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Medida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REDD+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320A" w14:textId="18F21747" w:rsidR="00F44005" w:rsidRPr="00B44F78" w:rsidRDefault="000C3C27" w:rsidP="00EA21D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I</w:t>
            </w:r>
            <w:r w:rsidR="00F22F17" w:rsidRPr="00B44F78">
              <w:rPr>
                <w:rFonts w:asciiTheme="minorHAnsi" w:hAnsiTheme="minorHAnsi"/>
                <w:color w:val="auto"/>
                <w:lang w:val="es-ES_tradnl"/>
              </w:rPr>
              <w:t>ntervención específica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, dentro de las cinco</w:t>
            </w:r>
            <w:r w:rsidR="00F22F17" w:rsidRPr="00B44F78">
              <w:rPr>
                <w:rFonts w:asciiTheme="minorHAnsi" w:hAnsiTheme="minorHAnsi"/>
                <w:color w:val="auto"/>
                <w:lang w:val="es-ES_tradnl"/>
              </w:rPr>
              <w:t xml:space="preserve"> categorías de actividades REDD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+ acordad</w:t>
            </w:r>
            <w:r w:rsidR="00F22F17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s </w:t>
            </w:r>
            <w:r w:rsidR="00F22F17" w:rsidRPr="00B44F78">
              <w:rPr>
                <w:rFonts w:asciiTheme="minorHAnsi" w:hAnsiTheme="minorHAnsi"/>
                <w:color w:val="auto"/>
                <w:lang w:val="es-ES_tradnl"/>
              </w:rPr>
              <w:t>en el marco de la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CMNUCC, destinada a </w:t>
            </w:r>
            <w:r w:rsidR="00BA2FEE" w:rsidRPr="00B44F78">
              <w:rPr>
                <w:rFonts w:asciiTheme="minorHAnsi" w:hAnsiTheme="minorHAnsi"/>
                <w:color w:val="auto"/>
                <w:lang w:val="es-ES_tradnl"/>
              </w:rPr>
              <w:t>enfrentar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los 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 xml:space="preserve">impulsores 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subyacentes de la deforestación y </w:t>
            </w:r>
            <w:r w:rsidR="00BA2FEE" w:rsidRPr="00B44F78">
              <w:rPr>
                <w:rFonts w:asciiTheme="minorHAnsi" w:hAnsiTheme="minorHAnsi"/>
                <w:color w:val="auto"/>
                <w:lang w:val="es-ES_tradnl"/>
              </w:rPr>
              <w:t>la degradación de los bosques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o apoy</w:t>
            </w:r>
            <w:r w:rsidR="00BA2FEE" w:rsidRPr="00B44F78">
              <w:rPr>
                <w:rFonts w:asciiTheme="minorHAnsi" w:hAnsiTheme="minorHAnsi"/>
                <w:color w:val="auto"/>
                <w:lang w:val="es-ES_tradnl"/>
              </w:rPr>
              <w:t>ar actividades REDD+ más eficaces o amplias.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A1B5" w14:textId="4C496714" w:rsidR="00F22F17" w:rsidRPr="00B44F78" w:rsidRDefault="00F22F17" w:rsidP="00F22F17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Sistemas de información sobre salvaguardas de REDD+: Consideración prácticas de diseño (en preparación)</w:t>
            </w:r>
          </w:p>
        </w:tc>
      </w:tr>
      <w:tr w:rsidR="00901B07" w:rsidRPr="00B44F78" w14:paraId="64564BBD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E192" w14:textId="15035A5C" w:rsidR="00F44005" w:rsidRPr="00B44F78" w:rsidRDefault="00F44005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Respeto de las salvaguardas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221A" w14:textId="438E82C4" w:rsidR="00F44005" w:rsidRPr="00B44F78" w:rsidRDefault="000C3C27" w:rsidP="00F44005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plicación efectiva de las políticas, l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>eyes y reglamentos por medio de arreglos institucionales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(e individual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) conex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s, para garantizar 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>que se aplican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en la práctica y </w:t>
            </w:r>
            <w:r w:rsidR="00EA21D8" w:rsidRPr="00B44F78">
              <w:rPr>
                <w:rFonts w:asciiTheme="minorHAnsi" w:hAnsiTheme="minorHAnsi"/>
                <w:color w:val="auto"/>
                <w:lang w:val="es-ES_tradnl"/>
              </w:rPr>
              <w:t>contribuyen a alcanzar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resultados reales y positivos sobre el terreno.</w:t>
            </w:r>
          </w:p>
          <w:p w14:paraId="6EEE624C" w14:textId="77777777" w:rsidR="00F44005" w:rsidRPr="00B44F78" w:rsidRDefault="00F44005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E9A8" w14:textId="2741EB8F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</w:t>
            </w:r>
            <w:r w:rsidR="000125B3" w:rsidRPr="00B44F78">
              <w:rPr>
                <w:rFonts w:asciiTheme="minorHAnsi" w:hAnsiTheme="minorHAnsi"/>
                <w:lang w:val="es-ES_tradnl"/>
              </w:rPr>
              <w:t>tado de</w:t>
            </w:r>
            <w:r w:rsidRPr="00B44F78">
              <w:rPr>
                <w:rFonts w:asciiTheme="minorHAnsi" w:hAnsiTheme="minorHAnsi"/>
                <w:lang w:val="es-ES_tradnl"/>
              </w:rPr>
              <w:t>:</w:t>
            </w:r>
          </w:p>
          <w:p w14:paraId="2B525CAE" w14:textId="77777777" w:rsidR="00F22F17" w:rsidRPr="00B44F78" w:rsidRDefault="00B44F78" w:rsidP="00F22F17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5" w:history="1">
              <w:r w:rsidR="00F22F17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0F7A3DE7" w14:textId="2C7C736A" w:rsidR="00901B07" w:rsidRPr="00B44F78" w:rsidRDefault="00914AF4">
            <w:pPr>
              <w:widowControl w:val="0"/>
              <w:rPr>
                <w:rStyle w:val="Hyperlink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y</w:t>
            </w:r>
          </w:p>
          <w:p w14:paraId="116ED7B7" w14:textId="5369E35A" w:rsidR="00901B07" w:rsidRPr="00B44F78" w:rsidRDefault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6" w:history="1">
              <w:r w:rsidR="00AA7B63" w:rsidRPr="00B44F78">
                <w:rPr>
                  <w:rStyle w:val="Hyperlink"/>
                  <w:rFonts w:asciiTheme="minorHAnsi" w:hAnsiTheme="minorHAnsi"/>
                  <w:lang w:val="es-ES_tradnl"/>
                </w:rPr>
                <w:t>Salvaguardas de REDD+. Consideraciones prácticas para desarrollar un resumen de información del Instituto Meridian</w:t>
              </w:r>
            </w:hyperlink>
            <w:r w:rsidR="00557195"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0CD480CD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C28C" w14:textId="3CAE36FE" w:rsidR="00F44005" w:rsidRPr="00B44F78" w:rsidRDefault="000125B3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Salvaguarda</w:t>
            </w:r>
          </w:p>
          <w:p w14:paraId="0A775FC0" w14:textId="77777777" w:rsidR="00901B07" w:rsidRPr="00B44F78" w:rsidRDefault="00557195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  <w:p w14:paraId="20A0F7CF" w14:textId="77777777" w:rsidR="00901B07" w:rsidRPr="00B44F78" w:rsidRDefault="00557195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2F69" w14:textId="717FC9FA" w:rsidR="008F5A6C" w:rsidRPr="00B44F78" w:rsidRDefault="0018613E" w:rsidP="008F5A6C">
            <w:pPr>
              <w:spacing w:after="16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“</w:t>
            </w:r>
            <w:r w:rsidR="000C3C27" w:rsidRPr="00B44F78">
              <w:rPr>
                <w:rFonts w:asciiTheme="minorHAnsi" w:hAnsiTheme="minorHAnsi"/>
                <w:color w:val="auto"/>
                <w:lang w:val="es-ES_tradnl"/>
              </w:rPr>
              <w:t>M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edida adoptada para proteger a alguien o algo o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evitar algo indeseable” 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(</w:t>
            </w:r>
            <w:r w:rsidR="008F5A6C" w:rsidRPr="00B44F78">
              <w:rPr>
                <w:rFonts w:asciiTheme="minorHAnsi" w:hAnsiTheme="minorHAnsi"/>
                <w:color w:val="auto"/>
                <w:lang w:val="es-ES_tradnl"/>
              </w:rPr>
              <w:t xml:space="preserve">es decir, 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no </w:t>
            </w:r>
            <w:r w:rsidR="008F5A6C" w:rsidRPr="00B44F78">
              <w:rPr>
                <w:rFonts w:asciiTheme="minorHAnsi" w:hAnsiTheme="minorHAnsi"/>
                <w:color w:val="auto"/>
                <w:lang w:val="es-ES_tradnl"/>
              </w:rPr>
              <w:t>causar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daño).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Se entiende en sentido amplio 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y puede aplicarse a un proyecto, un conjunto de proyectos o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de forma más </w:t>
            </w:r>
            <w:r w:rsidR="00BA20FB" w:rsidRPr="00B44F78">
              <w:rPr>
                <w:rFonts w:asciiTheme="minorHAnsi" w:hAnsiTheme="minorHAnsi"/>
                <w:color w:val="auto"/>
                <w:lang w:val="es-ES_tradnl"/>
              </w:rPr>
              <w:t>extensa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a programas, así como </w:t>
            </w:r>
            <w:r w:rsidR="00BA20FB" w:rsidRPr="00B44F78">
              <w:rPr>
                <w:rFonts w:asciiTheme="minorHAnsi" w:hAnsiTheme="minorHAnsi"/>
                <w:color w:val="auto"/>
                <w:lang w:val="es-ES_tradnl"/>
              </w:rPr>
              <w:t>servir como política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  <w:r w:rsidR="008F5A6C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  <w:p w14:paraId="1796FCC6" w14:textId="0A467953" w:rsidR="00901B07" w:rsidRPr="00B44F78" w:rsidRDefault="00BA20FB" w:rsidP="00B44F78">
            <w:p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En el contexto de REDD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+,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véanse las “salvaguardas de Cancún”,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06701B" w:rsidRPr="00B44F78">
              <w:rPr>
                <w:rFonts w:asciiTheme="minorHAnsi" w:hAnsiTheme="minorHAnsi"/>
                <w:color w:val="auto"/>
                <w:lang w:val="es-ES_tradnl"/>
              </w:rPr>
              <w:t>cuyo objetivo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explícit</w:t>
            </w:r>
            <w:r w:rsidR="0006701B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06701B" w:rsidRPr="00B44F78">
              <w:rPr>
                <w:rFonts w:asciiTheme="minorHAnsi" w:hAnsiTheme="minorHAnsi"/>
                <w:color w:val="auto"/>
                <w:lang w:val="es-ES_tradnl"/>
              </w:rPr>
              <w:t xml:space="preserve">también es </w:t>
            </w:r>
            <w:r w:rsidR="00F44005" w:rsidRPr="00B44F78">
              <w:rPr>
                <w:rFonts w:asciiTheme="minorHAnsi" w:hAnsiTheme="minorHAnsi"/>
                <w:color w:val="auto"/>
                <w:lang w:val="es-ES_tradnl"/>
              </w:rPr>
              <w:t>mejorar los beneficios ambientales y sociales (es decir, hacer el bien).</w:t>
            </w:r>
            <w:r w:rsidR="0055719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ED48" w14:textId="656D1AF9" w:rsidR="00901B07" w:rsidRPr="00B44F78" w:rsidRDefault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7">
              <w:r w:rsidR="00AA7B63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>Dicc</w:t>
              </w:r>
              <w:r w:rsidR="00557195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>ionar</w:t>
              </w:r>
              <w:r w:rsidR="00AA7B63" w:rsidRPr="00B44F78">
                <w:rPr>
                  <w:rFonts w:asciiTheme="minorHAnsi" w:hAnsiTheme="minorHAnsi"/>
                  <w:color w:val="1155CC"/>
                  <w:u w:val="single"/>
                  <w:lang w:val="es-ES_tradnl"/>
                </w:rPr>
                <w:t>io</w:t>
              </w:r>
            </w:hyperlink>
            <w:r w:rsidR="00AA7B63" w:rsidRPr="00B44F78">
              <w:rPr>
                <w:rFonts w:asciiTheme="minorHAnsi" w:hAnsiTheme="minorHAnsi"/>
                <w:color w:val="1155CC"/>
                <w:u w:val="single"/>
                <w:lang w:val="es-ES_tradnl"/>
              </w:rPr>
              <w:t xml:space="preserve"> Oxford</w:t>
            </w:r>
          </w:p>
          <w:p w14:paraId="457AA338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21DB4BF8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4DD2" w14:textId="77777777" w:rsidR="00434FD0" w:rsidRPr="00B44F78" w:rsidRDefault="00434FD0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Sistema de información sobre salvaguardas</w:t>
            </w:r>
          </w:p>
          <w:p w14:paraId="4F5DE9B3" w14:textId="50C93E77" w:rsidR="0006701B" w:rsidRPr="00B44F78" w:rsidRDefault="0006701B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(SIS)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7F3B" w14:textId="663C7CA3" w:rsidR="004F5C5C" w:rsidRPr="00B44F78" w:rsidRDefault="000C3C27" w:rsidP="00434FD0">
            <w:pPr>
              <w:widowControl w:val="0"/>
              <w:contextualSpacing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C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 xml:space="preserve">ombinación de sistemas y fuentes de información existentes 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>(</w:t>
            </w:r>
            <w:r w:rsidR="008F5A6C" w:rsidRPr="00B44F78">
              <w:rPr>
                <w:rFonts w:asciiTheme="minorHAnsi" w:hAnsiTheme="minorHAnsi"/>
                <w:color w:val="auto"/>
                <w:lang w:val="es-ES_tradnl"/>
              </w:rPr>
              <w:t>y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 xml:space="preserve"> nuev</w:t>
            </w:r>
            <w:r w:rsidR="00865E75" w:rsidRPr="00B44F78">
              <w:rPr>
                <w:rFonts w:asciiTheme="minorHAnsi" w:hAnsiTheme="minorHAnsi"/>
                <w:color w:val="auto"/>
                <w:lang w:val="es-ES_tradnl"/>
              </w:rPr>
              <w:t>o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>,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 xml:space="preserve">que subsanen 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>las lagunas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6D467A" w:rsidRPr="00B44F78">
              <w:rPr>
                <w:rFonts w:asciiTheme="minorHAnsi" w:hAnsiTheme="minorHAnsi"/>
                <w:color w:val="auto"/>
                <w:lang w:val="es-ES_tradnl"/>
              </w:rPr>
              <w:t>identificadas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>),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 xml:space="preserve"> sobre </w:t>
            </w:r>
            <w:r w:rsidR="006D467A" w:rsidRPr="00B44F78">
              <w:rPr>
                <w:rFonts w:asciiTheme="minorHAnsi" w:hAnsiTheme="minorHAnsi"/>
                <w:color w:val="auto"/>
                <w:lang w:val="es-ES_tradnl"/>
              </w:rPr>
              <w:t>el modo en que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 xml:space="preserve"> se </w:t>
            </w:r>
            <w:r w:rsidR="00913B79" w:rsidRPr="00B44F78">
              <w:rPr>
                <w:rFonts w:asciiTheme="minorHAnsi" w:hAnsiTheme="minorHAnsi"/>
                <w:color w:val="auto"/>
                <w:lang w:val="es-ES_tradnl"/>
              </w:rPr>
              <w:t xml:space="preserve">analizan 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>y respeta</w:t>
            </w:r>
            <w:r w:rsidR="00865E75" w:rsidRPr="00B44F78">
              <w:rPr>
                <w:rFonts w:asciiTheme="minorHAnsi" w:hAnsiTheme="minorHAnsi"/>
                <w:color w:val="auto"/>
                <w:lang w:val="es-ES_tradnl"/>
              </w:rPr>
              <w:t xml:space="preserve">n </w:t>
            </w:r>
            <w:r w:rsidR="00434FD0" w:rsidRPr="00B44F78">
              <w:rPr>
                <w:rFonts w:asciiTheme="minorHAnsi" w:hAnsiTheme="minorHAnsi"/>
                <w:color w:val="auto"/>
                <w:lang w:val="es-ES_tradnl"/>
              </w:rPr>
              <w:t>todas las salvaguardas de Cancún durante la implementación de las actividades REDD+.</w:t>
            </w:r>
          </w:p>
          <w:p w14:paraId="3A9C2E0F" w14:textId="77777777" w:rsidR="004F5C5C" w:rsidRPr="00B44F78" w:rsidRDefault="004F5C5C" w:rsidP="00434FD0">
            <w:pPr>
              <w:widowControl w:val="0"/>
              <w:contextualSpacing/>
              <w:rPr>
                <w:rFonts w:asciiTheme="minorHAnsi" w:hAnsiTheme="minorHAnsi"/>
                <w:color w:val="auto"/>
                <w:lang w:val="es-ES_tradnl"/>
              </w:rPr>
            </w:pPr>
          </w:p>
          <w:p w14:paraId="149FC926" w14:textId="34BA6E9C" w:rsidR="004F5C5C" w:rsidRPr="00B44F78" w:rsidRDefault="006D467A" w:rsidP="00434FD0">
            <w:pPr>
              <w:widowControl w:val="0"/>
              <w:contextualSpacing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Es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 una pieza clave de la arquitectura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de 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REDD+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nacional 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(o “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>pilar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 de </w:t>
            </w:r>
            <w:r w:rsidR="005834FC" w:rsidRPr="00B44F78">
              <w:rPr>
                <w:rFonts w:asciiTheme="minorHAnsi" w:hAnsiTheme="minorHAnsi"/>
                <w:color w:val="auto"/>
                <w:lang w:val="es-ES_tradnl"/>
              </w:rPr>
              <w:t>Varsovia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"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) en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el marco de 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la CMNUCC. Los sistemas de información 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sobre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alvaguardas debe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rían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 xml:space="preserve"> ser coherentes con lo expuesto en la Decisión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12/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CP.17 de la CMNUCC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 y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:</w:t>
            </w:r>
          </w:p>
          <w:p w14:paraId="10DBDDDD" w14:textId="75999ECD" w:rsidR="004F5C5C" w:rsidRPr="00B44F78" w:rsidRDefault="000C3C27" w:rsidP="004F5C5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roporcionar información transparente y coherente a la que puedan acceder todos los interesados y actualizarla con regularidad;</w:t>
            </w:r>
          </w:p>
          <w:p w14:paraId="6D051767" w14:textId="16AD3AD7" w:rsidR="004F5C5C" w:rsidRPr="00B44F78" w:rsidRDefault="000C3C27" w:rsidP="004F5C5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e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star a cargo de los países y aplicarse a nivel nacional;</w:t>
            </w:r>
          </w:p>
          <w:p w14:paraId="47A9EA44" w14:textId="20E283FF" w:rsidR="004F5C5C" w:rsidRPr="00B44F78" w:rsidRDefault="000C3C27" w:rsidP="004F5C5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s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er transparentes y flexibles para permitir mejoras con el paso del tiempo;</w:t>
            </w:r>
          </w:p>
          <w:p w14:paraId="7DC4DF95" w14:textId="67F84EEB" w:rsidR="004F5C5C" w:rsidRPr="00B44F78" w:rsidRDefault="000C3C27" w:rsidP="004F5C5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p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roporcionar información; y</w:t>
            </w:r>
          </w:p>
          <w:p w14:paraId="3401DC24" w14:textId="4CA92A76" w:rsidR="00901B07" w:rsidRPr="00B44F78" w:rsidRDefault="000C3C27" w:rsidP="00B44F78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b</w:t>
            </w:r>
            <w:r w:rsidR="004F5C5C" w:rsidRPr="00B44F78">
              <w:rPr>
                <w:rFonts w:asciiTheme="minorHAnsi" w:hAnsiTheme="minorHAnsi"/>
                <w:color w:val="auto"/>
                <w:lang w:val="es-ES_tradnl"/>
              </w:rPr>
              <w:t>asarse en los sistemas existentes, si los hubiera;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 </w:t>
            </w:r>
            <w:r w:rsidR="00557195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EC85" w14:textId="77777777" w:rsidR="00AA7B63" w:rsidRPr="00B44F78" w:rsidRDefault="00B44F78" w:rsidP="00AA7B63">
            <w:pPr>
              <w:widowControl w:val="0"/>
              <w:rPr>
                <w:rFonts w:asciiTheme="minorHAnsi" w:hAnsiTheme="minorHAnsi"/>
                <w:color w:val="4F81BD" w:themeColor="accent1"/>
                <w:lang w:val="es-ES_tradnl"/>
              </w:rPr>
            </w:pPr>
            <w:hyperlink r:id="rId28" w:history="1">
              <w:r w:rsidR="00AA7B63" w:rsidRPr="00B44F78">
                <w:rPr>
                  <w:rStyle w:val="Hyperlink"/>
                  <w:rFonts w:asciiTheme="minorHAnsi" w:hAnsiTheme="minorHAnsi"/>
                  <w:color w:val="4F81BD" w:themeColor="accent1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7F1728D7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6DE2888F" w14:textId="77777777" w:rsidR="008F5A6C" w:rsidRPr="00B44F78" w:rsidRDefault="008F5A6C">
            <w:pPr>
              <w:widowControl w:val="0"/>
              <w:rPr>
                <w:rFonts w:asciiTheme="minorHAnsi" w:hAnsiTheme="minorHAnsi"/>
                <w:color w:val="1155CC"/>
                <w:u w:val="single"/>
                <w:lang w:val="es-ES_tradnl"/>
              </w:rPr>
            </w:pPr>
          </w:p>
          <w:p w14:paraId="269DCC0A" w14:textId="387D49B7" w:rsidR="008F5A6C" w:rsidRPr="00B44F78" w:rsidRDefault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29" w:anchor="page=68" w:history="1">
              <w:r w:rsidR="0006701B" w:rsidRPr="00B44F78">
                <w:rPr>
                  <w:rStyle w:val="Hyperlink"/>
                  <w:rFonts w:asciiTheme="minorHAnsi" w:hAnsiTheme="minorHAnsi"/>
                  <w:lang w:val="es-ES_tradnl"/>
                </w:rPr>
                <w:t>Decisión 12/CP.7 de la CMNUCC</w:t>
              </w:r>
            </w:hyperlink>
          </w:p>
          <w:p w14:paraId="6B7AFDC9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  <w:p w14:paraId="6866F291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  <w:p w14:paraId="507489E7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315F53E9" w14:textId="77777777" w:rsidTr="00207EE3"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35E4" w14:textId="3277E099" w:rsidR="006D467A" w:rsidRPr="00B44F78" w:rsidRDefault="006D467A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Alcance del enfoque sobre salvaguardas a nivel de país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BEFC" w14:textId="06FB1CE8" w:rsidR="003F544A" w:rsidRPr="00B44F78" w:rsidRDefault="000C3C27" w:rsidP="002B4A8A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ctividades </w:t>
            </w:r>
            <w:r w:rsidR="003631EC" w:rsidRPr="00B44F78">
              <w:rPr>
                <w:rFonts w:asciiTheme="minorHAnsi" w:hAnsiTheme="minorHAnsi"/>
                <w:color w:val="auto"/>
                <w:lang w:val="es-ES_tradnl"/>
              </w:rPr>
              <w:t xml:space="preserve">que quedarán </w:t>
            </w:r>
            <w:r w:rsidR="00AB71C9" w:rsidRPr="00B44F78">
              <w:rPr>
                <w:rFonts w:asciiTheme="minorHAnsi" w:hAnsiTheme="minorHAnsi"/>
                <w:color w:val="auto"/>
                <w:lang w:val="es-ES_tradnl"/>
              </w:rPr>
              <w:t xml:space="preserve">cubiertas por 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las </w:t>
            </w:r>
            <w:r w:rsidR="006D467A" w:rsidRPr="00B44F78">
              <w:rPr>
                <w:rFonts w:asciiTheme="minorHAnsi" w:hAnsiTheme="minorHAnsi"/>
                <w:color w:val="auto"/>
                <w:lang w:val="es-ES_tradnl"/>
              </w:rPr>
              <w:t>salvaguardas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según </w:t>
            </w:r>
            <w:r w:rsidR="006D467A" w:rsidRPr="00B44F78">
              <w:rPr>
                <w:rFonts w:asciiTheme="minorHAnsi" w:hAnsiTheme="minorHAnsi"/>
                <w:color w:val="auto"/>
                <w:lang w:val="es-ES_tradnl"/>
              </w:rPr>
              <w:t>defina cada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país. </w:t>
            </w:r>
            <w:r w:rsidR="00AB71C9" w:rsidRPr="00B44F78">
              <w:rPr>
                <w:rFonts w:asciiTheme="minorHAnsi" w:hAnsiTheme="minorHAnsi"/>
                <w:color w:val="auto"/>
                <w:lang w:val="es-ES_tradnl"/>
              </w:rPr>
              <w:t xml:space="preserve">Los </w:t>
            </w:r>
            <w:r w:rsidR="00C36285" w:rsidRPr="00B44F78">
              <w:rPr>
                <w:rFonts w:asciiTheme="minorHAnsi" w:hAnsiTheme="minorHAnsi"/>
                <w:color w:val="auto"/>
                <w:lang w:val="es-ES_tradnl"/>
              </w:rPr>
              <w:t>r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equisitos de la CMNUCC </w:t>
            </w:r>
            <w:r w:rsidR="00810F0D" w:rsidRPr="00B44F78">
              <w:rPr>
                <w:rFonts w:asciiTheme="minorHAnsi" w:hAnsiTheme="minorHAnsi"/>
                <w:color w:val="auto"/>
                <w:lang w:val="es-ES_tradnl"/>
              </w:rPr>
              <w:t>establecen que las salvaguarda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s se aplicarán 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a todas las actividades REDD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+ pertinentes, es decir, las políticas y las medidas identificadas en la 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e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strategia 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acional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/p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lan de 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cción.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br/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br/>
              <w:t xml:space="preserve">Un país puede </w:t>
            </w:r>
            <w:r w:rsidR="00772B38" w:rsidRPr="00B44F78">
              <w:rPr>
                <w:rFonts w:asciiTheme="minorHAnsi" w:hAnsiTheme="minorHAnsi"/>
                <w:color w:val="auto"/>
                <w:lang w:val="es-ES_tradnl"/>
              </w:rPr>
              <w:t>no limitarse al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sector forest</w:t>
            </w:r>
            <w:r w:rsidR="00772B38" w:rsidRPr="00B44F78">
              <w:rPr>
                <w:rFonts w:asciiTheme="minorHAnsi" w:hAnsiTheme="minorHAnsi"/>
                <w:color w:val="auto"/>
                <w:lang w:val="es-ES_tradnl"/>
              </w:rPr>
              <w:t xml:space="preserve">al 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e incluir otros sectores de uso del suelo </w:t>
            </w:r>
            <w:r w:rsidR="00896093" w:rsidRPr="00B44F78">
              <w:rPr>
                <w:rFonts w:asciiTheme="minorHAnsi" w:hAnsiTheme="minorHAnsi"/>
                <w:color w:val="auto"/>
                <w:lang w:val="es-ES_tradnl"/>
              </w:rPr>
              <w:t>identificados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como </w:t>
            </w:r>
            <w:r w:rsidR="00772B38" w:rsidRPr="00B44F78">
              <w:rPr>
                <w:rFonts w:asciiTheme="minorHAnsi" w:hAnsiTheme="minorHAnsi"/>
                <w:color w:val="auto"/>
                <w:lang w:val="es-ES_tradnl"/>
              </w:rPr>
              <w:t>impulsores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clave de la deforestación </w:t>
            </w:r>
            <w:r w:rsidR="00772B38" w:rsidRPr="00B44F78">
              <w:rPr>
                <w:rFonts w:asciiTheme="minorHAnsi" w:hAnsiTheme="minorHAnsi"/>
                <w:color w:val="auto"/>
                <w:lang w:val="es-ES_tradnl"/>
              </w:rPr>
              <w:t>o la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772B38" w:rsidRPr="00B44F78">
              <w:rPr>
                <w:rFonts w:asciiTheme="minorHAnsi" w:hAnsiTheme="minorHAnsi"/>
                <w:color w:val="auto"/>
                <w:lang w:val="es-ES_tradnl"/>
              </w:rPr>
              <w:t>degradación forestal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, </w:t>
            </w:r>
            <w:r w:rsidR="006B7146" w:rsidRPr="00B44F78">
              <w:rPr>
                <w:rFonts w:asciiTheme="minorHAnsi" w:hAnsiTheme="minorHAnsi"/>
                <w:color w:val="auto"/>
                <w:lang w:val="es-ES_tradnl"/>
              </w:rPr>
              <w:t>y podría aplicar las salvaguard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as </w:t>
            </w:r>
            <w:r w:rsidR="00896093" w:rsidRPr="00B44F78">
              <w:rPr>
                <w:rFonts w:asciiTheme="minorHAnsi" w:hAnsiTheme="minorHAnsi"/>
                <w:color w:val="auto"/>
                <w:lang w:val="es-ES_tradnl"/>
              </w:rPr>
              <w:t>con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 xml:space="preserve"> un </w:t>
            </w:r>
            <w:r w:rsidR="00896093" w:rsidRPr="00B44F78">
              <w:rPr>
                <w:rFonts w:asciiTheme="minorHAnsi" w:hAnsiTheme="minorHAnsi"/>
                <w:color w:val="auto"/>
                <w:lang w:val="es-ES_tradnl"/>
              </w:rPr>
              <w:t xml:space="preserve">alcance más amplio 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>que el establecido por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896093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="003F544A" w:rsidRPr="00B44F78">
              <w:rPr>
                <w:rFonts w:asciiTheme="minorHAnsi" w:hAnsiTheme="minorHAnsi"/>
                <w:color w:val="auto"/>
                <w:lang w:val="es-ES_tradnl"/>
              </w:rPr>
              <w:t>+ con el fin de atraer a otras fuentes de inversión y lograr objetivos de política interna 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81D4" w14:textId="2CDD9CDA" w:rsidR="006B7146" w:rsidRPr="00B44F78" w:rsidRDefault="006B7146" w:rsidP="006B7146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Adaptado de:</w:t>
            </w:r>
          </w:p>
          <w:p w14:paraId="330F9987" w14:textId="77777777" w:rsidR="006B7146" w:rsidRPr="00B44F78" w:rsidRDefault="00B44F78" w:rsidP="006B7146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30" w:history="1">
              <w:r w:rsidR="006B7146" w:rsidRPr="00B44F78">
                <w:rPr>
                  <w:rStyle w:val="Hyperlink"/>
                  <w:rFonts w:asciiTheme="minorHAnsi" w:hAnsiTheme="minorHAnsi"/>
                  <w:lang w:val="es-ES_tradnl"/>
                </w:rPr>
                <w:t>Marco de ONU-REDD para apoyar el desarrollo de enfoques sobre salvaguardas a nivel de país</w:t>
              </w:r>
            </w:hyperlink>
          </w:p>
          <w:p w14:paraId="411A26B6" w14:textId="77777777" w:rsidR="00901B07" w:rsidRPr="00B44F78" w:rsidRDefault="00901B07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234BE365" w14:textId="77777777" w:rsidR="00901B07" w:rsidRPr="00B44F78" w:rsidRDefault="00557195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901B07" w:rsidRPr="00B44F78" w14:paraId="2FF3921F" w14:textId="77777777" w:rsidTr="00B44F78">
        <w:trPr>
          <w:trHeight w:val="6653"/>
        </w:trPr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F0A8" w14:textId="5CAE5D3C" w:rsidR="00896093" w:rsidRPr="00B44F78" w:rsidRDefault="00896093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>Resumen de información</w:t>
            </w:r>
          </w:p>
        </w:tc>
        <w:tc>
          <w:tcPr>
            <w:tcW w:w="5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5303" w14:textId="46844483" w:rsidR="00896093" w:rsidRPr="00B44F78" w:rsidRDefault="00896093" w:rsidP="00B44F78">
            <w:pPr>
              <w:widowControl w:val="0"/>
              <w:rPr>
                <w:rFonts w:asciiTheme="minorHAnsi" w:hAnsiTheme="minorHAnsi"/>
                <w:color w:val="auto"/>
                <w:lang w:val="es-ES_tradnl"/>
              </w:rPr>
            </w:pP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Requisito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 xml:space="preserve">de la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CMNUCC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>para recibir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 xml:space="preserve">pagos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 xml:space="preserve">basados en 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resultados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 xml:space="preserve">de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>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. E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 resumen es el medio por el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 xml:space="preserve">cual los países REDD+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comunica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n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 xml:space="preserve">a nivel internacional a la CMNUCC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cómo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analizan y respetan las salvaguard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as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>durante la implementación de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+. Es probable que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resulte</w:t>
            </w:r>
            <w:r w:rsidR="00422D29" w:rsidRPr="00B44F78">
              <w:rPr>
                <w:rFonts w:asciiTheme="minorHAnsi" w:hAnsiTheme="minorHAnsi"/>
                <w:color w:val="auto"/>
                <w:lang w:val="es-ES_tradnl"/>
              </w:rPr>
              <w:t xml:space="preserve"> del sistema de información sobre salvaguardas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(SIS)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nacional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,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si bien</w:t>
            </w:r>
            <w:r w:rsidR="00422D29" w:rsidRPr="00B44F78">
              <w:rPr>
                <w:rFonts w:asciiTheme="minorHAnsi" w:hAnsiTheme="minorHAnsi"/>
                <w:color w:val="auto"/>
                <w:lang w:val="es-ES_tradnl"/>
              </w:rPr>
              <w:t xml:space="preserve"> la CMNUCC no lo 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 xml:space="preserve">exige 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>explícitamente.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br/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br/>
              <w:t xml:space="preserve">El resumen </w:t>
            </w:r>
            <w:r w:rsidR="00AB0503" w:rsidRPr="00B44F78">
              <w:rPr>
                <w:rFonts w:asciiTheme="minorHAnsi" w:hAnsiTheme="minorHAnsi"/>
                <w:color w:val="auto"/>
                <w:lang w:val="es-ES_tradnl"/>
              </w:rPr>
              <w:t xml:space="preserve">puede </w:t>
            </w:r>
            <w:r w:rsidR="00422D29" w:rsidRPr="00B44F78">
              <w:rPr>
                <w:rFonts w:asciiTheme="minorHAnsi" w:hAnsiTheme="minorHAnsi"/>
                <w:color w:val="auto"/>
                <w:lang w:val="es-ES_tradnl"/>
              </w:rPr>
              <w:t>considerar</w:t>
            </w:r>
            <w:r w:rsidR="00D67682" w:rsidRPr="00B44F78">
              <w:rPr>
                <w:rFonts w:asciiTheme="minorHAnsi" w:hAnsiTheme="minorHAnsi"/>
                <w:color w:val="auto"/>
                <w:lang w:val="es-ES_tradnl"/>
              </w:rPr>
              <w:t>se</w:t>
            </w:r>
            <w:r w:rsidR="00422D29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como una narrativa </w:t>
            </w:r>
            <w:r w:rsidR="00422D29" w:rsidRPr="00B44F78">
              <w:rPr>
                <w:rFonts w:asciiTheme="minorHAnsi" w:hAnsiTheme="minorHAnsi"/>
                <w:color w:val="auto"/>
                <w:lang w:val="es-ES_tradnl"/>
              </w:rPr>
              <w:t>de las salvaguard</w:t>
            </w:r>
            <w:r w:rsidR="000C3C27" w:rsidRPr="00B44F78">
              <w:rPr>
                <w:rFonts w:asciiTheme="minorHAnsi" w:hAnsiTheme="minorHAnsi"/>
                <w:color w:val="auto"/>
                <w:lang w:val="es-ES_tradnl"/>
              </w:rPr>
              <w:t>as por medio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de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 xml:space="preserve">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l</w:t>
            </w:r>
            <w:r w:rsidR="002B4A8A" w:rsidRPr="00B44F78">
              <w:rPr>
                <w:rFonts w:asciiTheme="minorHAnsi" w:hAnsiTheme="minorHAnsi"/>
                <w:color w:val="auto"/>
                <w:lang w:val="es-ES_tradnl"/>
              </w:rPr>
              <w:t>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cual cada país en desarrollo cuenta su "historia" de cómo </w:t>
            </w:r>
            <w:r w:rsidR="00603AB7" w:rsidRPr="00B44F78">
              <w:rPr>
                <w:rFonts w:asciiTheme="minorHAnsi" w:hAnsiTheme="minorHAnsi"/>
                <w:color w:val="auto"/>
                <w:lang w:val="es-ES_tradnl"/>
              </w:rPr>
              <w:t>analiza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y respeta</w:t>
            </w:r>
            <w:r w:rsidR="00603AB7" w:rsidRPr="00B44F78">
              <w:rPr>
                <w:rFonts w:asciiTheme="minorHAnsi" w:hAnsiTheme="minorHAnsi"/>
                <w:color w:val="auto"/>
                <w:lang w:val="es-ES_tradnl"/>
              </w:rPr>
              <w:t xml:space="preserve"> las salvaguard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as </w:t>
            </w:r>
            <w:r w:rsidR="00603AB7" w:rsidRPr="00B44F78">
              <w:rPr>
                <w:rFonts w:asciiTheme="minorHAnsi" w:hAnsiTheme="minorHAnsi"/>
                <w:color w:val="auto"/>
                <w:lang w:val="es-ES_tradnl"/>
              </w:rPr>
              <w:t>durante la implementación de las actividades REDD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+</w:t>
            </w:r>
            <w:r w:rsidR="00797311" w:rsidRPr="00B44F78">
              <w:rPr>
                <w:rFonts w:asciiTheme="minorHAnsi" w:hAnsiTheme="minorHAnsi"/>
                <w:color w:val="auto"/>
                <w:lang w:val="es-ES_tradnl"/>
              </w:rPr>
              <w:t xml:space="preserve">. De este modo, se fomenta 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la transparencia y el cumplimiento de uno de los requisitos </w:t>
            </w:r>
            <w:r w:rsidR="00797311" w:rsidRPr="00B44F78">
              <w:rPr>
                <w:rFonts w:asciiTheme="minorHAnsi" w:hAnsiTheme="minorHAnsi"/>
                <w:color w:val="auto"/>
                <w:lang w:val="es-ES_tradnl"/>
              </w:rPr>
              <w:t>de acceso a la financiación basada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 xml:space="preserve"> en resultados. También puede incluir información cuantitativa y cualitativa extraída del </w:t>
            </w:r>
            <w:r w:rsidR="000C3C27" w:rsidRPr="00B44F78">
              <w:rPr>
                <w:rFonts w:asciiTheme="minorHAnsi" w:hAnsiTheme="minorHAnsi"/>
                <w:color w:val="auto"/>
                <w:lang w:val="es-ES_tradnl"/>
              </w:rPr>
              <w:t>sistema de información sobre salvaguardas (SIS)</w:t>
            </w:r>
            <w:r w:rsidRPr="00B44F78">
              <w:rPr>
                <w:rFonts w:asciiTheme="minorHAnsi" w:hAnsiTheme="minorHAnsi"/>
                <w:color w:val="auto"/>
                <w:lang w:val="es-ES_tradnl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21EE" w14:textId="3151C099" w:rsidR="00D67682" w:rsidRPr="00B44F78" w:rsidRDefault="00D67682" w:rsidP="00D67682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Adaptado de:</w:t>
            </w:r>
          </w:p>
          <w:p w14:paraId="74BD7CBF" w14:textId="28E53809" w:rsidR="00D67682" w:rsidRPr="00B44F78" w:rsidRDefault="00B44F78">
            <w:pPr>
              <w:widowControl w:val="0"/>
              <w:rPr>
                <w:rStyle w:val="Hyperlink"/>
                <w:rFonts w:asciiTheme="minorHAnsi" w:hAnsiTheme="minorHAnsi"/>
                <w:lang w:val="es-ES_tradnl"/>
              </w:rPr>
            </w:pPr>
            <w:hyperlink r:id="rId31" w:history="1">
              <w:r w:rsidR="00D67682" w:rsidRPr="00B44F78">
                <w:rPr>
                  <w:rStyle w:val="Hyperlink"/>
                  <w:rFonts w:asciiTheme="minorHAnsi" w:hAnsiTheme="minorHAnsi"/>
                  <w:lang w:val="es-ES_tradnl"/>
                </w:rPr>
                <w:t>Salvaguardas de REDD+. Consideraciones prácticas para desarrollar un resumen de información del Instituto Meridian</w:t>
              </w:r>
            </w:hyperlink>
          </w:p>
          <w:p w14:paraId="7CA3730E" w14:textId="77777777" w:rsidR="00D67682" w:rsidRPr="00B44F78" w:rsidRDefault="00D67682">
            <w:pPr>
              <w:widowControl w:val="0"/>
              <w:rPr>
                <w:rFonts w:asciiTheme="minorHAnsi" w:hAnsiTheme="minorHAnsi"/>
                <w:lang w:val="es-ES_tradnl"/>
              </w:rPr>
            </w:pPr>
          </w:p>
          <w:p w14:paraId="43F78461" w14:textId="3D846B61" w:rsidR="00D67682" w:rsidRPr="00B44F78" w:rsidRDefault="00D67682" w:rsidP="00D67682">
            <w:pPr>
              <w:widowControl w:val="0"/>
              <w:rPr>
                <w:rFonts w:asciiTheme="minorHAnsi" w:hAnsiTheme="minorHAnsi"/>
                <w:lang w:val="es-ES_tradnl"/>
              </w:rPr>
            </w:pPr>
            <w:r w:rsidRPr="00B44F78">
              <w:rPr>
                <w:rFonts w:asciiTheme="minorHAnsi" w:hAnsiTheme="minorHAnsi"/>
                <w:lang w:val="es-ES_tradnl"/>
              </w:rPr>
              <w:t>Véase:</w:t>
            </w:r>
          </w:p>
          <w:p w14:paraId="698F0D06" w14:textId="07019AB6" w:rsidR="00D67682" w:rsidRPr="00B44F78" w:rsidRDefault="00B44F78" w:rsidP="00B44F78">
            <w:pPr>
              <w:widowControl w:val="0"/>
              <w:rPr>
                <w:rFonts w:asciiTheme="minorHAnsi" w:hAnsiTheme="minorHAnsi"/>
                <w:lang w:val="es-ES_tradnl"/>
              </w:rPr>
            </w:pPr>
            <w:hyperlink r:id="rId32" w:anchor="page=68" w:history="1">
              <w:r w:rsidR="00D67682" w:rsidRPr="00B44F78">
                <w:rPr>
                  <w:rStyle w:val="Hyperlink"/>
                  <w:rFonts w:asciiTheme="minorHAnsi" w:hAnsiTheme="minorHAnsi"/>
                  <w:lang w:val="es-ES_tradnl"/>
                </w:rPr>
                <w:t>Decisión 12/CP.7 de la CMNUCC</w:t>
              </w:r>
            </w:hyperlink>
            <w:bookmarkStart w:id="0" w:name="_GoBack"/>
            <w:bookmarkEnd w:id="0"/>
          </w:p>
        </w:tc>
      </w:tr>
    </w:tbl>
    <w:p w14:paraId="52DD1829" w14:textId="7C004788" w:rsidR="00901B07" w:rsidRPr="00B44F78" w:rsidRDefault="00901B07">
      <w:pPr>
        <w:rPr>
          <w:lang w:val="es-ES_tradnl"/>
        </w:rPr>
      </w:pPr>
    </w:p>
    <w:sectPr w:rsidR="00901B07" w:rsidRPr="00B44F78" w:rsidSect="002A2818">
      <w:headerReference w:type="default" r:id="rId3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9D671" w14:textId="77777777" w:rsidR="008D22F9" w:rsidRDefault="008D22F9" w:rsidP="002A2818">
      <w:pPr>
        <w:spacing w:line="240" w:lineRule="auto"/>
      </w:pPr>
      <w:r>
        <w:separator/>
      </w:r>
    </w:p>
  </w:endnote>
  <w:endnote w:type="continuationSeparator" w:id="0">
    <w:p w14:paraId="0A86C873" w14:textId="77777777" w:rsidR="008D22F9" w:rsidRDefault="008D22F9" w:rsidP="002A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731BE" w14:textId="77777777" w:rsidR="008D22F9" w:rsidRDefault="008D22F9" w:rsidP="002A2818">
      <w:pPr>
        <w:spacing w:line="240" w:lineRule="auto"/>
      </w:pPr>
      <w:r>
        <w:separator/>
      </w:r>
    </w:p>
  </w:footnote>
  <w:footnote w:type="continuationSeparator" w:id="0">
    <w:p w14:paraId="173C67E5" w14:textId="77777777" w:rsidR="008D22F9" w:rsidRDefault="008D22F9" w:rsidP="002A2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4A9F" w14:textId="41EE6EC7" w:rsidR="00C97208" w:rsidRPr="00957062" w:rsidRDefault="00C97208" w:rsidP="002A2818">
    <w:pPr>
      <w:pStyle w:val="Header"/>
      <w:pBdr>
        <w:bottom w:val="single" w:sz="4" w:space="6" w:color="auto"/>
      </w:pBdr>
      <w:tabs>
        <w:tab w:val="clear" w:pos="9072"/>
        <w:tab w:val="right" w:pos="9026"/>
      </w:tabs>
      <w:jc w:val="right"/>
      <w:rPr>
        <w:rFonts w:ascii="Calibri" w:eastAsia="Calibri" w:hAnsi="Calibri" w:cs="Times New Roman"/>
        <w:color w:val="4F81BD"/>
        <w:lang w:val="es-ES" w:eastAsia="en-US"/>
      </w:rPr>
    </w:pPr>
    <w:r w:rsidRPr="00957062">
      <w:rPr>
        <w:rFonts w:ascii="Calibri" w:eastAsia="Calibri" w:hAnsi="Calibri" w:cs="Times New Roman"/>
        <w:color w:val="4F81BD"/>
        <w:lang w:val="es-ES" w:eastAsia="en-US"/>
      </w:rPr>
      <w:t>Enfoque sobre salvaguardas a nivel de país: Glosario de términos clave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CF"/>
    <w:multiLevelType w:val="multilevel"/>
    <w:tmpl w:val="3370B6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1E355C2"/>
    <w:multiLevelType w:val="hybridMultilevel"/>
    <w:tmpl w:val="8990E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49B4"/>
    <w:multiLevelType w:val="multilevel"/>
    <w:tmpl w:val="89B8C812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3" w:firstLine="723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3" w:firstLine="1443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3" w:firstLine="2163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3" w:firstLine="28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3963" w:firstLine="3603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4683" w:firstLine="4323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403" w:firstLine="5043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123" w:firstLine="5763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B07"/>
    <w:rsid w:val="00002DAE"/>
    <w:rsid w:val="000125B3"/>
    <w:rsid w:val="0006360C"/>
    <w:rsid w:val="0006701B"/>
    <w:rsid w:val="000C3C27"/>
    <w:rsid w:val="000F4D5E"/>
    <w:rsid w:val="00106900"/>
    <w:rsid w:val="00115DDA"/>
    <w:rsid w:val="0018613E"/>
    <w:rsid w:val="001B5C4D"/>
    <w:rsid w:val="001C3F51"/>
    <w:rsid w:val="001C5A76"/>
    <w:rsid w:val="002011B3"/>
    <w:rsid w:val="00207EE3"/>
    <w:rsid w:val="002214D1"/>
    <w:rsid w:val="002431F4"/>
    <w:rsid w:val="00267B7A"/>
    <w:rsid w:val="002A2818"/>
    <w:rsid w:val="002B115A"/>
    <w:rsid w:val="002B4A8A"/>
    <w:rsid w:val="002D0AD3"/>
    <w:rsid w:val="002F6CA8"/>
    <w:rsid w:val="00313E10"/>
    <w:rsid w:val="003631EC"/>
    <w:rsid w:val="003B6990"/>
    <w:rsid w:val="003F544A"/>
    <w:rsid w:val="00422D29"/>
    <w:rsid w:val="00434FD0"/>
    <w:rsid w:val="004666CF"/>
    <w:rsid w:val="004A093D"/>
    <w:rsid w:val="004D07A7"/>
    <w:rsid w:val="004D2309"/>
    <w:rsid w:val="004F5C5C"/>
    <w:rsid w:val="00501194"/>
    <w:rsid w:val="0054058E"/>
    <w:rsid w:val="00541CC5"/>
    <w:rsid w:val="00557195"/>
    <w:rsid w:val="005834FC"/>
    <w:rsid w:val="005A660F"/>
    <w:rsid w:val="005B27DC"/>
    <w:rsid w:val="00603AB7"/>
    <w:rsid w:val="00622682"/>
    <w:rsid w:val="00634B79"/>
    <w:rsid w:val="006528BD"/>
    <w:rsid w:val="006A3B52"/>
    <w:rsid w:val="006B12C3"/>
    <w:rsid w:val="006B16BC"/>
    <w:rsid w:val="006B1876"/>
    <w:rsid w:val="006B7146"/>
    <w:rsid w:val="006C3EFD"/>
    <w:rsid w:val="006D2354"/>
    <w:rsid w:val="006D467A"/>
    <w:rsid w:val="00704C37"/>
    <w:rsid w:val="00717428"/>
    <w:rsid w:val="00721BBF"/>
    <w:rsid w:val="00735C60"/>
    <w:rsid w:val="007451E5"/>
    <w:rsid w:val="00772B38"/>
    <w:rsid w:val="00776583"/>
    <w:rsid w:val="00791200"/>
    <w:rsid w:val="00797311"/>
    <w:rsid w:val="007A67FB"/>
    <w:rsid w:val="007E397E"/>
    <w:rsid w:val="007E4CE4"/>
    <w:rsid w:val="007F1A45"/>
    <w:rsid w:val="007F7EF9"/>
    <w:rsid w:val="00810F0D"/>
    <w:rsid w:val="00850C79"/>
    <w:rsid w:val="00860EDC"/>
    <w:rsid w:val="00865E75"/>
    <w:rsid w:val="008860DC"/>
    <w:rsid w:val="00896093"/>
    <w:rsid w:val="008D22F9"/>
    <w:rsid w:val="008F4020"/>
    <w:rsid w:val="008F5A6C"/>
    <w:rsid w:val="00901B07"/>
    <w:rsid w:val="00913B79"/>
    <w:rsid w:val="00914AF4"/>
    <w:rsid w:val="00927C61"/>
    <w:rsid w:val="00935569"/>
    <w:rsid w:val="00957062"/>
    <w:rsid w:val="00965368"/>
    <w:rsid w:val="00981B85"/>
    <w:rsid w:val="009B195D"/>
    <w:rsid w:val="009F3D58"/>
    <w:rsid w:val="00A16DE5"/>
    <w:rsid w:val="00A2019A"/>
    <w:rsid w:val="00A345BC"/>
    <w:rsid w:val="00A346AD"/>
    <w:rsid w:val="00A52004"/>
    <w:rsid w:val="00A5488A"/>
    <w:rsid w:val="00AA7B63"/>
    <w:rsid w:val="00AB0503"/>
    <w:rsid w:val="00AB71C9"/>
    <w:rsid w:val="00AC5F12"/>
    <w:rsid w:val="00AE1F90"/>
    <w:rsid w:val="00AF7109"/>
    <w:rsid w:val="00B00EB3"/>
    <w:rsid w:val="00B06956"/>
    <w:rsid w:val="00B168DB"/>
    <w:rsid w:val="00B225A8"/>
    <w:rsid w:val="00B335EE"/>
    <w:rsid w:val="00B44F78"/>
    <w:rsid w:val="00B625E1"/>
    <w:rsid w:val="00B6368E"/>
    <w:rsid w:val="00B743FC"/>
    <w:rsid w:val="00B81D83"/>
    <w:rsid w:val="00BA20FB"/>
    <w:rsid w:val="00BA2FEE"/>
    <w:rsid w:val="00BC2E73"/>
    <w:rsid w:val="00C36285"/>
    <w:rsid w:val="00C40509"/>
    <w:rsid w:val="00C40D3D"/>
    <w:rsid w:val="00C77A02"/>
    <w:rsid w:val="00C97208"/>
    <w:rsid w:val="00D07385"/>
    <w:rsid w:val="00D12F95"/>
    <w:rsid w:val="00D34E91"/>
    <w:rsid w:val="00D67682"/>
    <w:rsid w:val="00D91E32"/>
    <w:rsid w:val="00DA30E8"/>
    <w:rsid w:val="00E13326"/>
    <w:rsid w:val="00E152CE"/>
    <w:rsid w:val="00E35052"/>
    <w:rsid w:val="00E40BEF"/>
    <w:rsid w:val="00E50197"/>
    <w:rsid w:val="00E605E1"/>
    <w:rsid w:val="00E611D0"/>
    <w:rsid w:val="00E65E00"/>
    <w:rsid w:val="00E67976"/>
    <w:rsid w:val="00E72FBF"/>
    <w:rsid w:val="00EA21D8"/>
    <w:rsid w:val="00EB146E"/>
    <w:rsid w:val="00EC24A1"/>
    <w:rsid w:val="00F22281"/>
    <w:rsid w:val="00F22F17"/>
    <w:rsid w:val="00F279EF"/>
    <w:rsid w:val="00F44005"/>
    <w:rsid w:val="00F96E1E"/>
    <w:rsid w:val="00FA0A3A"/>
    <w:rsid w:val="00FD5CCF"/>
    <w:rsid w:val="00FE08D6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0CF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CH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195"/>
    <w:pPr>
      <w:spacing w:line="240" w:lineRule="auto"/>
    </w:pPr>
    <w:rPr>
      <w:rFonts w:ascii="Calibri" w:eastAsia="Times New Roman" w:hAnsi="Calibri" w:cs="Times New Roman"/>
      <w:color w:val="auto"/>
      <w:lang w:val="en-US" w:eastAsia="en-US"/>
    </w:rPr>
  </w:style>
  <w:style w:type="character" w:customStyle="1" w:styleId="NoSpacingChar">
    <w:name w:val="No Spacing Char"/>
    <w:link w:val="NoSpacing"/>
    <w:uiPriority w:val="1"/>
    <w:rsid w:val="00557195"/>
    <w:rPr>
      <w:rFonts w:ascii="Calibri" w:eastAsia="Times New Roman" w:hAnsi="Calibri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18"/>
  </w:style>
  <w:style w:type="paragraph" w:styleId="Footer">
    <w:name w:val="footer"/>
    <w:basedOn w:val="Normal"/>
    <w:link w:val="FooterChar"/>
    <w:uiPriority w:val="99"/>
    <w:unhideWhenUsed/>
    <w:rsid w:val="002A2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18"/>
  </w:style>
  <w:style w:type="character" w:styleId="Hyperlink">
    <w:name w:val="Hyperlink"/>
    <w:basedOn w:val="DefaultParagraphFont"/>
    <w:uiPriority w:val="99"/>
    <w:unhideWhenUsed/>
    <w:rsid w:val="00622682"/>
    <w:rPr>
      <w:color w:val="3366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B8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1D0"/>
    <w:rPr>
      <w:b/>
      <w:bCs/>
      <w:sz w:val="20"/>
      <w:szCs w:val="20"/>
    </w:rPr>
  </w:style>
  <w:style w:type="paragraph" w:customStyle="1" w:styleId="Default">
    <w:name w:val="Default"/>
    <w:rsid w:val="00E611D0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611D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A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CH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195"/>
    <w:pPr>
      <w:spacing w:line="240" w:lineRule="auto"/>
    </w:pPr>
    <w:rPr>
      <w:rFonts w:ascii="Calibri" w:eastAsia="Times New Roman" w:hAnsi="Calibri" w:cs="Times New Roman"/>
      <w:color w:val="auto"/>
      <w:lang w:val="en-US" w:eastAsia="en-US"/>
    </w:rPr>
  </w:style>
  <w:style w:type="character" w:customStyle="1" w:styleId="NoSpacingChar">
    <w:name w:val="No Spacing Char"/>
    <w:link w:val="NoSpacing"/>
    <w:uiPriority w:val="1"/>
    <w:rsid w:val="00557195"/>
    <w:rPr>
      <w:rFonts w:ascii="Calibri" w:eastAsia="Times New Roman" w:hAnsi="Calibri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18"/>
  </w:style>
  <w:style w:type="paragraph" w:styleId="Footer">
    <w:name w:val="footer"/>
    <w:basedOn w:val="Normal"/>
    <w:link w:val="FooterChar"/>
    <w:uiPriority w:val="99"/>
    <w:unhideWhenUsed/>
    <w:rsid w:val="002A2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18"/>
  </w:style>
  <w:style w:type="character" w:styleId="Hyperlink">
    <w:name w:val="Hyperlink"/>
    <w:basedOn w:val="DefaultParagraphFont"/>
    <w:uiPriority w:val="99"/>
    <w:unhideWhenUsed/>
    <w:rsid w:val="00622682"/>
    <w:rPr>
      <w:color w:val="3366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B8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1D0"/>
    <w:rPr>
      <w:b/>
      <w:bCs/>
      <w:sz w:val="20"/>
      <w:szCs w:val="20"/>
    </w:rPr>
  </w:style>
  <w:style w:type="paragraph" w:customStyle="1" w:styleId="Default">
    <w:name w:val="Default"/>
    <w:rsid w:val="00E611D0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611D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A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redd.net/index.php?option=com_docman&amp;task=doc_download&amp;gid=11893&amp;Itemid=53" TargetMode="External"/><Relationship Id="rId18" Type="http://schemas.openxmlformats.org/officeDocument/2006/relationships/hyperlink" Target="http://www.merid.org/en/REDDSafeguards/~/media/Files/Projects/REDDSafeguards/REDDSafeguardsesnov24.pdf" TargetMode="External"/><Relationship Id="rId26" Type="http://schemas.openxmlformats.org/officeDocument/2006/relationships/hyperlink" Target="http://www.merid.org/en/REDDSafeguards/~/media/Files/Projects/REDDSafeguards/REDDSafeguardsesnov2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rid.org/en/REDDSafeguards/~/media/Files/Projects/REDDSafeguards/REDDSafeguardsesnov24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feguards@un-redd.org" TargetMode="External"/><Relationship Id="rId17" Type="http://schemas.openxmlformats.org/officeDocument/2006/relationships/hyperlink" Target="http://www.unredd.net/index.php?option=com_docman&amp;task=doc_download&amp;gid=11893&amp;Itemid=53" TargetMode="External"/><Relationship Id="rId25" Type="http://schemas.openxmlformats.org/officeDocument/2006/relationships/hyperlink" Target="http://www.unredd.net/index.php?option=com_docman&amp;task=doc_download&amp;gid=11893&amp;Itemid=5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nfccc.int/resource/docs/2010/cop16/spa/07a01s.pdf" TargetMode="External"/><Relationship Id="rId20" Type="http://schemas.openxmlformats.org/officeDocument/2006/relationships/hyperlink" Target="http://www.unredd.net/index.php?option=com_docman&amp;task=doc_download&amp;gid=11893&amp;Itemid=53" TargetMode="External"/><Relationship Id="rId29" Type="http://schemas.openxmlformats.org/officeDocument/2006/relationships/hyperlink" Target="http://unfccc.int/resource/docs/spanish/cop7/cp713a01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unredd.net/index.php?option=com_docman&amp;task=doc_download&amp;gid=11893&amp;Itemid=53" TargetMode="External"/><Relationship Id="rId32" Type="http://schemas.openxmlformats.org/officeDocument/2006/relationships/hyperlink" Target="http://unfccc.int/resource/docs/spanish/cop7/cp713a01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id.org/reddsafeguards" TargetMode="External"/><Relationship Id="rId23" Type="http://schemas.openxmlformats.org/officeDocument/2006/relationships/hyperlink" Target="http://unfccc.int/resource/docs/spanish/cop7/cp713a01s.pdf" TargetMode="External"/><Relationship Id="rId28" Type="http://schemas.openxmlformats.org/officeDocument/2006/relationships/hyperlink" Target="http://www.unredd.net/index.php?option=com_docman&amp;task=doc_download&amp;gid=11893&amp;Itemid=53" TargetMode="External"/><Relationship Id="rId10" Type="http://schemas.openxmlformats.org/officeDocument/2006/relationships/hyperlink" Target="http://www.unredd.net/index.php?option=com_unsubjects&amp;view=unsubject&amp;id=1&amp;Itemid=491" TargetMode="External"/><Relationship Id="rId19" Type="http://schemas.openxmlformats.org/officeDocument/2006/relationships/hyperlink" Target="http://www.unredd.net/index.php?option=com_docman&amp;task=doc_download&amp;gid=11893&amp;Itemid=53" TargetMode="External"/><Relationship Id="rId31" Type="http://schemas.openxmlformats.org/officeDocument/2006/relationships/hyperlink" Target="http://www.merid.org/en/REDDSafeguards/~/media/Files/Projects/REDDSafeguards/REDDSafeguardsesnov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redd.net/index.php?option=com_docman&amp;task=doc_download&amp;gid=11893&amp;Itemid=53" TargetMode="External"/><Relationship Id="rId14" Type="http://schemas.openxmlformats.org/officeDocument/2006/relationships/hyperlink" Target="http://www.unredd.net/index.php?view=download&amp;alias=14019-un-redd-programme-bert-guia-del-usuario-espanol-14019&amp;category_slug=un-redd-programme-bert-espanol-3601&amp;option=com_docman&amp;Itemid=134" TargetMode="External"/><Relationship Id="rId22" Type="http://schemas.openxmlformats.org/officeDocument/2006/relationships/hyperlink" Target="http://www.merid.org/en/REDDSafeguards/~/media/Files/Projects/REDDSafeguards/REDDSafeguardsesnov24.pdf" TargetMode="External"/><Relationship Id="rId27" Type="http://schemas.openxmlformats.org/officeDocument/2006/relationships/hyperlink" Target="http://www.oxforddictionaries.com/definition/english/safeguard" TargetMode="External"/><Relationship Id="rId30" Type="http://schemas.openxmlformats.org/officeDocument/2006/relationships/hyperlink" Target="http://www.unredd.net/index.php?option=com_docman&amp;task=doc_download&amp;gid=11893&amp;Itemid=53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28A714D9.dotm</Template>
  <TotalTime>24</TotalTime>
  <Pages>9</Pages>
  <Words>2788</Words>
  <Characters>15335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SWAN</dc:creator>
  <cp:lastModifiedBy>Autologon</cp:lastModifiedBy>
  <cp:revision>4</cp:revision>
  <dcterms:created xsi:type="dcterms:W3CDTF">2015-07-27T21:33:00Z</dcterms:created>
  <dcterms:modified xsi:type="dcterms:W3CDTF">2015-07-28T06:56:00Z</dcterms:modified>
</cp:coreProperties>
</file>