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19" w:rsidRPr="00C97309" w:rsidRDefault="00A05390" w:rsidP="000E1C0B">
      <w:pPr>
        <w:spacing w:after="0"/>
        <w:ind w:left="2832" w:firstLine="720"/>
        <w:rPr>
          <w:b/>
          <w:color w:val="244061"/>
          <w:sz w:val="32"/>
          <w:szCs w:val="32"/>
          <w:lang w:val="fr-FR"/>
        </w:rPr>
      </w:pPr>
      <w:r>
        <w:rPr>
          <w:noProof/>
          <w:lang w:val="fr-FR" w:eastAsia="fr-FR"/>
        </w:rPr>
        <w:drawing>
          <wp:anchor distT="0" distB="0" distL="114300" distR="114300" simplePos="0" relativeHeight="251659264" behindDoc="0" locked="0" layoutInCell="1" allowOverlap="1" wp14:anchorId="1466FFC3" wp14:editId="4E6E8653">
            <wp:simplePos x="0" y="0"/>
            <wp:positionH relativeFrom="column">
              <wp:posOffset>164465</wp:posOffset>
            </wp:positionH>
            <wp:positionV relativeFrom="paragraph">
              <wp:posOffset>-160655</wp:posOffset>
            </wp:positionV>
            <wp:extent cx="1771650" cy="1333500"/>
            <wp:effectExtent l="0" t="0" r="0" b="0"/>
            <wp:wrapNone/>
            <wp:docPr id="1" name="Picture 1"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_full_logo_EN"/>
                    <pic:cNvPicPr>
                      <a:picLocks noChangeAspect="1" noChangeArrowheads="1"/>
                    </pic:cNvPicPr>
                  </pic:nvPicPr>
                  <pic:blipFill>
                    <a:blip r:embed="rId9" cstate="print"/>
                    <a:srcRect/>
                    <a:stretch>
                      <a:fillRect/>
                    </a:stretch>
                  </pic:blipFill>
                  <pic:spPr bwMode="auto">
                    <a:xfrm>
                      <a:off x="0" y="0"/>
                      <a:ext cx="1771650" cy="1333500"/>
                    </a:xfrm>
                    <a:prstGeom prst="rect">
                      <a:avLst/>
                    </a:prstGeom>
                    <a:noFill/>
                    <a:ln w="9525">
                      <a:noFill/>
                      <a:miter lim="800000"/>
                      <a:headEnd/>
                      <a:tailEnd/>
                    </a:ln>
                  </pic:spPr>
                </pic:pic>
              </a:graphicData>
            </a:graphic>
          </wp:anchor>
        </w:drawing>
      </w:r>
      <w:r w:rsidR="009B4319" w:rsidRPr="00C97309">
        <w:rPr>
          <w:b/>
          <w:color w:val="244061"/>
          <w:sz w:val="32"/>
          <w:szCs w:val="32"/>
          <w:lang w:val="fr-FR"/>
        </w:rPr>
        <w:t>DEMANDE D’APPUI CIBLÉ</w:t>
      </w:r>
    </w:p>
    <w:p w:rsidR="000E1C0B" w:rsidRDefault="009B4319" w:rsidP="003C21F9">
      <w:pPr>
        <w:spacing w:after="0"/>
        <w:ind w:left="3600"/>
        <w:rPr>
          <w:i/>
          <w:color w:val="244061"/>
          <w:sz w:val="26"/>
          <w:szCs w:val="26"/>
          <w:lang w:val="fr-FR"/>
        </w:rPr>
      </w:pPr>
      <w:r w:rsidRPr="00C97309">
        <w:rPr>
          <w:i/>
          <w:color w:val="244061"/>
          <w:sz w:val="26"/>
          <w:szCs w:val="26"/>
          <w:lang w:val="fr-FR"/>
        </w:rPr>
        <w:t xml:space="preserve"> « </w:t>
      </w:r>
      <w:r w:rsidR="007371CE">
        <w:rPr>
          <w:i/>
          <w:color w:val="244061"/>
          <w:sz w:val="26"/>
          <w:szCs w:val="26"/>
          <w:lang w:val="fr-FR"/>
        </w:rPr>
        <w:t xml:space="preserve">Soutien au processus de </w:t>
      </w:r>
      <w:r w:rsidR="00D40DC0">
        <w:rPr>
          <w:i/>
          <w:color w:val="244061"/>
          <w:sz w:val="26"/>
          <w:szCs w:val="26"/>
          <w:lang w:val="fr-FR"/>
        </w:rPr>
        <w:t xml:space="preserve">construction, l’établissement et la </w:t>
      </w:r>
      <w:r w:rsidR="007371CE" w:rsidRPr="007371CE">
        <w:rPr>
          <w:i/>
          <w:color w:val="244061"/>
          <w:sz w:val="26"/>
          <w:szCs w:val="26"/>
          <w:lang w:val="fr-FR"/>
        </w:rPr>
        <w:t>soumission d’un niveau d’émissions de référence pour les forêts NERF</w:t>
      </w:r>
      <w:r w:rsidR="00D40DC0" w:rsidRPr="00D40DC0">
        <w:rPr>
          <w:i/>
          <w:color w:val="244061"/>
          <w:sz w:val="26"/>
          <w:szCs w:val="26"/>
          <w:lang w:val="fr-FR"/>
        </w:rPr>
        <w:t xml:space="preserve"> </w:t>
      </w:r>
      <w:r w:rsidR="00D40DC0">
        <w:rPr>
          <w:i/>
          <w:color w:val="244061"/>
          <w:sz w:val="26"/>
          <w:szCs w:val="26"/>
          <w:lang w:val="fr-FR"/>
        </w:rPr>
        <w:t>en la RDC</w:t>
      </w:r>
      <w:r w:rsidRPr="00C97309">
        <w:rPr>
          <w:i/>
          <w:color w:val="244061"/>
          <w:sz w:val="26"/>
          <w:szCs w:val="26"/>
          <w:lang w:val="fr-FR"/>
        </w:rPr>
        <w:t>»</w:t>
      </w:r>
    </w:p>
    <w:tbl>
      <w:tblPr>
        <w:tblpPr w:leftFromText="180" w:rightFromText="180" w:vertAnchor="text" w:horzAnchor="margin" w:tblpY="1390"/>
        <w:tblW w:w="9493"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CellMar>
          <w:top w:w="115" w:type="dxa"/>
          <w:left w:w="115" w:type="dxa"/>
          <w:bottom w:w="115" w:type="dxa"/>
          <w:right w:w="115" w:type="dxa"/>
        </w:tblCellMar>
        <w:tblLook w:val="00A0" w:firstRow="1" w:lastRow="0" w:firstColumn="1" w:lastColumn="0" w:noHBand="0" w:noVBand="0"/>
      </w:tblPr>
      <w:tblGrid>
        <w:gridCol w:w="3403"/>
        <w:gridCol w:w="6090"/>
      </w:tblGrid>
      <w:tr w:rsidR="000E1C0B" w:rsidRPr="00FE1C7E" w:rsidTr="0025681E">
        <w:trPr>
          <w:trHeight w:val="19"/>
        </w:trPr>
        <w:tc>
          <w:tcPr>
            <w:tcW w:w="9493" w:type="dxa"/>
            <w:gridSpan w:val="2"/>
            <w:tcBorders>
              <w:top w:val="single" w:sz="12" w:space="0" w:color="1F497D"/>
            </w:tcBorders>
            <w:shd w:val="clear" w:color="auto" w:fill="DBE5F1"/>
          </w:tcPr>
          <w:p w:rsidR="000E1C0B" w:rsidRPr="00C7763D" w:rsidRDefault="009201BA" w:rsidP="009201BA">
            <w:pPr>
              <w:spacing w:after="0" w:line="240" w:lineRule="auto"/>
              <w:rPr>
                <w:b/>
                <w:bCs/>
                <w:i/>
                <w:color w:val="244061"/>
                <w:lang w:val="fr-FR"/>
              </w:rPr>
            </w:pPr>
            <w:r>
              <w:rPr>
                <w:b/>
                <w:bCs/>
                <w:i/>
                <w:color w:val="244061"/>
                <w:lang w:val="fr-FR"/>
              </w:rPr>
              <w:t>I.  RÉSUMÉ DE LA DEMANDE</w:t>
            </w:r>
          </w:p>
        </w:tc>
      </w:tr>
      <w:tr w:rsidR="000E1C0B" w:rsidRPr="00FE1C7E" w:rsidTr="0025681E">
        <w:trPr>
          <w:trHeight w:val="778"/>
        </w:trPr>
        <w:tc>
          <w:tcPr>
            <w:tcW w:w="3403" w:type="dxa"/>
            <w:shd w:val="clear" w:color="auto" w:fill="DBE5F1"/>
          </w:tcPr>
          <w:p w:rsidR="000E1C0B" w:rsidRPr="00C7763D" w:rsidRDefault="000E1C0B" w:rsidP="0025681E">
            <w:pPr>
              <w:spacing w:after="100" w:line="240" w:lineRule="auto"/>
              <w:rPr>
                <w:bCs/>
                <w:i/>
                <w:color w:val="244061"/>
                <w:lang w:val="fr-FR"/>
              </w:rPr>
            </w:pPr>
            <w:r w:rsidRPr="00C7763D">
              <w:rPr>
                <w:bCs/>
                <w:i/>
                <w:color w:val="244061"/>
                <w:lang w:val="fr-FR"/>
              </w:rPr>
              <w:t>Objectif principal</w:t>
            </w:r>
          </w:p>
          <w:p w:rsidR="000E1C0B" w:rsidRPr="00C7763D" w:rsidRDefault="000E1C0B" w:rsidP="0025681E">
            <w:pPr>
              <w:rPr>
                <w:i/>
                <w:lang w:val="fr-FR"/>
              </w:rPr>
            </w:pPr>
          </w:p>
          <w:p w:rsidR="000E1C0B" w:rsidRPr="00C7763D" w:rsidRDefault="000E1C0B" w:rsidP="0025681E">
            <w:pPr>
              <w:jc w:val="center"/>
              <w:rPr>
                <w:i/>
                <w:lang w:val="fr-FR"/>
              </w:rPr>
            </w:pPr>
          </w:p>
        </w:tc>
        <w:tc>
          <w:tcPr>
            <w:tcW w:w="6090" w:type="dxa"/>
            <w:shd w:val="clear" w:color="auto" w:fill="FFFFFF"/>
          </w:tcPr>
          <w:p w:rsidR="000E1C0B" w:rsidRPr="00C7763D" w:rsidRDefault="000E1C0B" w:rsidP="0025681E">
            <w:pPr>
              <w:spacing w:after="0" w:line="240" w:lineRule="auto"/>
              <w:rPr>
                <w:i/>
                <w:color w:val="244061"/>
                <w:lang w:val="fr-FR"/>
              </w:rPr>
            </w:pPr>
            <w:r w:rsidRPr="00C7763D">
              <w:rPr>
                <w:i/>
                <w:color w:val="244061"/>
                <w:lang w:val="fr-FR"/>
              </w:rPr>
              <w:t xml:space="preserve">L’objectif de cet appui ciblé est de soutenir techniquement et financièrement le processus de construction, l’établissement et la soumission  à la CCNUCC  d’un niveau d’émissions de référence pour les forêts (NERF) de la  République Démocratique du Congo  lors de la CoP-21 </w:t>
            </w:r>
            <w:r w:rsidRPr="00C7763D">
              <w:rPr>
                <w:i/>
                <w:lang w:val="fr-FR"/>
              </w:rPr>
              <w:t xml:space="preserve"> </w:t>
            </w:r>
            <w:r w:rsidRPr="00C7763D">
              <w:rPr>
                <w:i/>
                <w:color w:val="244061"/>
                <w:lang w:val="fr-FR"/>
              </w:rPr>
              <w:t>de Paris (Décembre 2015).</w:t>
            </w:r>
          </w:p>
          <w:p w:rsidR="000E1C0B" w:rsidRPr="00C7763D" w:rsidRDefault="000E1C0B" w:rsidP="0025681E">
            <w:pPr>
              <w:spacing w:after="0" w:line="240" w:lineRule="auto"/>
              <w:rPr>
                <w:i/>
                <w:color w:val="244061"/>
                <w:lang w:val="fr-FR"/>
              </w:rPr>
            </w:pPr>
          </w:p>
          <w:p w:rsidR="000E1C0B" w:rsidRPr="00C7763D" w:rsidRDefault="000E1C0B" w:rsidP="0025681E">
            <w:pPr>
              <w:spacing w:after="0" w:line="240" w:lineRule="auto"/>
              <w:rPr>
                <w:i/>
                <w:color w:val="244061"/>
                <w:lang w:val="fr-FR"/>
              </w:rPr>
            </w:pPr>
          </w:p>
          <w:p w:rsidR="000E1C0B" w:rsidRPr="00C7763D" w:rsidRDefault="000E1C0B" w:rsidP="0025681E">
            <w:pPr>
              <w:spacing w:after="0" w:line="240" w:lineRule="auto"/>
              <w:rPr>
                <w:i/>
                <w:color w:val="244061"/>
                <w:lang w:val="fr-FR"/>
              </w:rPr>
            </w:pPr>
          </w:p>
          <w:p w:rsidR="000E1C0B" w:rsidRPr="00C7763D" w:rsidRDefault="000E1C0B" w:rsidP="0025681E">
            <w:pPr>
              <w:spacing w:after="0" w:line="240" w:lineRule="auto"/>
              <w:rPr>
                <w:i/>
                <w:color w:val="244061"/>
                <w:lang w:val="fr-FR"/>
              </w:rPr>
            </w:pPr>
          </w:p>
          <w:p w:rsidR="000E1C0B" w:rsidRPr="00C7763D" w:rsidRDefault="000E1C0B" w:rsidP="0025681E">
            <w:pPr>
              <w:spacing w:after="0" w:line="240" w:lineRule="auto"/>
              <w:rPr>
                <w:i/>
                <w:color w:val="244061"/>
                <w:sz w:val="16"/>
                <w:szCs w:val="16"/>
                <w:lang w:val="fr-FR"/>
              </w:rPr>
            </w:pPr>
          </w:p>
        </w:tc>
      </w:tr>
      <w:tr w:rsidR="000E1C0B" w:rsidRPr="00FE1C7E" w:rsidTr="0025681E">
        <w:trPr>
          <w:trHeight w:val="4637"/>
        </w:trPr>
        <w:tc>
          <w:tcPr>
            <w:tcW w:w="3403" w:type="dxa"/>
            <w:shd w:val="clear" w:color="auto" w:fill="DBE5F1"/>
          </w:tcPr>
          <w:p w:rsidR="000E1C0B" w:rsidRPr="00C7763D" w:rsidRDefault="000E1C0B" w:rsidP="0025681E">
            <w:pPr>
              <w:spacing w:after="0" w:line="240" w:lineRule="auto"/>
              <w:rPr>
                <w:bCs/>
                <w:i/>
                <w:color w:val="244061"/>
                <w:lang w:val="fr-FR"/>
              </w:rPr>
            </w:pPr>
            <w:r w:rsidRPr="00C7763D">
              <w:rPr>
                <w:bCs/>
                <w:i/>
                <w:color w:val="244061"/>
                <w:lang w:val="fr-FR"/>
              </w:rPr>
              <w:t>Résultats principaux prévus</w:t>
            </w:r>
          </w:p>
        </w:tc>
        <w:tc>
          <w:tcPr>
            <w:tcW w:w="6090" w:type="dxa"/>
            <w:shd w:val="clear" w:color="auto" w:fill="FFFFFF"/>
          </w:tcPr>
          <w:p w:rsidR="000E1C0B" w:rsidRPr="00C7763D" w:rsidRDefault="000E1C0B" w:rsidP="0025681E">
            <w:pPr>
              <w:pStyle w:val="Prrafodelista"/>
              <w:numPr>
                <w:ilvl w:val="0"/>
                <w:numId w:val="11"/>
              </w:numPr>
              <w:spacing w:after="0" w:line="240" w:lineRule="auto"/>
              <w:ind w:left="287" w:hanging="270"/>
              <w:rPr>
                <w:i/>
                <w:color w:val="244061"/>
                <w:lang w:val="fr-FR"/>
              </w:rPr>
            </w:pPr>
            <w:r w:rsidRPr="00C7763D">
              <w:rPr>
                <w:b/>
                <w:i/>
                <w:color w:val="244061"/>
                <w:lang w:val="fr-FR"/>
              </w:rPr>
              <w:t>Définition de la forêt</w:t>
            </w:r>
            <w:r w:rsidRPr="00C7763D">
              <w:rPr>
                <w:i/>
                <w:color w:val="244061"/>
                <w:lang w:val="fr-FR"/>
              </w:rPr>
              <w:t> : clarifier certains</w:t>
            </w:r>
            <w:r w:rsidRPr="00C7763D">
              <w:rPr>
                <w:i/>
                <w:lang w:val="fr-FR"/>
              </w:rPr>
              <w:t xml:space="preserve"> </w:t>
            </w:r>
            <w:r w:rsidRPr="00C7763D">
              <w:rPr>
                <w:i/>
                <w:color w:val="244061"/>
                <w:lang w:val="fr-FR"/>
              </w:rPr>
              <w:t>éléments de la définition, notamment l’usage des terres et la catégorisation des plantations pérennes.</w:t>
            </w:r>
          </w:p>
          <w:p w:rsidR="000E1C0B" w:rsidRPr="00C7763D" w:rsidRDefault="000E1C0B" w:rsidP="0025681E">
            <w:pPr>
              <w:pStyle w:val="Prrafodelista"/>
              <w:numPr>
                <w:ilvl w:val="0"/>
                <w:numId w:val="11"/>
              </w:numPr>
              <w:spacing w:after="0" w:line="240" w:lineRule="auto"/>
              <w:ind w:left="287" w:hanging="270"/>
              <w:rPr>
                <w:i/>
                <w:color w:val="244061"/>
                <w:lang w:val="fr-FR"/>
              </w:rPr>
            </w:pPr>
            <w:r w:rsidRPr="00C7763D">
              <w:rPr>
                <w:b/>
                <w:i/>
                <w:color w:val="244061"/>
                <w:lang w:val="fr-FR"/>
              </w:rPr>
              <w:t>Echelle</w:t>
            </w:r>
            <w:r w:rsidRPr="00C7763D">
              <w:rPr>
                <w:i/>
                <w:color w:val="244061"/>
                <w:lang w:val="fr-FR"/>
              </w:rPr>
              <w:t xml:space="preserve"> : Déterminer les régions (provinces, territoires, biomes) qui feront partie du NERF, </w:t>
            </w:r>
            <w:r w:rsidRPr="00C7763D">
              <w:rPr>
                <w:i/>
                <w:lang w:val="fr-FR"/>
              </w:rPr>
              <w:t xml:space="preserve"> </w:t>
            </w:r>
            <w:r w:rsidRPr="00C7763D">
              <w:rPr>
                <w:i/>
                <w:color w:val="244061"/>
                <w:lang w:val="fr-FR"/>
              </w:rPr>
              <w:t>en fonction de certains critères de sélection techniques et institutionnels</w:t>
            </w:r>
          </w:p>
          <w:p w:rsidR="000E1C0B" w:rsidRPr="00C7763D" w:rsidRDefault="000E1C0B" w:rsidP="0025681E">
            <w:pPr>
              <w:pStyle w:val="Prrafodelista"/>
              <w:numPr>
                <w:ilvl w:val="0"/>
                <w:numId w:val="11"/>
              </w:numPr>
              <w:spacing w:after="0" w:line="240" w:lineRule="auto"/>
              <w:ind w:left="287" w:hanging="270"/>
              <w:rPr>
                <w:i/>
                <w:color w:val="244061"/>
                <w:lang w:val="fr-FR"/>
              </w:rPr>
            </w:pPr>
            <w:r w:rsidRPr="00C7763D">
              <w:rPr>
                <w:b/>
                <w:i/>
                <w:color w:val="244061"/>
                <w:lang w:val="fr-FR"/>
              </w:rPr>
              <w:t>Portée </w:t>
            </w:r>
            <w:r w:rsidRPr="00C7763D">
              <w:rPr>
                <w:i/>
                <w:color w:val="244061"/>
                <w:lang w:val="fr-FR"/>
              </w:rPr>
              <w:t>: a) Inclure les activités liées à la Déforestations.  b) Soumettre une estimation  des émissions historiques conservatrice des activités liées à la dégradation de la forêt.</w:t>
            </w:r>
          </w:p>
          <w:p w:rsidR="000E1C0B" w:rsidRPr="00C7763D" w:rsidRDefault="000E1C0B" w:rsidP="0025681E">
            <w:pPr>
              <w:pStyle w:val="Prrafodelista"/>
              <w:numPr>
                <w:ilvl w:val="0"/>
                <w:numId w:val="11"/>
              </w:numPr>
              <w:spacing w:after="0" w:line="240" w:lineRule="auto"/>
              <w:ind w:left="287" w:hanging="270"/>
              <w:rPr>
                <w:i/>
                <w:color w:val="244061"/>
                <w:lang w:val="fr-FR"/>
              </w:rPr>
            </w:pPr>
            <w:r w:rsidRPr="00C7763D">
              <w:rPr>
                <w:b/>
                <w:i/>
                <w:color w:val="244061"/>
                <w:lang w:val="fr-FR"/>
              </w:rPr>
              <w:t>Données</w:t>
            </w:r>
            <w:r w:rsidRPr="00C7763D">
              <w:rPr>
                <w:i/>
                <w:color w:val="244061"/>
                <w:lang w:val="fr-FR"/>
              </w:rPr>
              <w:t>: Centraliser et harmoniser les données  d’activités et de  Facteurs d’émissions disponibles.</w:t>
            </w:r>
          </w:p>
          <w:p w:rsidR="000E1C0B" w:rsidRPr="00C7763D" w:rsidRDefault="000E1C0B" w:rsidP="0025681E">
            <w:pPr>
              <w:pStyle w:val="Prrafodelista"/>
              <w:numPr>
                <w:ilvl w:val="0"/>
                <w:numId w:val="11"/>
              </w:numPr>
              <w:spacing w:after="0" w:line="240" w:lineRule="auto"/>
              <w:ind w:left="287" w:hanging="270"/>
              <w:rPr>
                <w:i/>
                <w:color w:val="244061"/>
                <w:lang w:val="fr-FR"/>
              </w:rPr>
            </w:pPr>
            <w:r w:rsidRPr="00C7763D">
              <w:rPr>
                <w:b/>
                <w:i/>
                <w:color w:val="244061"/>
                <w:lang w:val="fr-FR"/>
              </w:rPr>
              <w:t>Approche de construction</w:t>
            </w:r>
            <w:r w:rsidRPr="00C7763D">
              <w:rPr>
                <w:i/>
                <w:color w:val="244061"/>
                <w:lang w:val="fr-FR"/>
              </w:rPr>
              <w:t>: étudier les émissions historiques et établir les tendances possibles</w:t>
            </w:r>
          </w:p>
          <w:p w:rsidR="000E1C0B" w:rsidRPr="00C7763D" w:rsidRDefault="000E1C0B" w:rsidP="0025681E">
            <w:pPr>
              <w:pStyle w:val="Prrafodelista"/>
              <w:numPr>
                <w:ilvl w:val="0"/>
                <w:numId w:val="11"/>
              </w:numPr>
              <w:spacing w:after="0" w:line="240" w:lineRule="auto"/>
              <w:ind w:left="287" w:hanging="270"/>
              <w:rPr>
                <w:i/>
                <w:color w:val="244061"/>
                <w:lang w:val="fr-FR"/>
              </w:rPr>
            </w:pPr>
            <w:r w:rsidRPr="00C7763D">
              <w:rPr>
                <w:b/>
                <w:i/>
                <w:color w:val="244061"/>
                <w:lang w:val="fr-FR"/>
              </w:rPr>
              <w:t>Ajustement</w:t>
            </w:r>
            <w:r w:rsidRPr="00C7763D">
              <w:rPr>
                <w:i/>
                <w:color w:val="244061"/>
                <w:lang w:val="fr-FR"/>
              </w:rPr>
              <w:t>: Développer un ajustement incluant certains facteurs notamment la croissance démographique anticipée, l’accessibilité et les plans de développement du territoire</w:t>
            </w:r>
          </w:p>
          <w:p w:rsidR="000E1C0B" w:rsidRPr="00C7763D" w:rsidRDefault="000E1C0B" w:rsidP="0025681E">
            <w:pPr>
              <w:pStyle w:val="Prrafodelista"/>
              <w:numPr>
                <w:ilvl w:val="0"/>
                <w:numId w:val="11"/>
              </w:numPr>
              <w:spacing w:after="0" w:line="240" w:lineRule="auto"/>
              <w:ind w:left="287" w:hanging="270"/>
              <w:rPr>
                <w:i/>
                <w:color w:val="244061"/>
                <w:lang w:val="fr-FR"/>
              </w:rPr>
            </w:pPr>
            <w:r w:rsidRPr="00C7763D">
              <w:rPr>
                <w:i/>
                <w:color w:val="244061"/>
                <w:lang w:val="fr-FR"/>
              </w:rPr>
              <w:t>Soumettre le NERF lors de la COP21</w:t>
            </w:r>
            <w:r w:rsidRPr="00C7763D">
              <w:rPr>
                <w:i/>
                <w:lang w:val="fr-FR"/>
              </w:rPr>
              <w:t xml:space="preserve"> </w:t>
            </w:r>
            <w:r w:rsidRPr="00C7763D">
              <w:rPr>
                <w:i/>
                <w:color w:val="244061"/>
                <w:lang w:val="fr-FR"/>
              </w:rPr>
              <w:t>de Paris (Décembre 2015).</w:t>
            </w:r>
          </w:p>
          <w:p w:rsidR="000E1C0B" w:rsidRPr="00C7763D" w:rsidRDefault="000E1C0B" w:rsidP="0025681E">
            <w:pPr>
              <w:spacing w:after="0" w:line="240" w:lineRule="auto"/>
              <w:rPr>
                <w:i/>
                <w:color w:val="244061"/>
                <w:sz w:val="16"/>
                <w:szCs w:val="16"/>
                <w:lang w:val="fr-FR"/>
              </w:rPr>
            </w:pPr>
          </w:p>
        </w:tc>
      </w:tr>
      <w:tr w:rsidR="000E1C0B" w:rsidRPr="00C97309" w:rsidTr="0025681E">
        <w:trPr>
          <w:trHeight w:val="234"/>
        </w:trPr>
        <w:tc>
          <w:tcPr>
            <w:tcW w:w="3403" w:type="dxa"/>
            <w:shd w:val="clear" w:color="auto" w:fill="DBE5F1"/>
          </w:tcPr>
          <w:p w:rsidR="000E1C0B" w:rsidRPr="00C7763D" w:rsidRDefault="000E1C0B" w:rsidP="0025681E">
            <w:pPr>
              <w:spacing w:after="0" w:line="240" w:lineRule="auto"/>
              <w:rPr>
                <w:bCs/>
                <w:i/>
                <w:color w:val="244061"/>
                <w:lang w:val="fr-FR"/>
              </w:rPr>
            </w:pPr>
            <w:r w:rsidRPr="00C7763D">
              <w:rPr>
                <w:bCs/>
                <w:i/>
                <w:color w:val="244061"/>
                <w:lang w:val="fr-FR"/>
              </w:rPr>
              <w:t xml:space="preserve">Montant total demandé (USD) </w:t>
            </w:r>
          </w:p>
        </w:tc>
        <w:tc>
          <w:tcPr>
            <w:tcW w:w="6090" w:type="dxa"/>
            <w:shd w:val="clear" w:color="auto" w:fill="FFFFFF"/>
          </w:tcPr>
          <w:p w:rsidR="000E1C0B" w:rsidRPr="00C7763D" w:rsidRDefault="009201BA" w:rsidP="0025681E">
            <w:pPr>
              <w:spacing w:after="0" w:line="240" w:lineRule="auto"/>
              <w:rPr>
                <w:i/>
                <w:color w:val="244061"/>
                <w:lang w:val="fr-FR"/>
              </w:rPr>
            </w:pPr>
            <w:r>
              <w:rPr>
                <w:i/>
                <w:color w:val="000000"/>
                <w:lang w:val="fr-FR"/>
              </w:rPr>
              <w:t>USD 3</w:t>
            </w:r>
            <w:r w:rsidR="00AF44AD">
              <w:rPr>
                <w:i/>
                <w:color w:val="000000"/>
                <w:lang w:val="fr-FR"/>
              </w:rPr>
              <w:t>35</w:t>
            </w:r>
            <w:r>
              <w:rPr>
                <w:i/>
                <w:color w:val="000000"/>
                <w:lang w:val="fr-FR"/>
              </w:rPr>
              <w:t>,</w:t>
            </w:r>
            <w:r w:rsidR="00AF44AD">
              <w:rPr>
                <w:i/>
                <w:color w:val="000000"/>
                <w:lang w:val="fr-FR"/>
              </w:rPr>
              <w:t>354</w:t>
            </w:r>
          </w:p>
        </w:tc>
      </w:tr>
      <w:tr w:rsidR="000E1C0B" w:rsidRPr="00FE1C7E" w:rsidTr="0025681E">
        <w:tc>
          <w:tcPr>
            <w:tcW w:w="3403" w:type="dxa"/>
            <w:shd w:val="clear" w:color="auto" w:fill="DBE5F1"/>
          </w:tcPr>
          <w:p w:rsidR="000E1C0B" w:rsidRPr="00C7763D" w:rsidRDefault="000E1C0B" w:rsidP="0025681E">
            <w:pPr>
              <w:pStyle w:val="Default"/>
              <w:rPr>
                <w:bCs/>
                <w:i/>
                <w:color w:val="244061"/>
                <w:sz w:val="22"/>
                <w:szCs w:val="22"/>
                <w:lang w:val="fr-FR"/>
              </w:rPr>
            </w:pPr>
            <w:r w:rsidRPr="00C7763D">
              <w:rPr>
                <w:bCs/>
                <w:i/>
                <w:color w:val="244061"/>
                <w:sz w:val="22"/>
                <w:szCs w:val="22"/>
                <w:lang w:val="fr-FR"/>
              </w:rPr>
              <w:t xml:space="preserve">Domaine(s) d’activité concerné(s) défini(s) dans la </w:t>
            </w:r>
            <w:hyperlink r:id="rId10" w:history="1">
              <w:r w:rsidRPr="00C7763D">
                <w:rPr>
                  <w:rStyle w:val="Hipervnculo"/>
                  <w:rFonts w:cs="Calibri"/>
                  <w:b/>
                  <w:bCs/>
                  <w:i/>
                  <w:color w:val="244061"/>
                  <w:sz w:val="22"/>
                  <w:szCs w:val="22"/>
                  <w:lang w:val="fr-FR"/>
                </w:rPr>
                <w:t>Stratégie du Programme ONU-REDD</w:t>
              </w:r>
            </w:hyperlink>
            <w:r w:rsidRPr="00C7763D">
              <w:rPr>
                <w:rStyle w:val="Hipervnculo"/>
                <w:rFonts w:cs="Calibri"/>
                <w:b/>
                <w:bCs/>
                <w:i/>
                <w:color w:val="244061"/>
                <w:sz w:val="22"/>
                <w:szCs w:val="22"/>
                <w:lang w:val="fr-FR"/>
              </w:rPr>
              <w:t xml:space="preserve"> 2011-2015</w:t>
            </w:r>
            <w:r w:rsidRPr="00C7763D">
              <w:rPr>
                <w:bCs/>
                <w:i/>
                <w:color w:val="244061"/>
                <w:sz w:val="22"/>
                <w:szCs w:val="22"/>
                <w:lang w:val="fr-FR"/>
              </w:rPr>
              <w:t xml:space="preserve"> </w:t>
            </w:r>
          </w:p>
        </w:tc>
        <w:tc>
          <w:tcPr>
            <w:tcW w:w="6090" w:type="dxa"/>
            <w:shd w:val="clear" w:color="auto" w:fill="FFFFFF"/>
          </w:tcPr>
          <w:p w:rsidR="000E1C0B" w:rsidRPr="00A05390" w:rsidRDefault="00A05390" w:rsidP="00A05390">
            <w:pPr>
              <w:spacing w:after="0" w:line="240" w:lineRule="auto"/>
              <w:rPr>
                <w:i/>
                <w:color w:val="244061"/>
                <w:lang w:val="fr-FR"/>
              </w:rPr>
            </w:pPr>
            <w:r>
              <w:rPr>
                <w:i/>
                <w:szCs w:val="26"/>
                <w:lang w:val="fr-FR"/>
              </w:rPr>
              <w:t xml:space="preserve">S &amp; MNV et </w:t>
            </w:r>
            <w:r w:rsidRPr="00A05390">
              <w:rPr>
                <w:i/>
                <w:szCs w:val="26"/>
                <w:lang w:val="fr-FR"/>
              </w:rPr>
              <w:t>Niveau d’Émissions de Référence pour les Forêts</w:t>
            </w:r>
          </w:p>
        </w:tc>
      </w:tr>
      <w:tr w:rsidR="000E1C0B" w:rsidRPr="00C97309" w:rsidTr="0025681E">
        <w:trPr>
          <w:trHeight w:val="488"/>
        </w:trPr>
        <w:tc>
          <w:tcPr>
            <w:tcW w:w="3403" w:type="dxa"/>
            <w:shd w:val="clear" w:color="auto" w:fill="DBE5F1"/>
          </w:tcPr>
          <w:p w:rsidR="000E1C0B" w:rsidRPr="00C7763D" w:rsidRDefault="000E1C0B" w:rsidP="0025681E">
            <w:pPr>
              <w:spacing w:after="0" w:line="240" w:lineRule="auto"/>
              <w:rPr>
                <w:bCs/>
                <w:i/>
                <w:color w:val="244061"/>
                <w:lang w:val="fr-FR"/>
              </w:rPr>
            </w:pPr>
            <w:r w:rsidRPr="00C7763D">
              <w:rPr>
                <w:bCs/>
                <w:i/>
                <w:color w:val="244061"/>
                <w:lang w:val="fr-FR"/>
              </w:rPr>
              <w:t>Période prévue de mise en œuvre</w:t>
            </w:r>
          </w:p>
        </w:tc>
        <w:tc>
          <w:tcPr>
            <w:tcW w:w="6090" w:type="dxa"/>
            <w:shd w:val="clear" w:color="auto" w:fill="FFFFFF"/>
          </w:tcPr>
          <w:p w:rsidR="000E1C0B" w:rsidRPr="00C7763D" w:rsidRDefault="00AF44AD" w:rsidP="0025681E">
            <w:pPr>
              <w:spacing w:after="0" w:line="240" w:lineRule="auto"/>
              <w:rPr>
                <w:i/>
                <w:color w:val="244061"/>
                <w:lang w:val="fr-FR"/>
              </w:rPr>
            </w:pPr>
            <w:r>
              <w:rPr>
                <w:i/>
                <w:color w:val="000000"/>
                <w:lang w:val="fr-FR"/>
              </w:rPr>
              <w:t>juin-décembre</w:t>
            </w:r>
            <w:r w:rsidR="00DD0A0E">
              <w:rPr>
                <w:i/>
                <w:color w:val="000000"/>
                <w:lang w:val="fr-FR"/>
              </w:rPr>
              <w:t xml:space="preserve"> 2015</w:t>
            </w:r>
          </w:p>
        </w:tc>
      </w:tr>
      <w:tr w:rsidR="000E1C0B" w:rsidRPr="00FE1C7E" w:rsidTr="0025681E">
        <w:trPr>
          <w:trHeight w:val="174"/>
        </w:trPr>
        <w:tc>
          <w:tcPr>
            <w:tcW w:w="9493" w:type="dxa"/>
            <w:gridSpan w:val="2"/>
            <w:shd w:val="clear" w:color="auto" w:fill="DBE5F1"/>
          </w:tcPr>
          <w:p w:rsidR="000E1C0B" w:rsidRPr="00C7763D" w:rsidRDefault="000E1C0B" w:rsidP="0025681E">
            <w:pPr>
              <w:widowControl w:val="0"/>
              <w:autoSpaceDE w:val="0"/>
              <w:autoSpaceDN w:val="0"/>
              <w:adjustRightInd w:val="0"/>
              <w:spacing w:after="0" w:line="240" w:lineRule="auto"/>
              <w:rPr>
                <w:rFonts w:cs="Calibri"/>
                <w:bCs/>
                <w:i/>
                <w:color w:val="244061"/>
                <w:lang w:val="fr-FR"/>
              </w:rPr>
            </w:pPr>
            <w:r w:rsidRPr="00C7763D">
              <w:rPr>
                <w:rFonts w:cs="Calibri"/>
                <w:bCs/>
                <w:i/>
                <w:color w:val="244061"/>
                <w:lang w:val="fr-FR"/>
              </w:rPr>
              <w:lastRenderedPageBreak/>
              <w:t>Veuillez sélectionner ci-dessous le type de financement approprié :</w:t>
            </w:r>
          </w:p>
        </w:tc>
      </w:tr>
      <w:tr w:rsidR="000E1C0B" w:rsidRPr="00FE1C7E" w:rsidTr="0025681E">
        <w:trPr>
          <w:trHeight w:val="155"/>
        </w:trPr>
        <w:tc>
          <w:tcPr>
            <w:tcW w:w="9493" w:type="dxa"/>
            <w:gridSpan w:val="2"/>
            <w:tcBorders>
              <w:bottom w:val="single" w:sz="12" w:space="0" w:color="1F497D"/>
            </w:tcBorders>
          </w:tcPr>
          <w:p w:rsidR="000E1C0B" w:rsidRPr="00C7763D" w:rsidRDefault="000E1C0B" w:rsidP="0025681E">
            <w:pPr>
              <w:widowControl w:val="0"/>
              <w:shd w:val="clear" w:color="auto" w:fill="FFFFFF"/>
              <w:autoSpaceDE w:val="0"/>
              <w:autoSpaceDN w:val="0"/>
              <w:adjustRightInd w:val="0"/>
              <w:spacing w:after="0" w:line="240" w:lineRule="auto"/>
              <w:rPr>
                <w:rFonts w:cs="Calibri"/>
                <w:bCs/>
                <w:i/>
                <w:color w:val="244061"/>
                <w:sz w:val="20"/>
                <w:szCs w:val="20"/>
                <w:lang w:val="fr-FR"/>
              </w:rPr>
            </w:pPr>
            <w:r w:rsidRPr="00C7763D">
              <w:rPr>
                <w:rFonts w:cs="Calibri"/>
                <w:bCs/>
                <w:i/>
                <w:color w:val="244061"/>
                <w:sz w:val="20"/>
                <w:szCs w:val="20"/>
                <w:lang w:val="fr-FR"/>
              </w:rPr>
              <w:sym w:font="Wingdings" w:char="F071"/>
            </w:r>
            <w:r w:rsidRPr="00C7763D">
              <w:rPr>
                <w:rFonts w:cs="Calibri"/>
                <w:bCs/>
                <w:i/>
                <w:color w:val="244061"/>
                <w:sz w:val="20"/>
                <w:szCs w:val="20"/>
                <w:lang w:val="fr-FR"/>
              </w:rPr>
              <w:t xml:space="preserve">  Demande de financement d’activités REDD+ mises en œuvre à l’appui des Programmes nationaux ONU-REDD existants. </w:t>
            </w:r>
          </w:p>
          <w:p w:rsidR="000E1C0B" w:rsidRPr="00C7763D" w:rsidRDefault="00DD0A0E" w:rsidP="0025681E">
            <w:pPr>
              <w:widowControl w:val="0"/>
              <w:shd w:val="clear" w:color="auto" w:fill="DBE5F1"/>
              <w:autoSpaceDE w:val="0"/>
              <w:autoSpaceDN w:val="0"/>
              <w:adjustRightInd w:val="0"/>
              <w:spacing w:after="0" w:line="240" w:lineRule="auto"/>
              <w:rPr>
                <w:rFonts w:cs="Calibri"/>
                <w:bCs/>
                <w:i/>
                <w:color w:val="244061"/>
                <w:sz w:val="20"/>
                <w:szCs w:val="20"/>
                <w:lang w:val="fr-FR"/>
              </w:rPr>
            </w:pPr>
            <w:r w:rsidRPr="005E1F2B">
              <w:rPr>
                <w:rFonts w:cs="Calibri"/>
                <w:b/>
                <w:bCs/>
                <w:i/>
                <w:color w:val="244061"/>
                <w:sz w:val="20"/>
                <w:szCs w:val="20"/>
                <w:lang w:val="fr-FR"/>
              </w:rPr>
              <w:t>X</w:t>
            </w:r>
            <w:r w:rsidR="000E1C0B" w:rsidRPr="00C7763D">
              <w:rPr>
                <w:rFonts w:cs="Calibri"/>
                <w:bCs/>
                <w:i/>
                <w:color w:val="244061"/>
                <w:sz w:val="20"/>
                <w:szCs w:val="20"/>
                <w:lang w:val="fr-FR"/>
              </w:rPr>
              <w:t xml:space="preserve">  Demande de financement d’activités REDD+ complémentaires à d’autres activités REDD+ définies au niveau national (stratégies nationales, processus RPP et/ou activités REDD+ financées bilatéralement) ou pour le lancement d’autres activités REDD+ (le pays n’a pas de Programme national ONU-REDD).</w:t>
            </w:r>
          </w:p>
          <w:p w:rsidR="000E1C0B" w:rsidRPr="00C7763D" w:rsidRDefault="000E1C0B" w:rsidP="0025681E">
            <w:pPr>
              <w:widowControl w:val="0"/>
              <w:shd w:val="clear" w:color="auto" w:fill="FFFFFF"/>
              <w:autoSpaceDE w:val="0"/>
              <w:autoSpaceDN w:val="0"/>
              <w:adjustRightInd w:val="0"/>
              <w:spacing w:after="0" w:line="240" w:lineRule="auto"/>
              <w:rPr>
                <w:b/>
                <w:bCs/>
                <w:i/>
                <w:color w:val="244061"/>
                <w:lang w:val="fr-FR"/>
              </w:rPr>
            </w:pP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FE1C7E" w:rsidTr="009201BA">
        <w:tc>
          <w:tcPr>
            <w:tcW w:w="9576" w:type="dxa"/>
            <w:shd w:val="clear" w:color="auto" w:fill="DBE5F1"/>
          </w:tcPr>
          <w:p w:rsidR="009B4319" w:rsidRPr="00C97309" w:rsidRDefault="009B4319" w:rsidP="00371EFE">
            <w:pPr>
              <w:spacing w:after="0" w:line="240" w:lineRule="auto"/>
              <w:rPr>
                <w:b/>
                <w:color w:val="244061"/>
                <w:lang w:val="fr-FR"/>
              </w:rPr>
            </w:pPr>
            <w:r w:rsidRPr="00C97309">
              <w:rPr>
                <w:b/>
                <w:color w:val="244061"/>
                <w:lang w:val="fr-FR"/>
              </w:rPr>
              <w:t>II. HISTORIQUE</w:t>
            </w:r>
          </w:p>
          <w:p w:rsidR="009B4319" w:rsidRPr="00C97309" w:rsidRDefault="009B4319" w:rsidP="00371EFE">
            <w:pPr>
              <w:spacing w:after="0" w:line="240" w:lineRule="auto"/>
              <w:rPr>
                <w:rFonts w:cs="Calibri"/>
                <w:color w:val="1F497D"/>
                <w:lang w:val="fr-FR"/>
              </w:rPr>
            </w:pPr>
            <w:r w:rsidRPr="00C97309">
              <w:rPr>
                <w:rFonts w:cs="Calibri"/>
                <w:color w:val="1F497D"/>
                <w:lang w:val="fr-FR"/>
              </w:rPr>
              <w:t xml:space="preserve">Veuillez décrire l’historique de la demande. Exemples de contenus pertinents : </w:t>
            </w:r>
          </w:p>
          <w:p w:rsidR="009B4319" w:rsidRPr="00C97309" w:rsidRDefault="009B4319" w:rsidP="00371EFE">
            <w:pPr>
              <w:pStyle w:val="Prrafodelista"/>
              <w:numPr>
                <w:ilvl w:val="0"/>
                <w:numId w:val="5"/>
              </w:numPr>
              <w:spacing w:after="0"/>
              <w:ind w:left="284" w:hanging="284"/>
              <w:rPr>
                <w:rFonts w:cs="Calibri"/>
                <w:color w:val="1F497D"/>
                <w:lang w:val="fr-FR"/>
              </w:rPr>
            </w:pPr>
            <w:r w:rsidRPr="00C97309">
              <w:rPr>
                <w:rFonts w:cs="Calibri"/>
                <w:color w:val="1F497D"/>
                <w:lang w:val="fr-FR"/>
              </w:rPr>
              <w:t>Description succincte de la situation de la préparation à la REDD+ dans le pays et des efforts déployés en faveur de la REDD+.</w:t>
            </w:r>
          </w:p>
          <w:p w:rsidR="009B4319" w:rsidRPr="00C97309" w:rsidRDefault="009B4319" w:rsidP="00176B09">
            <w:pPr>
              <w:pStyle w:val="Sinespaciado"/>
              <w:numPr>
                <w:ilvl w:val="0"/>
                <w:numId w:val="5"/>
              </w:numPr>
              <w:spacing w:line="276" w:lineRule="auto"/>
              <w:ind w:left="284" w:hanging="284"/>
              <w:rPr>
                <w:color w:val="1F497D"/>
                <w:lang w:eastAsia="en-GB"/>
              </w:rPr>
            </w:pPr>
            <w:r w:rsidRPr="00C97309">
              <w:rPr>
                <w:rFonts w:cs="Calibri"/>
                <w:color w:val="244061"/>
                <w:sz w:val="21"/>
                <w:szCs w:val="21"/>
              </w:rPr>
              <w:t>Justification de l’appui nécessaire (qui doit représenter une contribution spécifique et supplémentaire aux efforts nationaux REDD+ avec pour objectif de combler des lacunes ou de favoriser d’autres activités</w:t>
            </w:r>
            <w:r w:rsidRPr="00C97309">
              <w:rPr>
                <w:color w:val="1F497D"/>
                <w:lang w:eastAsia="en-GB"/>
              </w:rPr>
              <w:t xml:space="preserve">). </w:t>
            </w:r>
          </w:p>
          <w:p w:rsidR="009B4319" w:rsidRPr="00C97309" w:rsidRDefault="009B4319" w:rsidP="00176B09">
            <w:pPr>
              <w:pStyle w:val="Prrafodelista"/>
              <w:numPr>
                <w:ilvl w:val="0"/>
                <w:numId w:val="6"/>
              </w:numPr>
              <w:spacing w:after="0" w:line="240" w:lineRule="auto"/>
              <w:ind w:left="284" w:hanging="284"/>
              <w:rPr>
                <w:color w:val="1F497D"/>
                <w:lang w:val="fr-FR"/>
              </w:rPr>
            </w:pPr>
            <w:r w:rsidRPr="00C97309">
              <w:rPr>
                <w:color w:val="1F497D"/>
                <w:lang w:val="fr-FR"/>
              </w:rPr>
              <w:t xml:space="preserve">Établir clairement les liens avec les stratégies nationales REDD+. </w:t>
            </w:r>
          </w:p>
          <w:p w:rsidR="009B4319" w:rsidRPr="00C97309" w:rsidRDefault="009B4319" w:rsidP="003C215F">
            <w:pPr>
              <w:pStyle w:val="Prrafodelista"/>
              <w:numPr>
                <w:ilvl w:val="0"/>
                <w:numId w:val="6"/>
              </w:numPr>
              <w:spacing w:after="0" w:line="240" w:lineRule="auto"/>
              <w:ind w:left="284" w:hanging="284"/>
              <w:rPr>
                <w:b/>
                <w:color w:val="1F497D"/>
                <w:sz w:val="28"/>
                <w:szCs w:val="28"/>
                <w:lang w:val="fr-FR"/>
              </w:rPr>
            </w:pPr>
            <w:r w:rsidRPr="00C97309">
              <w:rPr>
                <w:rFonts w:cs="Calibri"/>
                <w:color w:val="244061"/>
                <w:sz w:val="21"/>
                <w:szCs w:val="21"/>
                <w:lang w:val="fr-FR"/>
              </w:rPr>
              <w:t>Si le pays est doté d’un Programme national ONU-REDD ou s’il en est question, examiner comment l’appui demandé s’inscrit dans le Programme national/le processus R-PP</w:t>
            </w:r>
            <w:r w:rsidRPr="00C97309">
              <w:rPr>
                <w:color w:val="1F497D"/>
                <w:lang w:val="fr-FR"/>
              </w:rPr>
              <w:t>.</w:t>
            </w:r>
          </w:p>
          <w:p w:rsidR="009B4319" w:rsidRPr="00C97309" w:rsidRDefault="009B4319" w:rsidP="00465C55">
            <w:pPr>
              <w:pStyle w:val="Prrafodelista"/>
              <w:numPr>
                <w:ilvl w:val="0"/>
                <w:numId w:val="6"/>
              </w:numPr>
              <w:spacing w:after="0" w:line="240" w:lineRule="auto"/>
              <w:ind w:left="284" w:hanging="284"/>
              <w:rPr>
                <w:b/>
                <w:color w:val="1F497D"/>
                <w:sz w:val="28"/>
                <w:szCs w:val="28"/>
                <w:lang w:val="fr-FR"/>
              </w:rPr>
            </w:pPr>
            <w:r w:rsidRPr="00C97309">
              <w:rPr>
                <w:color w:val="1F497D"/>
                <w:lang w:val="fr-FR"/>
              </w:rPr>
              <w:t xml:space="preserve">Si l’appui tient compte des résultats d’une évaluation des besoins du pays, veuillez le contextualiser dans l’ensemble des résultats de l’évaluation.  </w:t>
            </w:r>
          </w:p>
        </w:tc>
      </w:tr>
      <w:tr w:rsidR="009B4319" w:rsidRPr="00FE1C7E" w:rsidTr="009201BA">
        <w:tc>
          <w:tcPr>
            <w:tcW w:w="9576" w:type="dxa"/>
          </w:tcPr>
          <w:p w:rsidR="00DD0A0E" w:rsidRPr="00A05390" w:rsidRDefault="00DD0A0E" w:rsidP="00A05390">
            <w:pPr>
              <w:spacing w:before="240" w:line="240" w:lineRule="auto"/>
              <w:jc w:val="center"/>
              <w:rPr>
                <w:b/>
                <w:sz w:val="18"/>
                <w:lang w:val="fr-FR"/>
              </w:rPr>
            </w:pPr>
            <w:r w:rsidRPr="00A05390">
              <w:rPr>
                <w:b/>
                <w:szCs w:val="26"/>
                <w:lang w:val="fr-FR"/>
              </w:rPr>
              <w:t>NIVEAU D’EMISSIONS DE REFERENCE POUR LES FORETS EN LA RDC</w:t>
            </w:r>
          </w:p>
          <w:p w:rsidR="00DD0A0E" w:rsidRPr="005E1F2B" w:rsidRDefault="00DD0A0E" w:rsidP="005E1F2B">
            <w:pPr>
              <w:jc w:val="both"/>
              <w:rPr>
                <w:lang w:val="fr-FR"/>
              </w:rPr>
            </w:pPr>
            <w:r w:rsidRPr="005E1F2B">
              <w:rPr>
                <w:lang w:val="fr-FR"/>
              </w:rPr>
              <w:t>La République Démocratique du Congo est engagée dans le processus REDD+ depuis 2009, avec l’appui du Programme ONU-REDD et du FCPF. Les critères d’accès aux paiements basés sur les résultats REDD+ sous la Convention Cadre des Nations Unies sur les Changements Climatiques (CCNUCC) ont été définis lors de la 19ème Conférence des Partis à Varsovie. La soumission d’un niveau de référence des forêts / niveau d’émission de référence des forêts  (NRF/NERF) en constitue l’un des éléments clés. La RDC souhaite donc avancer de façon significative sur ce chantier</w:t>
            </w:r>
            <w:r w:rsidR="00D63B60">
              <w:rPr>
                <w:lang w:val="fr-FR"/>
              </w:rPr>
              <w:t>, qui s’inscrit dans sa stratégie-cadre national REEDD,</w:t>
            </w:r>
            <w:r w:rsidRPr="005E1F2B">
              <w:rPr>
                <w:lang w:val="fr-FR"/>
              </w:rPr>
              <w:t xml:space="preserve"> afin de démontrer des résultats concrets lors de la COP 21 à Paris. En parallèle, la RDC s’est également engagée à développer un NRF/NERF dans le cadre d’une activité de démonstration pour le Fonds Carbone du FCPF. La cohérence dans l’établissement de ces NRF/NERF doit être établie. </w:t>
            </w:r>
          </w:p>
          <w:p w:rsidR="00DD0A0E" w:rsidRDefault="00DD0A0E" w:rsidP="005E1F2B">
            <w:pPr>
              <w:jc w:val="both"/>
              <w:rPr>
                <w:lang w:val="fr-FR"/>
              </w:rPr>
            </w:pPr>
            <w:r>
              <w:rPr>
                <w:lang w:val="fr-FR"/>
              </w:rPr>
              <w:t>Suite à l’atelier tenu en Novembre 2014 par le Ministère de l’Environnement et du Développement Durable (MEDD), avec l’appui d’ONU-REDD, portant sur l’alignement de la RDC au Cadre de Varsovie, il a été décidé d’organiser un atelier spécifique les 17 et 18 février 2015 sur le niveau d’émissions de  référence pour les forêts / niveau de référence pour les forêts (NERF/NRF) afin de lancer les travaux en vue d’atteindre les objectifs ambitieux fixés pour décembre 2015 et d’établir une feuille de route claire pour ce faire. L’ONU-REDD a assuré la préparation et le suivi technique de l’atelier.</w:t>
            </w:r>
          </w:p>
          <w:p w:rsidR="00A85E8C" w:rsidRDefault="00DD0A0E" w:rsidP="005E1F2B">
            <w:pPr>
              <w:jc w:val="both"/>
              <w:rPr>
                <w:lang w:val="fr-FR"/>
              </w:rPr>
            </w:pPr>
            <w:r>
              <w:rPr>
                <w:lang w:val="fr-FR"/>
              </w:rPr>
              <w:t xml:space="preserve">Comment résultat de l’atelier, </w:t>
            </w:r>
            <w:r w:rsidR="00A85E8C">
              <w:rPr>
                <w:lang w:val="fr-FR"/>
              </w:rPr>
              <w:t xml:space="preserve">une </w:t>
            </w:r>
            <w:r>
              <w:rPr>
                <w:lang w:val="fr-FR"/>
              </w:rPr>
              <w:t xml:space="preserve">feuille de route fut complétée lors d’une réunion technique </w:t>
            </w:r>
            <w:r w:rsidR="00A85E8C">
              <w:rPr>
                <w:lang w:val="fr-FR"/>
              </w:rPr>
              <w:t xml:space="preserve">a permis d’identifier clairement les livrables et les échéanciers, et a permis aux partenaires d’avoir un premier échange sur le partage des responsabilités. Cette feuille de route a été approuvée par le Secrétaire Général du </w:t>
            </w:r>
            <w:r w:rsidR="00773126">
              <w:rPr>
                <w:lang w:val="fr-FR"/>
              </w:rPr>
              <w:t>MEDD</w:t>
            </w:r>
            <w:r w:rsidR="00A85E8C">
              <w:rPr>
                <w:lang w:val="fr-FR"/>
              </w:rPr>
              <w:t xml:space="preserve"> et validée par le Point Focal REDD+.</w:t>
            </w:r>
          </w:p>
          <w:p w:rsidR="00A85E8C" w:rsidRPr="005E1F2B" w:rsidRDefault="00A85E8C" w:rsidP="005E1F2B">
            <w:pPr>
              <w:jc w:val="both"/>
              <w:rPr>
                <w:lang w:val="fr-FR"/>
              </w:rPr>
            </w:pPr>
            <w:r>
              <w:rPr>
                <w:lang w:val="fr-FR"/>
              </w:rPr>
              <w:t xml:space="preserve">Un groupe de travail de Niveau de Référence a été sélectionné et </w:t>
            </w:r>
            <w:r w:rsidRPr="00A85E8C">
              <w:rPr>
                <w:lang w:val="fr-FR"/>
              </w:rPr>
              <w:t xml:space="preserve">sera convoquée par le SG et le Programme ONU-REDD avec les responsables gouvernementaux clés de la REDD+ en RDC (Directeur de </w:t>
            </w:r>
            <w:r w:rsidRPr="00A85E8C">
              <w:rPr>
                <w:lang w:val="fr-FR"/>
              </w:rPr>
              <w:lastRenderedPageBreak/>
              <w:t>la DDD, directeur de la DIAF et Coordinateur National REDD+) afin de présenter les livrables et le partage des responsabilités prévus par la feuille de route.</w:t>
            </w: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FE1C7E" w:rsidTr="009201BA">
        <w:tc>
          <w:tcPr>
            <w:tcW w:w="9576" w:type="dxa"/>
            <w:shd w:val="clear" w:color="auto" w:fill="DBE5F1"/>
          </w:tcPr>
          <w:p w:rsidR="009B4319" w:rsidRPr="00C97309" w:rsidRDefault="009B4319" w:rsidP="001D56F8">
            <w:pPr>
              <w:spacing w:after="0" w:line="240" w:lineRule="auto"/>
              <w:rPr>
                <w:b/>
                <w:color w:val="0F243E"/>
                <w:lang w:val="fr-FR"/>
              </w:rPr>
            </w:pPr>
            <w:r w:rsidRPr="00C97309">
              <w:rPr>
                <w:b/>
                <w:color w:val="0F243E"/>
                <w:lang w:val="fr-FR"/>
              </w:rPr>
              <w:t>III. OBJECTIFS PRÉCIS</w:t>
            </w:r>
          </w:p>
          <w:p w:rsidR="009B4319" w:rsidRPr="00C97309" w:rsidRDefault="009B4319" w:rsidP="001D56F8">
            <w:pPr>
              <w:spacing w:after="0" w:line="240" w:lineRule="auto"/>
              <w:rPr>
                <w:color w:val="1F497D"/>
                <w:lang w:val="fr-FR"/>
              </w:rPr>
            </w:pPr>
            <w:r w:rsidRPr="00C97309">
              <w:rPr>
                <w:color w:val="1F497D"/>
                <w:lang w:val="fr-FR"/>
              </w:rPr>
              <w:t xml:space="preserve">Veuillez décrire les principaux objectifs et activités de la demande. </w:t>
            </w:r>
          </w:p>
          <w:p w:rsidR="009B4319" w:rsidRPr="00C97309" w:rsidRDefault="009B4319" w:rsidP="003C21F9">
            <w:pPr>
              <w:pStyle w:val="Prrafodelista"/>
              <w:numPr>
                <w:ilvl w:val="0"/>
                <w:numId w:val="9"/>
              </w:numPr>
              <w:spacing w:after="0" w:line="240" w:lineRule="auto"/>
              <w:ind w:left="284" w:hanging="284"/>
              <w:rPr>
                <w:rFonts w:cs="Calibri"/>
                <w:color w:val="244061"/>
                <w:lang w:val="fr-FR"/>
              </w:rPr>
            </w:pPr>
            <w:r w:rsidRPr="00C97309">
              <w:rPr>
                <w:color w:val="1F497D"/>
                <w:lang w:val="fr-FR"/>
              </w:rPr>
              <w:t>Fournir des informations détaillées sur le type d’appui demandé et inclure tous les besoins nécessitant un appui en nature, comme la connaissance, le renforcement des capacités ou des informations techniques</w:t>
            </w:r>
            <w:r w:rsidRPr="00C97309">
              <w:rPr>
                <w:color w:val="244061"/>
                <w:lang w:val="fr-FR"/>
              </w:rPr>
              <w:t>.</w:t>
            </w:r>
            <w:r w:rsidRPr="00C97309">
              <w:rPr>
                <w:rFonts w:cs="Calibri"/>
                <w:color w:val="244061"/>
                <w:lang w:val="fr-FR"/>
              </w:rPr>
              <w:t xml:space="preserve"> </w:t>
            </w:r>
          </w:p>
          <w:p w:rsidR="009B4319" w:rsidRPr="00C97309" w:rsidRDefault="009B4319" w:rsidP="00465C55">
            <w:pPr>
              <w:pStyle w:val="Prrafodelista"/>
              <w:numPr>
                <w:ilvl w:val="0"/>
                <w:numId w:val="9"/>
              </w:numPr>
              <w:spacing w:after="0" w:line="240" w:lineRule="auto"/>
              <w:ind w:left="284" w:hanging="284"/>
              <w:rPr>
                <w:b/>
                <w:color w:val="1F497D"/>
                <w:sz w:val="28"/>
                <w:szCs w:val="28"/>
                <w:lang w:val="fr-FR"/>
              </w:rPr>
            </w:pPr>
            <w:r w:rsidRPr="00C97309">
              <w:rPr>
                <w:rFonts w:cs="Calibri"/>
                <w:color w:val="244061"/>
                <w:sz w:val="21"/>
                <w:szCs w:val="21"/>
                <w:lang w:val="fr-FR"/>
              </w:rPr>
              <w:t xml:space="preserve">Si le pays est doté d’un Programme national ONU-REDD, décrire comment l’appui demandé comblera les lacunes / viendra compléter le financement déjà perçu en faveur du Programme national. </w:t>
            </w:r>
          </w:p>
        </w:tc>
      </w:tr>
      <w:tr w:rsidR="009B4319" w:rsidRPr="00FE1C7E" w:rsidTr="009201BA">
        <w:tc>
          <w:tcPr>
            <w:tcW w:w="9576" w:type="dxa"/>
          </w:tcPr>
          <w:p w:rsidR="00D63B60" w:rsidRDefault="00D63B60" w:rsidP="005E1F2B">
            <w:pPr>
              <w:shd w:val="clear" w:color="auto" w:fill="FFFFFF"/>
              <w:spacing w:after="100" w:line="240" w:lineRule="auto"/>
              <w:rPr>
                <w:color w:val="000000"/>
                <w:lang w:val="fr-FR"/>
              </w:rPr>
            </w:pPr>
            <w:r w:rsidRPr="005E1F2B">
              <w:rPr>
                <w:color w:val="000000"/>
                <w:lang w:val="fr-FR"/>
              </w:rPr>
              <w:t>Objectifs de la construction de un Niveau de Référence :</w:t>
            </w:r>
          </w:p>
          <w:p w:rsidR="00D63B60" w:rsidRDefault="00D63B60" w:rsidP="005E1F2B">
            <w:pPr>
              <w:shd w:val="clear" w:color="auto" w:fill="FFFFFF"/>
              <w:spacing w:after="100" w:line="240" w:lineRule="auto"/>
              <w:rPr>
                <w:color w:val="000000"/>
                <w:lang w:val="fr-FR"/>
              </w:rPr>
            </w:pPr>
            <w:r w:rsidRPr="005E1F2B">
              <w:rPr>
                <w:color w:val="000000"/>
                <w:lang w:val="fr-FR"/>
              </w:rPr>
              <w:t>L’objectif de cet appui ciblé est de soutenir techniquement et financièrement le processus de construction, l’établissement et la soumission  à la CCNUCC  d’un niveau d’émissions de référence pour les forêts (NERF) de la  République Démocratique du Congo  lors de la CoP-21  de Paris (Décembre 2015).</w:t>
            </w:r>
          </w:p>
          <w:p w:rsidR="00D63B60" w:rsidRDefault="00D63B60" w:rsidP="005E1F2B">
            <w:pPr>
              <w:shd w:val="clear" w:color="auto" w:fill="FFFFFF"/>
              <w:spacing w:after="100" w:line="240" w:lineRule="auto"/>
              <w:rPr>
                <w:color w:val="000000"/>
                <w:lang w:val="fr-FR"/>
              </w:rPr>
            </w:pPr>
            <w:r>
              <w:rPr>
                <w:color w:val="000000"/>
                <w:lang w:val="fr-FR"/>
              </w:rPr>
              <w:t xml:space="preserve">Objectifs Précis : </w:t>
            </w:r>
          </w:p>
          <w:p w:rsidR="002A336C" w:rsidRDefault="002A336C" w:rsidP="002A336C">
            <w:pPr>
              <w:pStyle w:val="Prrafodelista"/>
              <w:numPr>
                <w:ilvl w:val="0"/>
                <w:numId w:val="13"/>
              </w:numPr>
              <w:spacing w:after="0" w:line="240" w:lineRule="auto"/>
              <w:rPr>
                <w:i/>
                <w:lang w:val="fr-FR"/>
              </w:rPr>
            </w:pPr>
            <w:r>
              <w:rPr>
                <w:i/>
                <w:lang w:val="fr-FR"/>
              </w:rPr>
              <w:t>Faire une n</w:t>
            </w:r>
            <w:r w:rsidRPr="002A336C">
              <w:rPr>
                <w:i/>
                <w:lang w:val="fr-FR"/>
              </w:rPr>
              <w:t>ote technique avec recommandation</w:t>
            </w:r>
            <w:r>
              <w:rPr>
                <w:i/>
                <w:lang w:val="fr-FR"/>
              </w:rPr>
              <w:t xml:space="preserve"> sur </w:t>
            </w:r>
            <w:r w:rsidRPr="002A336C">
              <w:rPr>
                <w:i/>
                <w:lang w:val="fr-FR"/>
              </w:rPr>
              <w:t>l'inclusion ou l'exclusion des plantati</w:t>
            </w:r>
            <w:r>
              <w:rPr>
                <w:i/>
                <w:lang w:val="fr-FR"/>
              </w:rPr>
              <w:t xml:space="preserve">ons pérennes dans la définition, sur la base d’une </w:t>
            </w:r>
            <w:r w:rsidRPr="002A336C">
              <w:rPr>
                <w:i/>
                <w:lang w:val="fr-FR"/>
              </w:rPr>
              <w:t>évaluation des plantations pérennes</w:t>
            </w:r>
            <w:r>
              <w:rPr>
                <w:i/>
                <w:lang w:val="fr-FR"/>
              </w:rPr>
              <w:t xml:space="preserve"> existantes et planifiées.</w:t>
            </w:r>
          </w:p>
          <w:p w:rsidR="00D63B60" w:rsidRDefault="002A336C" w:rsidP="005E1F2B">
            <w:pPr>
              <w:pStyle w:val="Prrafodelista"/>
              <w:numPr>
                <w:ilvl w:val="0"/>
                <w:numId w:val="13"/>
              </w:numPr>
              <w:spacing w:after="0" w:line="240" w:lineRule="auto"/>
              <w:rPr>
                <w:i/>
                <w:lang w:val="fr-FR"/>
              </w:rPr>
            </w:pPr>
            <w:r>
              <w:rPr>
                <w:i/>
                <w:lang w:val="fr-FR"/>
              </w:rPr>
              <w:t>Choisi</w:t>
            </w:r>
            <w:r w:rsidR="00E410C8">
              <w:rPr>
                <w:i/>
                <w:lang w:val="fr-FR"/>
              </w:rPr>
              <w:t>r et valider</w:t>
            </w:r>
            <w:r>
              <w:rPr>
                <w:i/>
                <w:lang w:val="fr-FR"/>
              </w:rPr>
              <w:t xml:space="preserve"> </w:t>
            </w:r>
            <w:r w:rsidR="00D63B60" w:rsidRPr="005E1F2B">
              <w:rPr>
                <w:i/>
                <w:lang w:val="fr-FR"/>
              </w:rPr>
              <w:t>les régions (provinces, territoires, biomes) qui feront partie du NERF,  en fonction de certains critères de sélection techniques et institutionnels</w:t>
            </w:r>
            <w:r w:rsidR="00E410C8">
              <w:rPr>
                <w:i/>
                <w:lang w:val="fr-FR"/>
              </w:rPr>
              <w:t>.</w:t>
            </w:r>
          </w:p>
          <w:p w:rsidR="00E410C8" w:rsidRPr="005E1F2B" w:rsidRDefault="003D333E" w:rsidP="005E1F2B">
            <w:pPr>
              <w:pStyle w:val="Prrafodelista"/>
              <w:numPr>
                <w:ilvl w:val="0"/>
                <w:numId w:val="13"/>
              </w:numPr>
              <w:spacing w:after="0" w:line="240" w:lineRule="auto"/>
              <w:rPr>
                <w:i/>
                <w:lang w:val="fr-FR"/>
              </w:rPr>
            </w:pPr>
            <w:r>
              <w:rPr>
                <w:i/>
                <w:lang w:val="fr-FR"/>
              </w:rPr>
              <w:t>Faire deux ateliers provinciaux pour s</w:t>
            </w:r>
            <w:r w:rsidR="00E410C8">
              <w:rPr>
                <w:i/>
                <w:lang w:val="fr-FR"/>
              </w:rPr>
              <w:t xml:space="preserve">ensibiliser les </w:t>
            </w:r>
            <w:r>
              <w:rPr>
                <w:i/>
                <w:lang w:val="fr-FR"/>
              </w:rPr>
              <w:t xml:space="preserve">régions </w:t>
            </w:r>
            <w:r w:rsidR="00E410C8">
              <w:rPr>
                <w:i/>
                <w:lang w:val="fr-FR"/>
              </w:rPr>
              <w:t>choisies</w:t>
            </w:r>
            <w:r>
              <w:rPr>
                <w:i/>
                <w:lang w:val="fr-FR"/>
              </w:rPr>
              <w:t>.</w:t>
            </w:r>
            <w:r w:rsidR="00E410C8">
              <w:rPr>
                <w:i/>
                <w:lang w:val="fr-FR"/>
              </w:rPr>
              <w:t xml:space="preserve"> </w:t>
            </w:r>
          </w:p>
          <w:p w:rsidR="003D333E" w:rsidRDefault="003D333E" w:rsidP="003D333E">
            <w:pPr>
              <w:pStyle w:val="Prrafodelista"/>
              <w:numPr>
                <w:ilvl w:val="0"/>
                <w:numId w:val="13"/>
              </w:numPr>
              <w:spacing w:after="0" w:line="240" w:lineRule="auto"/>
              <w:rPr>
                <w:i/>
                <w:lang w:val="fr-FR"/>
              </w:rPr>
            </w:pPr>
            <w:r>
              <w:rPr>
                <w:i/>
                <w:lang w:val="fr-FR"/>
              </w:rPr>
              <w:t xml:space="preserve">Créer une définition officielle de la déforestation et de la dégradation de la forêt qui permettent quantifier les émissions </w:t>
            </w:r>
            <w:r w:rsidRPr="005E1F2B">
              <w:rPr>
                <w:i/>
                <w:lang w:val="fr-FR"/>
              </w:rPr>
              <w:t>historiques des activités liées à la d</w:t>
            </w:r>
            <w:r>
              <w:rPr>
                <w:i/>
                <w:lang w:val="fr-FR"/>
              </w:rPr>
              <w:t>égradation.</w:t>
            </w:r>
          </w:p>
          <w:p w:rsidR="005E1F2B" w:rsidRPr="005E1F2B" w:rsidRDefault="003D333E" w:rsidP="005E1F2B">
            <w:pPr>
              <w:pStyle w:val="Prrafodelista"/>
              <w:numPr>
                <w:ilvl w:val="0"/>
                <w:numId w:val="13"/>
              </w:numPr>
              <w:spacing w:after="0" w:line="240" w:lineRule="auto"/>
              <w:rPr>
                <w:i/>
                <w:lang w:val="fr-FR"/>
              </w:rPr>
            </w:pPr>
            <w:r w:rsidRPr="003D333E">
              <w:rPr>
                <w:i/>
                <w:lang w:val="fr-FR"/>
              </w:rPr>
              <w:t>Définir les facteurs de conversion de la biomasse souterraine à utiliser</w:t>
            </w:r>
            <w:r w:rsidR="005E1F2B">
              <w:rPr>
                <w:i/>
                <w:lang w:val="fr-FR"/>
              </w:rPr>
              <w:t>.</w:t>
            </w:r>
          </w:p>
          <w:p w:rsidR="003D333E" w:rsidRDefault="005E1F2B" w:rsidP="005E1F2B">
            <w:pPr>
              <w:pStyle w:val="Prrafodelista"/>
              <w:numPr>
                <w:ilvl w:val="0"/>
                <w:numId w:val="13"/>
              </w:numPr>
              <w:spacing w:after="0" w:line="240" w:lineRule="auto"/>
              <w:rPr>
                <w:i/>
                <w:lang w:val="fr-FR"/>
              </w:rPr>
            </w:pPr>
            <w:r>
              <w:rPr>
                <w:i/>
                <w:lang w:val="fr-FR"/>
              </w:rPr>
              <w:t xml:space="preserve">Rédiger </w:t>
            </w:r>
            <w:r w:rsidRPr="005E1F2B">
              <w:rPr>
                <w:i/>
                <w:lang w:val="fr-FR"/>
              </w:rPr>
              <w:t>une note technique pour expliquer les activités de collection de données pour les trois réservoirs exclus</w:t>
            </w:r>
            <w:r>
              <w:rPr>
                <w:i/>
                <w:lang w:val="fr-FR"/>
              </w:rPr>
              <w:t>.</w:t>
            </w:r>
          </w:p>
          <w:p w:rsidR="005E1F2B" w:rsidRDefault="005E1F2B" w:rsidP="005E1F2B">
            <w:pPr>
              <w:pStyle w:val="Prrafodelista"/>
              <w:numPr>
                <w:ilvl w:val="0"/>
                <w:numId w:val="13"/>
              </w:numPr>
              <w:spacing w:after="0" w:line="240" w:lineRule="auto"/>
              <w:rPr>
                <w:i/>
                <w:lang w:val="fr-FR"/>
              </w:rPr>
            </w:pPr>
            <w:r>
              <w:rPr>
                <w:i/>
                <w:lang w:val="fr-FR"/>
              </w:rPr>
              <w:t>Finaliser les estimations de facteurs d’émission et harmoniser les statistiques de données d’activité</w:t>
            </w:r>
          </w:p>
          <w:p w:rsidR="005E1F2B" w:rsidRDefault="005E1F2B" w:rsidP="005E1F2B">
            <w:pPr>
              <w:pStyle w:val="Prrafodelista"/>
              <w:numPr>
                <w:ilvl w:val="0"/>
                <w:numId w:val="13"/>
              </w:numPr>
              <w:spacing w:after="0" w:line="240" w:lineRule="auto"/>
              <w:rPr>
                <w:i/>
                <w:lang w:val="fr-FR"/>
              </w:rPr>
            </w:pPr>
            <w:r w:rsidRPr="005E1F2B">
              <w:rPr>
                <w:i/>
                <w:lang w:val="fr-FR"/>
              </w:rPr>
              <w:t>Produ</w:t>
            </w:r>
            <w:r>
              <w:rPr>
                <w:i/>
                <w:lang w:val="fr-FR"/>
              </w:rPr>
              <w:t xml:space="preserve">ire </w:t>
            </w:r>
            <w:r w:rsidRPr="005E1F2B">
              <w:rPr>
                <w:i/>
                <w:lang w:val="fr-FR"/>
              </w:rPr>
              <w:t>une note technique et recommandation sur la période historique et période d'actualisation</w:t>
            </w:r>
          </w:p>
          <w:p w:rsidR="000348E7" w:rsidRDefault="000348E7" w:rsidP="000348E7">
            <w:pPr>
              <w:pStyle w:val="Prrafodelista"/>
              <w:numPr>
                <w:ilvl w:val="0"/>
                <w:numId w:val="13"/>
              </w:numPr>
              <w:spacing w:after="0" w:line="240" w:lineRule="auto"/>
              <w:rPr>
                <w:i/>
                <w:lang w:val="fr-FR"/>
              </w:rPr>
            </w:pPr>
            <w:r>
              <w:rPr>
                <w:i/>
                <w:lang w:val="fr-FR"/>
              </w:rPr>
              <w:t xml:space="preserve">Créer une approche méthodologique commune sur la base de l’analyse </w:t>
            </w:r>
            <w:r w:rsidRPr="000348E7">
              <w:rPr>
                <w:i/>
                <w:lang w:val="fr-FR"/>
              </w:rPr>
              <w:t>émissions historiques</w:t>
            </w:r>
            <w:r>
              <w:rPr>
                <w:i/>
                <w:lang w:val="fr-FR"/>
              </w:rPr>
              <w:t xml:space="preserve">, le </w:t>
            </w:r>
            <w:r w:rsidRPr="000348E7">
              <w:rPr>
                <w:i/>
                <w:lang w:val="fr-FR"/>
              </w:rPr>
              <w:t>contexte politique et socio-économique du pays</w:t>
            </w:r>
            <w:r>
              <w:rPr>
                <w:i/>
                <w:lang w:val="fr-FR"/>
              </w:rPr>
              <w:t xml:space="preserve"> et le revu des approches méthodologies des payses qui ont déjà soumis ces NERF.</w:t>
            </w:r>
          </w:p>
          <w:p w:rsidR="000348E7" w:rsidRPr="005E1F2B" w:rsidRDefault="000D6B38" w:rsidP="000D6B38">
            <w:pPr>
              <w:pStyle w:val="Prrafodelista"/>
              <w:numPr>
                <w:ilvl w:val="0"/>
                <w:numId w:val="13"/>
              </w:numPr>
              <w:spacing w:after="0" w:line="240" w:lineRule="auto"/>
              <w:rPr>
                <w:i/>
                <w:lang w:val="fr-FR"/>
              </w:rPr>
            </w:pPr>
            <w:r w:rsidRPr="000D6B38">
              <w:rPr>
                <w:i/>
                <w:lang w:val="fr-FR"/>
              </w:rPr>
              <w:t>Mission d'échange Sud-Sud</w:t>
            </w:r>
            <w:r>
              <w:rPr>
                <w:i/>
                <w:lang w:val="fr-FR"/>
              </w:rPr>
              <w:t xml:space="preserve"> : Mission des experts de NERF d’un ou deux pays </w:t>
            </w:r>
            <w:r w:rsidR="008079C3">
              <w:rPr>
                <w:i/>
                <w:lang w:val="fr-FR"/>
              </w:rPr>
              <w:t xml:space="preserve">d’Amérique </w:t>
            </w:r>
            <w:r>
              <w:rPr>
                <w:i/>
                <w:lang w:val="fr-FR"/>
              </w:rPr>
              <w:t xml:space="preserve">Latine </w:t>
            </w:r>
          </w:p>
          <w:p w:rsidR="009B4319" w:rsidRPr="000902C3" w:rsidRDefault="00150E20" w:rsidP="000902C3">
            <w:pPr>
              <w:pStyle w:val="Prrafodelista"/>
              <w:numPr>
                <w:ilvl w:val="0"/>
                <w:numId w:val="13"/>
              </w:numPr>
              <w:spacing w:after="0" w:line="240" w:lineRule="auto"/>
              <w:rPr>
                <w:i/>
                <w:lang w:val="fr-FR"/>
              </w:rPr>
            </w:pPr>
            <w:r>
              <w:rPr>
                <w:i/>
                <w:lang w:val="fr-FR"/>
              </w:rPr>
              <w:t>Présentation</w:t>
            </w:r>
            <w:r w:rsidRPr="005E1F2B">
              <w:rPr>
                <w:i/>
                <w:lang w:val="fr-FR"/>
              </w:rPr>
              <w:t xml:space="preserve"> </w:t>
            </w:r>
            <w:r>
              <w:rPr>
                <w:i/>
                <w:lang w:val="fr-FR"/>
              </w:rPr>
              <w:t>du</w:t>
            </w:r>
            <w:r w:rsidR="00D63B60" w:rsidRPr="005E1F2B">
              <w:rPr>
                <w:i/>
                <w:lang w:val="fr-FR"/>
              </w:rPr>
              <w:t xml:space="preserve"> NERF lors de la COP21 de Paris (Décembre 2015).</w:t>
            </w: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FE1C7E" w:rsidTr="009201BA">
        <w:tc>
          <w:tcPr>
            <w:tcW w:w="9576" w:type="dxa"/>
            <w:shd w:val="clear" w:color="auto" w:fill="DBE5F1"/>
          </w:tcPr>
          <w:p w:rsidR="009B4319" w:rsidRPr="00C97309" w:rsidRDefault="009B4319" w:rsidP="00D70C4B">
            <w:pPr>
              <w:spacing w:after="0" w:line="240" w:lineRule="auto"/>
              <w:rPr>
                <w:b/>
                <w:color w:val="0F243E"/>
                <w:lang w:val="fr-FR"/>
              </w:rPr>
            </w:pPr>
            <w:r w:rsidRPr="00C97309">
              <w:rPr>
                <w:b/>
                <w:color w:val="0F243E"/>
                <w:lang w:val="fr-FR"/>
              </w:rPr>
              <w:t>IV. MISE EN OEUVRE</w:t>
            </w:r>
          </w:p>
          <w:p w:rsidR="009B4319" w:rsidRPr="00C97309" w:rsidRDefault="009B4319" w:rsidP="003C21F9">
            <w:pPr>
              <w:spacing w:after="0" w:line="240" w:lineRule="auto"/>
              <w:rPr>
                <w:color w:val="1F497D"/>
                <w:lang w:val="fr-FR"/>
              </w:rPr>
            </w:pPr>
            <w:r w:rsidRPr="00C97309">
              <w:rPr>
                <w:color w:val="1F497D"/>
                <w:lang w:val="fr-FR"/>
              </w:rPr>
              <w:t>Veuillez décrire les dispositions à prendre pour mettre en œuvre les activités prévues.</w:t>
            </w:r>
          </w:p>
          <w:p w:rsidR="009B4319" w:rsidRPr="00C97309" w:rsidRDefault="009B4319" w:rsidP="00CB7636">
            <w:pPr>
              <w:pStyle w:val="Prrafodelista"/>
              <w:numPr>
                <w:ilvl w:val="0"/>
                <w:numId w:val="8"/>
              </w:numPr>
              <w:spacing w:after="0" w:line="240" w:lineRule="auto"/>
              <w:ind w:left="284" w:hanging="284"/>
              <w:rPr>
                <w:rFonts w:cs="Calibri"/>
                <w:color w:val="244061"/>
                <w:lang w:val="fr-FR"/>
              </w:rPr>
            </w:pPr>
            <w:r w:rsidRPr="00C97309">
              <w:rPr>
                <w:color w:val="1F497D"/>
                <w:lang w:val="fr-FR"/>
              </w:rPr>
              <w:t xml:space="preserve">Nommer les principales institutions responsables de la mise en œuvre et les institutions partenaires. </w:t>
            </w:r>
            <w:r w:rsidRPr="00C97309">
              <w:rPr>
                <w:rFonts w:cs="Calibri"/>
                <w:color w:val="244061"/>
                <w:lang w:val="fr-FR"/>
              </w:rPr>
              <w:t xml:space="preserve"> </w:t>
            </w:r>
          </w:p>
          <w:p w:rsidR="009B4319" w:rsidRPr="00C97309" w:rsidRDefault="009B4319" w:rsidP="00465C55">
            <w:pPr>
              <w:pStyle w:val="Prrafodelista"/>
              <w:numPr>
                <w:ilvl w:val="0"/>
                <w:numId w:val="8"/>
              </w:numPr>
              <w:spacing w:after="0" w:line="240" w:lineRule="auto"/>
              <w:ind w:left="284" w:hanging="284"/>
              <w:rPr>
                <w:b/>
                <w:color w:val="1F497D"/>
                <w:sz w:val="28"/>
                <w:szCs w:val="28"/>
                <w:lang w:val="fr-FR"/>
              </w:rPr>
            </w:pPr>
            <w:r w:rsidRPr="00C97309">
              <w:rPr>
                <w:rFonts w:cs="Calibri"/>
                <w:color w:val="244061"/>
                <w:lang w:val="fr-FR"/>
              </w:rPr>
              <w:t>Expliquer quelles ont été les mesures prises pour mobiliser les peuples autochtones et la société civile, selon le cas</w:t>
            </w:r>
          </w:p>
        </w:tc>
      </w:tr>
      <w:tr w:rsidR="009B4319" w:rsidRPr="00FE1C7E" w:rsidTr="009201BA">
        <w:tc>
          <w:tcPr>
            <w:tcW w:w="9576" w:type="dxa"/>
          </w:tcPr>
          <w:p w:rsidR="000902C3" w:rsidRDefault="000902C3" w:rsidP="000902C3">
            <w:pPr>
              <w:suppressAutoHyphens/>
              <w:jc w:val="both"/>
              <w:rPr>
                <w:i/>
                <w:lang w:val="fr-FR"/>
              </w:rPr>
            </w:pPr>
            <w:r w:rsidRPr="000902C3">
              <w:rPr>
                <w:i/>
                <w:color w:val="000000"/>
                <w:lang w:val="fr-FR"/>
              </w:rPr>
              <w:t>Les activit</w:t>
            </w:r>
            <w:r w:rsidR="00773126">
              <w:rPr>
                <w:i/>
                <w:color w:val="000000"/>
                <w:lang w:val="fr-FR"/>
              </w:rPr>
              <w:t>és précédents</w:t>
            </w:r>
            <w:r w:rsidRPr="000902C3">
              <w:rPr>
                <w:i/>
                <w:color w:val="000000"/>
                <w:lang w:val="fr-FR"/>
              </w:rPr>
              <w:t xml:space="preserve"> seront mises en œuvre par </w:t>
            </w:r>
            <w:r w:rsidR="009F4327" w:rsidRPr="000902C3">
              <w:rPr>
                <w:i/>
                <w:lang w:val="fr-FR"/>
              </w:rPr>
              <w:t xml:space="preserve">les institutions responsables des différents livrables </w:t>
            </w:r>
            <w:r w:rsidR="009F4327">
              <w:rPr>
                <w:i/>
                <w:lang w:val="fr-FR"/>
              </w:rPr>
              <w:t xml:space="preserve">décris dans la </w:t>
            </w:r>
            <w:r w:rsidR="009F4327" w:rsidRPr="000902C3">
              <w:rPr>
                <w:i/>
                <w:lang w:val="fr-FR"/>
              </w:rPr>
              <w:t>feuille de route</w:t>
            </w:r>
            <w:r w:rsidRPr="000902C3">
              <w:rPr>
                <w:i/>
                <w:lang w:val="fr-FR"/>
              </w:rPr>
              <w:t>.</w:t>
            </w:r>
            <w:r w:rsidR="009F4327">
              <w:rPr>
                <w:i/>
                <w:lang w:val="fr-FR"/>
              </w:rPr>
              <w:t xml:space="preserve"> Un groupe de travail</w:t>
            </w:r>
            <w:r w:rsidRPr="000902C3">
              <w:rPr>
                <w:i/>
                <w:lang w:val="fr-FR"/>
              </w:rPr>
              <w:t xml:space="preserve"> </w:t>
            </w:r>
            <w:r w:rsidR="009F4327">
              <w:rPr>
                <w:lang w:val="fr-FR"/>
              </w:rPr>
              <w:t xml:space="preserve">sur le Niveau de Référence des Forêts </w:t>
            </w:r>
            <w:r w:rsidR="00CE0107">
              <w:rPr>
                <w:lang w:val="fr-FR"/>
              </w:rPr>
              <w:t xml:space="preserve">(NRF) </w:t>
            </w:r>
            <w:r w:rsidR="009F4327">
              <w:rPr>
                <w:i/>
                <w:lang w:val="fr-FR"/>
              </w:rPr>
              <w:t xml:space="preserve">sera mise en place </w:t>
            </w:r>
            <w:r w:rsidR="009F4327">
              <w:rPr>
                <w:lang w:val="fr-FR"/>
              </w:rPr>
              <w:t>afin de suivre la feuille de route et soutenir techniquement les institutions. Le groupe de travail</w:t>
            </w:r>
            <w:r w:rsidR="009F4327" w:rsidRPr="000902C3">
              <w:rPr>
                <w:i/>
                <w:lang w:val="fr-FR"/>
              </w:rPr>
              <w:t xml:space="preserve"> </w:t>
            </w:r>
            <w:r w:rsidRPr="000902C3">
              <w:rPr>
                <w:i/>
                <w:lang w:val="fr-FR"/>
              </w:rPr>
              <w:t xml:space="preserve">opérera sous la coordination de la Cellule Technique NRF mise en place par le Secrétaire Général du MEDD. Cette cellule technique sera composée de deux experts nationaux recrutés par le Programme </w:t>
            </w:r>
            <w:r w:rsidRPr="000902C3">
              <w:rPr>
                <w:i/>
                <w:lang w:val="fr-FR"/>
              </w:rPr>
              <w:lastRenderedPageBreak/>
              <w:t xml:space="preserve">ONU-REDD, qui travailleront sous la co-supervision directe du bureau du Secrétaire Général </w:t>
            </w:r>
            <w:r w:rsidRPr="000902C3">
              <w:rPr>
                <w:i/>
                <w:color w:val="000000"/>
                <w:lang w:val="fr-FR"/>
              </w:rPr>
              <w:t>du Ministère de l’Environnement et Développement Durable</w:t>
            </w:r>
            <w:r w:rsidR="00773126">
              <w:rPr>
                <w:i/>
                <w:color w:val="000000"/>
                <w:lang w:val="fr-FR"/>
              </w:rPr>
              <w:t xml:space="preserve"> (MEDD)</w:t>
            </w:r>
            <w:r w:rsidRPr="000902C3">
              <w:rPr>
                <w:i/>
                <w:lang w:val="fr-FR"/>
              </w:rPr>
              <w:t xml:space="preserve"> </w:t>
            </w:r>
            <w:r>
              <w:rPr>
                <w:i/>
                <w:lang w:val="fr-FR"/>
              </w:rPr>
              <w:t>et du Programme ONU-REDD.</w:t>
            </w:r>
          </w:p>
          <w:p w:rsidR="005E6CB3" w:rsidRDefault="009F4327" w:rsidP="000902C3">
            <w:pPr>
              <w:suppressAutoHyphens/>
              <w:jc w:val="both"/>
              <w:rPr>
                <w:i/>
                <w:lang w:val="fr-FR"/>
              </w:rPr>
            </w:pPr>
            <w:r>
              <w:rPr>
                <w:i/>
                <w:lang w:val="fr-FR"/>
              </w:rPr>
              <w:t>L</w:t>
            </w:r>
            <w:r w:rsidR="005E6CB3">
              <w:rPr>
                <w:i/>
                <w:lang w:val="fr-FR"/>
              </w:rPr>
              <w:t xml:space="preserve">es institutions </w:t>
            </w:r>
            <w:r w:rsidR="00773126">
              <w:rPr>
                <w:i/>
                <w:lang w:val="fr-FR"/>
              </w:rPr>
              <w:t>impliques dans</w:t>
            </w:r>
            <w:r w:rsidR="005E6CB3">
              <w:rPr>
                <w:i/>
                <w:lang w:val="fr-FR"/>
              </w:rPr>
              <w:t xml:space="preserve"> </w:t>
            </w:r>
            <w:r w:rsidR="00B0742E">
              <w:rPr>
                <w:i/>
                <w:lang w:val="fr-FR"/>
              </w:rPr>
              <w:t xml:space="preserve">la mise en </w:t>
            </w:r>
            <w:r>
              <w:rPr>
                <w:i/>
                <w:lang w:val="fr-FR"/>
              </w:rPr>
              <w:t>œuvre</w:t>
            </w:r>
            <w:r w:rsidR="005E6CB3">
              <w:rPr>
                <w:i/>
                <w:lang w:val="fr-FR"/>
              </w:rPr>
              <w:t xml:space="preserve"> </w:t>
            </w:r>
            <w:r w:rsidR="00773126">
              <w:rPr>
                <w:i/>
                <w:lang w:val="fr-FR"/>
              </w:rPr>
              <w:t>de la feuille de route</w:t>
            </w:r>
            <w:r>
              <w:rPr>
                <w:i/>
                <w:lang w:val="fr-FR"/>
              </w:rPr>
              <w:t xml:space="preserve"> </w:t>
            </w:r>
            <w:r w:rsidR="00773126">
              <w:rPr>
                <w:i/>
                <w:lang w:val="fr-FR"/>
              </w:rPr>
              <w:t>ont les responsabilités suivantes:</w:t>
            </w:r>
          </w:p>
          <w:p w:rsidR="009B4319" w:rsidRDefault="009F4327" w:rsidP="009F4327">
            <w:pPr>
              <w:suppressAutoHyphens/>
              <w:jc w:val="both"/>
              <w:rPr>
                <w:b/>
                <w:i/>
                <w:lang w:val="fr-FR"/>
              </w:rPr>
            </w:pPr>
            <w:r w:rsidRPr="009F4327">
              <w:rPr>
                <w:b/>
                <w:i/>
                <w:lang w:val="fr-FR"/>
              </w:rPr>
              <w:t>D</w:t>
            </w:r>
            <w:r w:rsidR="00A57B08">
              <w:rPr>
                <w:b/>
                <w:i/>
                <w:lang w:val="fr-FR"/>
              </w:rPr>
              <w:t xml:space="preserve">irection des </w:t>
            </w:r>
            <w:r w:rsidRPr="009F4327">
              <w:rPr>
                <w:b/>
                <w:i/>
                <w:lang w:val="fr-FR"/>
              </w:rPr>
              <w:t>I</w:t>
            </w:r>
            <w:r w:rsidR="00A57B08">
              <w:rPr>
                <w:b/>
                <w:i/>
                <w:lang w:val="fr-FR"/>
              </w:rPr>
              <w:t xml:space="preserve">nventaires et des </w:t>
            </w:r>
            <w:r w:rsidR="00A57B08" w:rsidRPr="009F4327">
              <w:rPr>
                <w:b/>
                <w:i/>
                <w:lang w:val="fr-FR"/>
              </w:rPr>
              <w:t>A</w:t>
            </w:r>
            <w:r w:rsidR="00A57B08">
              <w:rPr>
                <w:b/>
                <w:i/>
                <w:lang w:val="fr-FR"/>
              </w:rPr>
              <w:t xml:space="preserve">ménagements </w:t>
            </w:r>
            <w:r w:rsidRPr="009F4327">
              <w:rPr>
                <w:b/>
                <w:i/>
                <w:lang w:val="fr-FR"/>
              </w:rPr>
              <w:t>F</w:t>
            </w:r>
            <w:r w:rsidR="00A57B08">
              <w:rPr>
                <w:b/>
                <w:i/>
                <w:lang w:val="fr-FR"/>
              </w:rPr>
              <w:t>orestiers</w:t>
            </w:r>
            <w:r w:rsidRPr="009F4327">
              <w:rPr>
                <w:b/>
                <w:i/>
                <w:lang w:val="fr-FR"/>
              </w:rPr>
              <w:t> </w:t>
            </w:r>
            <w:r w:rsidR="00A57B08">
              <w:rPr>
                <w:b/>
                <w:i/>
                <w:lang w:val="fr-FR"/>
              </w:rPr>
              <w:t>(DIAF)</w:t>
            </w:r>
            <w:r w:rsidRPr="009F4327">
              <w:rPr>
                <w:b/>
                <w:i/>
                <w:lang w:val="fr-FR"/>
              </w:rPr>
              <w:t>:</w:t>
            </w:r>
          </w:p>
          <w:p w:rsidR="00CE329C" w:rsidRPr="00CE329C" w:rsidRDefault="00CE0107" w:rsidP="00A57B08">
            <w:pPr>
              <w:pStyle w:val="Prrafodelista"/>
              <w:numPr>
                <w:ilvl w:val="0"/>
                <w:numId w:val="5"/>
              </w:numPr>
              <w:suppressAutoHyphens/>
              <w:ind w:left="720"/>
              <w:jc w:val="both"/>
              <w:rPr>
                <w:i/>
                <w:lang w:val="fr-FR"/>
              </w:rPr>
            </w:pPr>
            <w:r w:rsidRPr="00CE329C">
              <w:rPr>
                <w:i/>
                <w:lang w:val="fr-FR"/>
              </w:rPr>
              <w:t>Produ</w:t>
            </w:r>
            <w:r>
              <w:rPr>
                <w:i/>
                <w:lang w:val="fr-FR"/>
              </w:rPr>
              <w:t>ire</w:t>
            </w:r>
            <w:r w:rsidR="00CE329C" w:rsidRPr="00CE329C">
              <w:rPr>
                <w:i/>
                <w:lang w:val="fr-FR"/>
              </w:rPr>
              <w:t xml:space="preserve"> d’une légende harmonisée et d'une méthode d'harmonisation;</w:t>
            </w:r>
          </w:p>
          <w:p w:rsidR="00CE329C" w:rsidRPr="00CE329C" w:rsidRDefault="00CE329C" w:rsidP="00A57B08">
            <w:pPr>
              <w:pStyle w:val="Prrafodelista"/>
              <w:numPr>
                <w:ilvl w:val="0"/>
                <w:numId w:val="5"/>
              </w:numPr>
              <w:suppressAutoHyphens/>
              <w:ind w:left="720"/>
              <w:jc w:val="both"/>
              <w:rPr>
                <w:i/>
                <w:lang w:val="fr-FR"/>
              </w:rPr>
            </w:pPr>
            <w:r>
              <w:rPr>
                <w:i/>
                <w:lang w:val="fr-FR"/>
              </w:rPr>
              <w:t xml:space="preserve">Faire le </w:t>
            </w:r>
            <w:r w:rsidRPr="00CE329C">
              <w:rPr>
                <w:i/>
                <w:lang w:val="fr-FR"/>
              </w:rPr>
              <w:t>Rapport d'évaluation des plantations pérennes</w:t>
            </w:r>
            <w:r>
              <w:rPr>
                <w:i/>
                <w:lang w:val="fr-FR"/>
              </w:rPr>
              <w:t xml:space="preserve"> existantes et planifiées ;</w:t>
            </w:r>
          </w:p>
          <w:p w:rsidR="009F4327" w:rsidRDefault="00CE329C" w:rsidP="00A57B08">
            <w:pPr>
              <w:pStyle w:val="Prrafodelista"/>
              <w:numPr>
                <w:ilvl w:val="0"/>
                <w:numId w:val="5"/>
              </w:numPr>
              <w:suppressAutoHyphens/>
              <w:ind w:left="720"/>
              <w:jc w:val="both"/>
              <w:rPr>
                <w:i/>
                <w:lang w:val="fr-FR"/>
              </w:rPr>
            </w:pPr>
            <w:r>
              <w:rPr>
                <w:i/>
                <w:lang w:val="fr-FR"/>
              </w:rPr>
              <w:t>Rédiger la n</w:t>
            </w:r>
            <w:r w:rsidRPr="00CE329C">
              <w:rPr>
                <w:i/>
                <w:lang w:val="fr-FR"/>
              </w:rPr>
              <w:t>ote technique avec recommandation sur l'inclusion ou l'exclusion des plantations pérennes d</w:t>
            </w:r>
            <w:r>
              <w:rPr>
                <w:i/>
                <w:lang w:val="fr-FR"/>
              </w:rPr>
              <w:t>ans la définition, et décision ;</w:t>
            </w:r>
          </w:p>
          <w:p w:rsidR="00CE329C" w:rsidRDefault="00CE329C" w:rsidP="00A57B08">
            <w:pPr>
              <w:pStyle w:val="Prrafodelista"/>
              <w:numPr>
                <w:ilvl w:val="0"/>
                <w:numId w:val="5"/>
              </w:numPr>
              <w:suppressAutoHyphens/>
              <w:ind w:left="720"/>
              <w:jc w:val="both"/>
              <w:rPr>
                <w:i/>
                <w:lang w:val="fr-FR"/>
              </w:rPr>
            </w:pPr>
            <w:r>
              <w:rPr>
                <w:i/>
                <w:lang w:val="fr-FR"/>
              </w:rPr>
              <w:t xml:space="preserve">Définir de la Déforestation et de la Dégradation des forêts, ainsi que de la </w:t>
            </w:r>
            <w:r w:rsidRPr="00CE329C">
              <w:rPr>
                <w:i/>
                <w:lang w:val="fr-FR"/>
              </w:rPr>
              <w:t>Méthodologie et estimation historique préliminaire des émissions de la dégradation</w:t>
            </w:r>
            <w:r>
              <w:rPr>
                <w:i/>
                <w:lang w:val="fr-FR"/>
              </w:rPr>
              <w:t> ;</w:t>
            </w:r>
          </w:p>
          <w:p w:rsidR="00CE329C" w:rsidRPr="00CE329C" w:rsidRDefault="00CE329C" w:rsidP="00A57B08">
            <w:pPr>
              <w:pStyle w:val="Prrafodelista"/>
              <w:numPr>
                <w:ilvl w:val="0"/>
                <w:numId w:val="5"/>
              </w:numPr>
              <w:suppressAutoHyphens/>
              <w:ind w:left="720"/>
              <w:jc w:val="both"/>
              <w:rPr>
                <w:i/>
                <w:lang w:val="fr-FR"/>
              </w:rPr>
            </w:pPr>
            <w:r w:rsidRPr="00CE329C">
              <w:rPr>
                <w:i/>
                <w:lang w:val="fr-FR"/>
              </w:rPr>
              <w:t>Définir les facteurs de conversion de la biomasse souterraine à utiliser;</w:t>
            </w:r>
          </w:p>
          <w:p w:rsidR="00CE329C" w:rsidRDefault="00CE329C" w:rsidP="00A57B08">
            <w:pPr>
              <w:pStyle w:val="Prrafodelista"/>
              <w:numPr>
                <w:ilvl w:val="0"/>
                <w:numId w:val="5"/>
              </w:numPr>
              <w:suppressAutoHyphens/>
              <w:ind w:left="720"/>
              <w:jc w:val="both"/>
              <w:rPr>
                <w:i/>
                <w:lang w:val="fr-FR"/>
              </w:rPr>
            </w:pPr>
            <w:r>
              <w:rPr>
                <w:i/>
                <w:lang w:val="fr-FR"/>
              </w:rPr>
              <w:t>Préparer</w:t>
            </w:r>
            <w:r w:rsidRPr="00CE329C">
              <w:rPr>
                <w:i/>
                <w:lang w:val="fr-FR"/>
              </w:rPr>
              <w:t xml:space="preserve"> d'une note technique pour expliquer les activités de collection de données pour les trois réservoirs exclus</w:t>
            </w:r>
            <w:r>
              <w:rPr>
                <w:i/>
                <w:lang w:val="fr-FR"/>
              </w:rPr>
              <w:t> ;</w:t>
            </w:r>
          </w:p>
          <w:p w:rsidR="00CE329C" w:rsidRDefault="00CE329C" w:rsidP="00A57B08">
            <w:pPr>
              <w:pStyle w:val="Prrafodelista"/>
              <w:numPr>
                <w:ilvl w:val="0"/>
                <w:numId w:val="5"/>
              </w:numPr>
              <w:suppressAutoHyphens/>
              <w:ind w:left="720"/>
              <w:jc w:val="both"/>
              <w:rPr>
                <w:i/>
                <w:lang w:val="fr-FR"/>
              </w:rPr>
            </w:pPr>
            <w:r>
              <w:rPr>
                <w:i/>
                <w:lang w:val="fr-FR"/>
              </w:rPr>
              <w:t>Faire le r</w:t>
            </w:r>
            <w:r w:rsidRPr="00CE329C">
              <w:rPr>
                <w:i/>
                <w:lang w:val="fr-FR"/>
              </w:rPr>
              <w:t>apport d</w:t>
            </w:r>
            <w:r>
              <w:rPr>
                <w:i/>
                <w:lang w:val="fr-FR"/>
              </w:rPr>
              <w:t>'état des lieux sur l'état des équations allométriques</w:t>
            </w:r>
            <w:r w:rsidR="00CE0107">
              <w:rPr>
                <w:i/>
                <w:lang w:val="fr-FR"/>
              </w:rPr>
              <w:t xml:space="preserve"> produits </w:t>
            </w:r>
            <w:r w:rsidRPr="00CE329C">
              <w:rPr>
                <w:i/>
                <w:lang w:val="fr-FR"/>
              </w:rPr>
              <w:t xml:space="preserve">disponibles pour la RDC, incluant recommandations pour l'utilisation des </w:t>
            </w:r>
            <w:r w:rsidR="00CE0107">
              <w:rPr>
                <w:i/>
                <w:lang w:val="fr-FR"/>
              </w:rPr>
              <w:t>équations allométriques</w:t>
            </w:r>
            <w:r w:rsidRPr="00CE329C">
              <w:rPr>
                <w:i/>
                <w:lang w:val="fr-FR"/>
              </w:rPr>
              <w:t xml:space="preserve"> pour le NRF;</w:t>
            </w:r>
          </w:p>
          <w:p w:rsidR="00CE0107" w:rsidRDefault="00CE0107" w:rsidP="00A57B08">
            <w:pPr>
              <w:pStyle w:val="Prrafodelista"/>
              <w:numPr>
                <w:ilvl w:val="0"/>
                <w:numId w:val="5"/>
              </w:numPr>
              <w:suppressAutoHyphens/>
              <w:ind w:left="720"/>
              <w:jc w:val="both"/>
              <w:rPr>
                <w:i/>
                <w:lang w:val="fr-FR"/>
              </w:rPr>
            </w:pPr>
            <w:r>
              <w:rPr>
                <w:i/>
                <w:lang w:val="fr-FR"/>
              </w:rPr>
              <w:t>Déterminer la période historique et la période d’actualisation du NRF ;</w:t>
            </w:r>
          </w:p>
          <w:p w:rsidR="00CE0107" w:rsidRDefault="00CE0107" w:rsidP="00A57B08">
            <w:pPr>
              <w:pStyle w:val="Prrafodelista"/>
              <w:numPr>
                <w:ilvl w:val="0"/>
                <w:numId w:val="5"/>
              </w:numPr>
              <w:suppressAutoHyphens/>
              <w:ind w:left="720"/>
              <w:jc w:val="both"/>
              <w:rPr>
                <w:i/>
                <w:lang w:val="fr-FR"/>
              </w:rPr>
            </w:pPr>
            <w:r>
              <w:rPr>
                <w:i/>
                <w:lang w:val="fr-FR"/>
              </w:rPr>
              <w:t>Élaborer une a</w:t>
            </w:r>
            <w:r w:rsidRPr="00CE0107">
              <w:rPr>
                <w:i/>
                <w:lang w:val="fr-FR"/>
              </w:rPr>
              <w:t>pproche méthodologique</w:t>
            </w:r>
            <w:r>
              <w:rPr>
                <w:i/>
                <w:lang w:val="fr-FR"/>
              </w:rPr>
              <w:t xml:space="preserve"> pour le développement du </w:t>
            </w:r>
            <w:r w:rsidR="001019FC">
              <w:rPr>
                <w:i/>
                <w:lang w:val="fr-FR"/>
              </w:rPr>
              <w:t>NRF</w:t>
            </w:r>
            <w:r>
              <w:rPr>
                <w:i/>
                <w:lang w:val="fr-FR"/>
              </w:rPr>
              <w:t> ;</w:t>
            </w:r>
          </w:p>
          <w:p w:rsidR="00CE0107" w:rsidRDefault="00CE0107" w:rsidP="00CE0107">
            <w:pPr>
              <w:suppressAutoHyphens/>
              <w:jc w:val="both"/>
              <w:rPr>
                <w:b/>
                <w:i/>
                <w:lang w:val="fr-FR"/>
              </w:rPr>
            </w:pPr>
            <w:r w:rsidRPr="00CE0107">
              <w:rPr>
                <w:b/>
                <w:i/>
                <w:lang w:val="fr-FR"/>
              </w:rPr>
              <w:t>D</w:t>
            </w:r>
            <w:r w:rsidR="00A57B08">
              <w:rPr>
                <w:b/>
                <w:i/>
                <w:lang w:val="fr-FR"/>
              </w:rPr>
              <w:t xml:space="preserve">irection de </w:t>
            </w:r>
            <w:r w:rsidRPr="00CE0107">
              <w:rPr>
                <w:b/>
                <w:i/>
                <w:lang w:val="fr-FR"/>
              </w:rPr>
              <w:t>D</w:t>
            </w:r>
            <w:r w:rsidR="00A57B08">
              <w:rPr>
                <w:b/>
                <w:i/>
                <w:lang w:val="fr-FR"/>
              </w:rPr>
              <w:t xml:space="preserve">éveloppement </w:t>
            </w:r>
            <w:r w:rsidRPr="00CE0107">
              <w:rPr>
                <w:b/>
                <w:i/>
                <w:lang w:val="fr-FR"/>
              </w:rPr>
              <w:t>D</w:t>
            </w:r>
            <w:r w:rsidR="00A57B08">
              <w:rPr>
                <w:b/>
                <w:i/>
                <w:lang w:val="fr-FR"/>
              </w:rPr>
              <w:t>urable (DDD)</w:t>
            </w:r>
            <w:r>
              <w:rPr>
                <w:b/>
                <w:i/>
                <w:lang w:val="fr-FR"/>
              </w:rPr>
              <w:t> :</w:t>
            </w:r>
          </w:p>
          <w:p w:rsidR="00CE0107" w:rsidRDefault="00CE0107" w:rsidP="001019FC">
            <w:pPr>
              <w:pStyle w:val="Prrafodelista"/>
              <w:numPr>
                <w:ilvl w:val="0"/>
                <w:numId w:val="5"/>
              </w:numPr>
              <w:suppressAutoHyphens/>
              <w:ind w:left="720"/>
              <w:jc w:val="both"/>
              <w:rPr>
                <w:i/>
                <w:lang w:val="fr-FR"/>
              </w:rPr>
            </w:pPr>
            <w:r>
              <w:rPr>
                <w:i/>
                <w:lang w:val="fr-FR"/>
              </w:rPr>
              <w:t>Rédiger une n</w:t>
            </w:r>
            <w:r w:rsidRPr="00CE0107">
              <w:rPr>
                <w:i/>
                <w:lang w:val="fr-FR"/>
              </w:rPr>
              <w:t xml:space="preserve">ote technique et analyse sur l'inclusion ou l'exclusion </w:t>
            </w:r>
            <w:r>
              <w:rPr>
                <w:i/>
                <w:lang w:val="fr-FR"/>
              </w:rPr>
              <w:t>de l’</w:t>
            </w:r>
            <w:r w:rsidRPr="00CE0107">
              <w:rPr>
                <w:i/>
                <w:lang w:val="fr-FR"/>
              </w:rPr>
              <w:t xml:space="preserve">augmentation des stocks, </w:t>
            </w:r>
            <w:r>
              <w:rPr>
                <w:i/>
                <w:lang w:val="fr-FR"/>
              </w:rPr>
              <w:t xml:space="preserve">la </w:t>
            </w:r>
            <w:r w:rsidRPr="00CE0107">
              <w:rPr>
                <w:i/>
                <w:lang w:val="fr-FR"/>
              </w:rPr>
              <w:t xml:space="preserve">conservation, </w:t>
            </w:r>
            <w:r>
              <w:rPr>
                <w:i/>
                <w:lang w:val="fr-FR"/>
              </w:rPr>
              <w:t xml:space="preserve">et la </w:t>
            </w:r>
            <w:r w:rsidRPr="00CE0107">
              <w:rPr>
                <w:i/>
                <w:lang w:val="fr-FR"/>
              </w:rPr>
              <w:t>gestion durable, avec recommandations sur l'inclusion dans la</w:t>
            </w:r>
            <w:r>
              <w:rPr>
                <w:i/>
                <w:lang w:val="fr-FR"/>
              </w:rPr>
              <w:t xml:space="preserve"> prochaine</w:t>
            </w:r>
            <w:r w:rsidRPr="00CE0107">
              <w:rPr>
                <w:i/>
                <w:lang w:val="fr-FR"/>
              </w:rPr>
              <w:t xml:space="preserve"> soumission (corps ou annexe)</w:t>
            </w:r>
            <w:r w:rsidR="00A57B08">
              <w:rPr>
                <w:i/>
                <w:lang w:val="fr-FR"/>
              </w:rPr>
              <w:t> ;</w:t>
            </w:r>
          </w:p>
          <w:p w:rsidR="00CE0107" w:rsidRDefault="00CE0107" w:rsidP="001019FC">
            <w:pPr>
              <w:pStyle w:val="Prrafodelista"/>
              <w:numPr>
                <w:ilvl w:val="0"/>
                <w:numId w:val="5"/>
              </w:numPr>
              <w:suppressAutoHyphens/>
              <w:ind w:left="720"/>
              <w:jc w:val="both"/>
              <w:rPr>
                <w:i/>
                <w:lang w:val="fr-FR"/>
              </w:rPr>
            </w:pPr>
            <w:r>
              <w:rPr>
                <w:i/>
                <w:lang w:val="fr-FR"/>
              </w:rPr>
              <w:t>Etablir un d</w:t>
            </w:r>
            <w:r w:rsidRPr="00CE0107">
              <w:rPr>
                <w:i/>
                <w:lang w:val="fr-FR"/>
              </w:rPr>
              <w:t xml:space="preserve">ialogue institutionnel et </w:t>
            </w:r>
            <w:r>
              <w:rPr>
                <w:i/>
                <w:lang w:val="fr-FR"/>
              </w:rPr>
              <w:t xml:space="preserve">la </w:t>
            </w:r>
            <w:r w:rsidRPr="00CE0107">
              <w:rPr>
                <w:i/>
                <w:lang w:val="fr-FR"/>
              </w:rPr>
              <w:t>création d'un protocole d'accord entre le MEDD et les institutions</w:t>
            </w:r>
            <w:r w:rsidR="00A57B08">
              <w:rPr>
                <w:i/>
                <w:lang w:val="fr-FR"/>
              </w:rPr>
              <w:t xml:space="preserve"> pour faciliter le </w:t>
            </w:r>
            <w:r w:rsidR="00A57B08" w:rsidRPr="00A57B08">
              <w:rPr>
                <w:i/>
                <w:lang w:val="fr-FR"/>
              </w:rPr>
              <w:t>partage des données</w:t>
            </w:r>
            <w:r w:rsidR="00A57B08">
              <w:rPr>
                <w:i/>
                <w:lang w:val="fr-FR"/>
              </w:rPr>
              <w:t> ;</w:t>
            </w:r>
          </w:p>
          <w:p w:rsidR="00A57B08" w:rsidRDefault="001019FC" w:rsidP="001019FC">
            <w:pPr>
              <w:pStyle w:val="Prrafodelista"/>
              <w:numPr>
                <w:ilvl w:val="0"/>
                <w:numId w:val="5"/>
              </w:numPr>
              <w:suppressAutoHyphens/>
              <w:ind w:left="720"/>
              <w:jc w:val="both"/>
              <w:rPr>
                <w:i/>
                <w:lang w:val="fr-FR"/>
              </w:rPr>
            </w:pPr>
            <w:r>
              <w:rPr>
                <w:i/>
                <w:lang w:val="fr-FR"/>
              </w:rPr>
              <w:t xml:space="preserve">Développer et justifier l’ajustement du NRF en analysant certains facteurs comment </w:t>
            </w:r>
            <w:r w:rsidRPr="001019FC">
              <w:rPr>
                <w:i/>
                <w:lang w:val="fr-FR"/>
              </w:rPr>
              <w:t>la croissance démographique anticipée, l’accessibilité, les plans de développement du territoire</w:t>
            </w:r>
            <w:r>
              <w:rPr>
                <w:i/>
                <w:lang w:val="fr-FR"/>
              </w:rPr>
              <w:t> ;</w:t>
            </w:r>
          </w:p>
          <w:p w:rsidR="00A22986" w:rsidRDefault="00A22986" w:rsidP="00A22986">
            <w:pPr>
              <w:pStyle w:val="Prrafodelista"/>
              <w:numPr>
                <w:ilvl w:val="0"/>
                <w:numId w:val="5"/>
              </w:numPr>
              <w:suppressAutoHyphens/>
              <w:ind w:left="720"/>
              <w:jc w:val="both"/>
              <w:rPr>
                <w:i/>
                <w:lang w:val="fr-FR"/>
              </w:rPr>
            </w:pPr>
            <w:r w:rsidRPr="001019FC">
              <w:rPr>
                <w:i/>
                <w:lang w:val="fr-FR"/>
              </w:rPr>
              <w:t xml:space="preserve">Etablir les critères </w:t>
            </w:r>
            <w:r>
              <w:rPr>
                <w:i/>
                <w:lang w:val="fr-FR"/>
              </w:rPr>
              <w:t xml:space="preserve">techniques,  institutionnels et administratifs ainsi que la méthodologie </w:t>
            </w:r>
            <w:r w:rsidRPr="001019FC">
              <w:rPr>
                <w:i/>
                <w:lang w:val="fr-FR"/>
              </w:rPr>
              <w:t xml:space="preserve">de sélection </w:t>
            </w:r>
            <w:r>
              <w:rPr>
                <w:i/>
                <w:lang w:val="fr-FR"/>
              </w:rPr>
              <w:t xml:space="preserve">de la région/les régions à inclus dans </w:t>
            </w:r>
            <w:r w:rsidRPr="001019FC">
              <w:rPr>
                <w:i/>
                <w:lang w:val="fr-FR"/>
              </w:rPr>
              <w:t xml:space="preserve">l’échelle </w:t>
            </w:r>
            <w:r>
              <w:rPr>
                <w:i/>
                <w:lang w:val="fr-FR"/>
              </w:rPr>
              <w:t>de NRF ;</w:t>
            </w:r>
          </w:p>
          <w:p w:rsidR="00A22986" w:rsidRPr="001019FC" w:rsidRDefault="00A22986" w:rsidP="00A22986">
            <w:pPr>
              <w:pStyle w:val="Prrafodelista"/>
              <w:numPr>
                <w:ilvl w:val="0"/>
                <w:numId w:val="5"/>
              </w:numPr>
              <w:suppressAutoHyphens/>
              <w:ind w:left="720"/>
              <w:jc w:val="both"/>
              <w:rPr>
                <w:i/>
                <w:lang w:val="fr-FR"/>
              </w:rPr>
            </w:pPr>
            <w:r w:rsidRPr="001019FC">
              <w:rPr>
                <w:i/>
                <w:lang w:val="fr-FR"/>
              </w:rPr>
              <w:t>Préparer une note technique sur les critères de sélection, méthodologie et recommandations de l’échelle du NRF;</w:t>
            </w:r>
          </w:p>
          <w:p w:rsidR="00A22986" w:rsidRPr="00A22986" w:rsidRDefault="00A22986" w:rsidP="00A22986">
            <w:pPr>
              <w:pStyle w:val="Prrafodelista"/>
              <w:numPr>
                <w:ilvl w:val="0"/>
                <w:numId w:val="5"/>
              </w:numPr>
              <w:suppressAutoHyphens/>
              <w:ind w:left="720"/>
              <w:jc w:val="both"/>
              <w:rPr>
                <w:i/>
                <w:lang w:val="fr-FR"/>
              </w:rPr>
            </w:pPr>
            <w:r>
              <w:rPr>
                <w:i/>
                <w:lang w:val="fr-FR"/>
              </w:rPr>
              <w:t>valider</w:t>
            </w:r>
            <w:r w:rsidRPr="001019FC">
              <w:rPr>
                <w:i/>
                <w:lang w:val="fr-FR"/>
              </w:rPr>
              <w:t xml:space="preserve"> l'échelle</w:t>
            </w:r>
            <w:r>
              <w:rPr>
                <w:i/>
                <w:lang w:val="fr-FR"/>
              </w:rPr>
              <w:t xml:space="preserve"> avec les diffèrent acteurs politiques  et institutionnels impliques dans NRF</w:t>
            </w:r>
            <w:r w:rsidRPr="001019FC">
              <w:rPr>
                <w:i/>
                <w:lang w:val="fr-FR"/>
              </w:rPr>
              <w:t>;</w:t>
            </w:r>
          </w:p>
          <w:p w:rsidR="001019FC" w:rsidRPr="001019FC" w:rsidRDefault="001019FC" w:rsidP="001019FC">
            <w:pPr>
              <w:suppressAutoHyphens/>
              <w:jc w:val="both"/>
              <w:rPr>
                <w:b/>
                <w:i/>
                <w:lang w:val="fr-FR"/>
              </w:rPr>
            </w:pPr>
            <w:r w:rsidRPr="001019FC">
              <w:rPr>
                <w:b/>
                <w:i/>
                <w:lang w:val="fr-FR"/>
              </w:rPr>
              <w:t>CN-REDD :</w:t>
            </w:r>
          </w:p>
          <w:p w:rsidR="00597E77" w:rsidRPr="00597E77" w:rsidRDefault="001019FC" w:rsidP="00597E77">
            <w:pPr>
              <w:pStyle w:val="Prrafodelista"/>
              <w:numPr>
                <w:ilvl w:val="0"/>
                <w:numId w:val="5"/>
              </w:numPr>
              <w:suppressAutoHyphens/>
              <w:ind w:left="720"/>
              <w:jc w:val="both"/>
              <w:rPr>
                <w:i/>
                <w:lang w:val="fr-FR"/>
              </w:rPr>
            </w:pPr>
            <w:r w:rsidRPr="001019FC">
              <w:rPr>
                <w:i/>
                <w:lang w:val="fr-FR"/>
              </w:rPr>
              <w:t>Sensibilis</w:t>
            </w:r>
            <w:r>
              <w:rPr>
                <w:i/>
                <w:lang w:val="fr-FR"/>
              </w:rPr>
              <w:t>er</w:t>
            </w:r>
            <w:r w:rsidRPr="001019FC">
              <w:rPr>
                <w:i/>
                <w:lang w:val="fr-FR"/>
              </w:rPr>
              <w:t xml:space="preserve"> </w:t>
            </w:r>
            <w:r>
              <w:rPr>
                <w:i/>
                <w:lang w:val="fr-FR"/>
              </w:rPr>
              <w:t xml:space="preserve">la population et les acteurs </w:t>
            </w:r>
            <w:r w:rsidRPr="001019FC">
              <w:rPr>
                <w:i/>
                <w:lang w:val="fr-FR"/>
              </w:rPr>
              <w:t xml:space="preserve">dans les zones </w:t>
            </w:r>
            <w:r w:rsidR="00A22986" w:rsidRPr="001019FC">
              <w:rPr>
                <w:i/>
                <w:lang w:val="fr-FR"/>
              </w:rPr>
              <w:t xml:space="preserve">l’échelle </w:t>
            </w:r>
            <w:r w:rsidR="00A22986">
              <w:rPr>
                <w:i/>
                <w:lang w:val="fr-FR"/>
              </w:rPr>
              <w:t>de NRF </w:t>
            </w:r>
            <w:r w:rsidR="00A22986" w:rsidRPr="001019FC">
              <w:rPr>
                <w:i/>
                <w:lang w:val="fr-FR"/>
              </w:rPr>
              <w:t xml:space="preserve"> </w:t>
            </w:r>
            <w:r w:rsidRPr="001019FC">
              <w:rPr>
                <w:i/>
                <w:lang w:val="fr-FR"/>
              </w:rPr>
              <w:t>choisies</w:t>
            </w:r>
          </w:p>
          <w:p w:rsidR="009201BA" w:rsidRDefault="009201BA" w:rsidP="009201BA">
            <w:pPr>
              <w:suppressAutoHyphens/>
              <w:jc w:val="both"/>
              <w:rPr>
                <w:b/>
                <w:i/>
                <w:lang w:val="fr-FR"/>
              </w:rPr>
            </w:pPr>
            <w:r w:rsidRPr="00597E77">
              <w:rPr>
                <w:b/>
                <w:i/>
                <w:lang w:val="fr-FR"/>
              </w:rPr>
              <w:t>Groupe de Travail </w:t>
            </w:r>
            <w:r>
              <w:rPr>
                <w:b/>
                <w:i/>
                <w:lang w:val="fr-FR"/>
              </w:rPr>
              <w:t>NRF</w:t>
            </w:r>
            <w:r w:rsidRPr="00597E77">
              <w:rPr>
                <w:b/>
                <w:i/>
                <w:lang w:val="fr-FR"/>
              </w:rPr>
              <w:t>:</w:t>
            </w:r>
          </w:p>
          <w:p w:rsidR="009201BA" w:rsidRPr="003E4A4E" w:rsidRDefault="009201BA" w:rsidP="009201BA">
            <w:pPr>
              <w:pStyle w:val="Prrafodelista"/>
              <w:numPr>
                <w:ilvl w:val="0"/>
                <w:numId w:val="5"/>
              </w:numPr>
              <w:suppressAutoHyphens/>
              <w:ind w:left="720"/>
              <w:jc w:val="both"/>
              <w:rPr>
                <w:lang w:val="fr-FR"/>
              </w:rPr>
            </w:pPr>
            <w:r w:rsidRPr="003E4A4E">
              <w:rPr>
                <w:lang w:val="fr-FR"/>
              </w:rPr>
              <w:t>Donner des avis et le soutienne technique aux institutions</w:t>
            </w:r>
            <w:r>
              <w:rPr>
                <w:lang w:val="fr-FR"/>
              </w:rPr>
              <w:t xml:space="preserve"> et </w:t>
            </w:r>
            <w:r>
              <w:rPr>
                <w:rFonts w:asciiTheme="minorHAnsi" w:hAnsiTheme="minorHAnsi"/>
                <w:sz w:val="20"/>
                <w:szCs w:val="24"/>
                <w:lang w:val="fr-FR"/>
              </w:rPr>
              <w:t>prenantes nationales et internationales pertinents au processus de développement du NRF en RDC </w:t>
            </w:r>
            <w:r>
              <w:rPr>
                <w:lang w:val="fr-FR"/>
              </w:rPr>
              <w:t>;</w:t>
            </w:r>
          </w:p>
          <w:p w:rsidR="009201BA" w:rsidRDefault="009201BA" w:rsidP="009201BA">
            <w:pPr>
              <w:pStyle w:val="Prrafodelista"/>
              <w:numPr>
                <w:ilvl w:val="0"/>
                <w:numId w:val="5"/>
              </w:numPr>
              <w:suppressAutoHyphens/>
              <w:ind w:left="720"/>
              <w:jc w:val="both"/>
              <w:rPr>
                <w:lang w:val="fr-FR"/>
              </w:rPr>
            </w:pPr>
            <w:r w:rsidRPr="003E4A4E">
              <w:rPr>
                <w:lang w:val="fr-FR"/>
              </w:rPr>
              <w:t>Se r</w:t>
            </w:r>
            <w:r>
              <w:rPr>
                <w:lang w:val="fr-FR"/>
              </w:rPr>
              <w:t xml:space="preserve">éunir périodiquement pour donner </w:t>
            </w:r>
            <w:r w:rsidRPr="003E4A4E">
              <w:rPr>
                <w:lang w:val="fr-FR"/>
              </w:rPr>
              <w:t>les recommandations et les clarifications des activités et résultats menés par les institutions et partenaires</w:t>
            </w:r>
            <w:r>
              <w:rPr>
                <w:lang w:val="fr-FR"/>
              </w:rPr>
              <w:t xml:space="preserve"> impliques; </w:t>
            </w:r>
          </w:p>
          <w:p w:rsidR="009201BA" w:rsidRPr="003E4A4E" w:rsidRDefault="009201BA" w:rsidP="009201BA">
            <w:pPr>
              <w:pStyle w:val="Prrafodelista"/>
              <w:numPr>
                <w:ilvl w:val="0"/>
                <w:numId w:val="5"/>
              </w:numPr>
              <w:suppressAutoHyphens/>
              <w:ind w:left="720"/>
              <w:jc w:val="both"/>
              <w:rPr>
                <w:lang w:val="fr-FR"/>
              </w:rPr>
            </w:pPr>
            <w:r>
              <w:rPr>
                <w:lang w:val="fr-FR"/>
              </w:rPr>
              <w:t>Informer de l’état d’avancement au Secrétariat Général du MEDD, aux Directeurs de la DIAF, de la DDD et au Coordonnateur National REDD+ ;</w:t>
            </w:r>
          </w:p>
          <w:p w:rsidR="009201BA" w:rsidRPr="0070790B" w:rsidRDefault="009201BA" w:rsidP="009201BA">
            <w:pPr>
              <w:pStyle w:val="Prrafodelista"/>
              <w:numPr>
                <w:ilvl w:val="0"/>
                <w:numId w:val="5"/>
              </w:numPr>
              <w:suppressAutoHyphens/>
              <w:ind w:left="720"/>
              <w:jc w:val="both"/>
              <w:rPr>
                <w:lang w:val="fr-FR"/>
              </w:rPr>
            </w:pPr>
            <w:r w:rsidRPr="00E933DE">
              <w:rPr>
                <w:lang w:val="fr-FR"/>
              </w:rPr>
              <w:lastRenderedPageBreak/>
              <w:t>Organiser des échanges techniques sur l’enjeu des NRF entre la RDC et d’autres pays/acteurs pertinents afin d’éviter les doublons et assurer une cohérence entre les différentes initiatives;</w:t>
            </w:r>
          </w:p>
          <w:p w:rsidR="009201BA" w:rsidRPr="00E933DE" w:rsidRDefault="009201BA" w:rsidP="00E933DE">
            <w:pPr>
              <w:pStyle w:val="Prrafodelista"/>
              <w:numPr>
                <w:ilvl w:val="0"/>
                <w:numId w:val="5"/>
              </w:numPr>
              <w:suppressAutoHyphens/>
              <w:ind w:left="720"/>
              <w:jc w:val="both"/>
              <w:rPr>
                <w:lang w:val="fr-FR"/>
              </w:rPr>
            </w:pPr>
            <w:r w:rsidRPr="00E933DE">
              <w:rPr>
                <w:lang w:val="fr-FR"/>
              </w:rPr>
              <w:t xml:space="preserve">Faciliter l’organisation et la planification des sous-groupes de travail en fonction de la feuille de route et des livrables ; </w:t>
            </w:r>
          </w:p>
          <w:p w:rsidR="009201BA" w:rsidRPr="00E933DE" w:rsidRDefault="009201BA" w:rsidP="00E933DE">
            <w:pPr>
              <w:pStyle w:val="Prrafodelista"/>
              <w:numPr>
                <w:ilvl w:val="0"/>
                <w:numId w:val="5"/>
              </w:numPr>
              <w:suppressAutoHyphens/>
              <w:ind w:left="720"/>
              <w:jc w:val="both"/>
              <w:rPr>
                <w:lang w:val="fr-FR"/>
              </w:rPr>
            </w:pPr>
            <w:r w:rsidRPr="00E933DE">
              <w:rPr>
                <w:lang w:val="fr-FR"/>
              </w:rPr>
              <w:t>Veillez au respect des échéanciers de la feuille de route et informer de façon régulière le SG du MEDD et les acteurs gouvernementaux clés de la REDD+ en RDC (CN-REDD, DDD et DIAF) de l’état d’avancement des travaux ;</w:t>
            </w:r>
          </w:p>
          <w:p w:rsidR="009201BA" w:rsidRDefault="009201BA" w:rsidP="009201BA">
            <w:pPr>
              <w:suppressAutoHyphens/>
              <w:jc w:val="both"/>
              <w:rPr>
                <w:b/>
                <w:i/>
                <w:lang w:val="fr-FR"/>
              </w:rPr>
            </w:pPr>
            <w:r w:rsidRPr="0070790B">
              <w:rPr>
                <w:b/>
                <w:i/>
                <w:lang w:val="fr-FR"/>
              </w:rPr>
              <w:t>Cellule Technique NRF</w:t>
            </w:r>
            <w:r>
              <w:rPr>
                <w:b/>
                <w:i/>
                <w:lang w:val="fr-FR"/>
              </w:rPr>
              <w:t> :</w:t>
            </w:r>
          </w:p>
          <w:p w:rsidR="009201BA" w:rsidRPr="00E933DE" w:rsidRDefault="009201BA" w:rsidP="00E933DE">
            <w:pPr>
              <w:pStyle w:val="Prrafodelista"/>
              <w:numPr>
                <w:ilvl w:val="0"/>
                <w:numId w:val="5"/>
              </w:numPr>
              <w:suppressAutoHyphens/>
              <w:ind w:left="720"/>
              <w:jc w:val="both"/>
              <w:rPr>
                <w:lang w:val="fr-FR"/>
              </w:rPr>
            </w:pPr>
            <w:r w:rsidRPr="00E933DE">
              <w:rPr>
                <w:lang w:val="fr-FR"/>
              </w:rPr>
              <w:t>Coordonner la mise en place du Groupe de Travail National sur le NRF ;</w:t>
            </w:r>
          </w:p>
          <w:p w:rsidR="009201BA" w:rsidRPr="00E933DE" w:rsidRDefault="009201BA" w:rsidP="00E933DE">
            <w:pPr>
              <w:pStyle w:val="Prrafodelista"/>
              <w:numPr>
                <w:ilvl w:val="0"/>
                <w:numId w:val="5"/>
              </w:numPr>
              <w:suppressAutoHyphens/>
              <w:ind w:left="720"/>
              <w:jc w:val="both"/>
              <w:rPr>
                <w:lang w:val="fr-FR"/>
              </w:rPr>
            </w:pPr>
            <w:r w:rsidRPr="00E933DE">
              <w:rPr>
                <w:lang w:val="fr-FR"/>
              </w:rPr>
              <w:t>Planifier le calendrier des réunions du Groupe de Travail National sur le NRF ;</w:t>
            </w:r>
          </w:p>
          <w:p w:rsidR="009201BA" w:rsidRPr="00E933DE" w:rsidRDefault="009201BA" w:rsidP="00E933DE">
            <w:pPr>
              <w:pStyle w:val="Prrafodelista"/>
              <w:numPr>
                <w:ilvl w:val="0"/>
                <w:numId w:val="5"/>
              </w:numPr>
              <w:suppressAutoHyphens/>
              <w:ind w:left="720"/>
              <w:jc w:val="both"/>
              <w:rPr>
                <w:lang w:val="fr-FR"/>
              </w:rPr>
            </w:pPr>
            <w:r w:rsidRPr="00E933DE">
              <w:rPr>
                <w:lang w:val="fr-FR"/>
              </w:rPr>
              <w:t>Faciliter les réunions et les échanges techniques du Groupe de Travail National et ses sous-groupes, notamment en apportant une expertise technique sur les Niveaux de Référence en s’appuyant sur l’approche ONU-REDD et sur les bonnes pratiques internationales sur les NRF;</w:t>
            </w:r>
          </w:p>
          <w:p w:rsidR="009201BA" w:rsidRPr="00E933DE" w:rsidRDefault="009201BA" w:rsidP="00E933DE">
            <w:pPr>
              <w:pStyle w:val="Prrafodelista"/>
              <w:numPr>
                <w:ilvl w:val="0"/>
                <w:numId w:val="5"/>
              </w:numPr>
              <w:suppressAutoHyphens/>
              <w:ind w:left="720"/>
              <w:jc w:val="both"/>
              <w:rPr>
                <w:lang w:val="fr-FR"/>
              </w:rPr>
            </w:pPr>
            <w:r w:rsidRPr="00E933DE">
              <w:rPr>
                <w:lang w:val="fr-FR"/>
              </w:rPr>
              <w:t>Établir des liens avec les acteurs gouvernementaux, les partenaires financiers et techniques de la RDC, de même que les parties prenantes nationales et internationales pertinents au processus de développement du NRF en RDC ;</w:t>
            </w:r>
          </w:p>
          <w:p w:rsidR="009201BA" w:rsidRPr="00E933DE" w:rsidRDefault="009201BA" w:rsidP="00E933DE">
            <w:pPr>
              <w:pStyle w:val="Prrafodelista"/>
              <w:numPr>
                <w:ilvl w:val="0"/>
                <w:numId w:val="5"/>
              </w:numPr>
              <w:suppressAutoHyphens/>
              <w:ind w:left="720"/>
              <w:jc w:val="both"/>
              <w:rPr>
                <w:lang w:val="fr-FR"/>
              </w:rPr>
            </w:pPr>
            <w:r w:rsidRPr="00E933DE">
              <w:rPr>
                <w:lang w:val="fr-FR"/>
              </w:rPr>
              <w:t xml:space="preserve">Contrôler et s’assurer de la qualité des livrables du Groupe de Travail National ; </w:t>
            </w:r>
          </w:p>
          <w:p w:rsidR="009201BA" w:rsidRPr="00E933DE" w:rsidRDefault="009201BA" w:rsidP="00E933DE">
            <w:pPr>
              <w:pStyle w:val="Prrafodelista"/>
              <w:numPr>
                <w:ilvl w:val="0"/>
                <w:numId w:val="5"/>
              </w:numPr>
              <w:suppressAutoHyphens/>
              <w:ind w:left="720"/>
              <w:jc w:val="both"/>
              <w:rPr>
                <w:lang w:val="fr-FR"/>
              </w:rPr>
            </w:pPr>
            <w:r w:rsidRPr="00E933DE">
              <w:rPr>
                <w:lang w:val="fr-FR"/>
              </w:rPr>
              <w:t>Coordonner et participer activement à la rédaction de la soumission du NERF/NRF de la RDC en vue de la CdP de Paris ;</w:t>
            </w:r>
          </w:p>
          <w:p w:rsidR="00597E77" w:rsidRPr="009201BA" w:rsidRDefault="009201BA" w:rsidP="00E933DE">
            <w:pPr>
              <w:pStyle w:val="Prrafodelista"/>
              <w:numPr>
                <w:ilvl w:val="0"/>
                <w:numId w:val="5"/>
              </w:numPr>
              <w:suppressAutoHyphens/>
              <w:ind w:left="720"/>
              <w:jc w:val="both"/>
              <w:rPr>
                <w:rFonts w:asciiTheme="minorHAnsi" w:hAnsiTheme="minorHAnsi"/>
                <w:sz w:val="20"/>
                <w:szCs w:val="24"/>
                <w:lang w:val="fr-FR"/>
              </w:rPr>
            </w:pPr>
            <w:r w:rsidRPr="00E933DE">
              <w:rPr>
                <w:lang w:val="fr-FR"/>
              </w:rPr>
              <w:t>Préparer et soutenir la présentation de la soumission NERF/NRF de la RDC prévue lors de la CdP de Paris.</w:t>
            </w:r>
          </w:p>
        </w:tc>
      </w:tr>
    </w:tbl>
    <w:p w:rsidR="009B4319" w:rsidRPr="00C9730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FE1C7E" w:rsidTr="00465C55">
        <w:trPr>
          <w:cantSplit/>
        </w:trPr>
        <w:tc>
          <w:tcPr>
            <w:tcW w:w="9576" w:type="dxa"/>
            <w:shd w:val="clear" w:color="auto" w:fill="DBE5F1"/>
          </w:tcPr>
          <w:p w:rsidR="009B4319" w:rsidRPr="00C97309" w:rsidRDefault="009B4319" w:rsidP="00D70C4B">
            <w:pPr>
              <w:spacing w:after="0" w:line="240" w:lineRule="auto"/>
              <w:rPr>
                <w:b/>
                <w:color w:val="0F243E"/>
                <w:lang w:val="fr-FR"/>
              </w:rPr>
            </w:pPr>
            <w:r w:rsidRPr="00C97309">
              <w:rPr>
                <w:b/>
                <w:color w:val="0F243E"/>
                <w:lang w:val="fr-FR"/>
              </w:rPr>
              <w:t xml:space="preserve">V. SOURCE DE FINANCEMENT </w:t>
            </w:r>
          </w:p>
          <w:p w:rsidR="009B4319" w:rsidRPr="00C97309" w:rsidRDefault="009B4319" w:rsidP="00105EE6">
            <w:pPr>
              <w:spacing w:after="0" w:line="240" w:lineRule="auto"/>
              <w:rPr>
                <w:color w:val="1F497D"/>
                <w:lang w:val="fr-FR"/>
              </w:rPr>
            </w:pPr>
            <w:r w:rsidRPr="00C97309">
              <w:rPr>
                <w:color w:val="1F497D"/>
                <w:lang w:val="fr-FR"/>
              </w:rPr>
              <w:t xml:space="preserve">Veuillez indiquer toute éventuelle source de cofinancement des activités prévues.   </w:t>
            </w:r>
          </w:p>
          <w:p w:rsidR="009B4319" w:rsidRPr="00C97309" w:rsidRDefault="009B4319" w:rsidP="00465C55">
            <w:pPr>
              <w:pStyle w:val="Prrafodelista"/>
              <w:spacing w:after="0" w:line="240" w:lineRule="auto"/>
              <w:ind w:left="284"/>
              <w:rPr>
                <w:b/>
                <w:color w:val="1F497D"/>
                <w:sz w:val="28"/>
                <w:szCs w:val="28"/>
                <w:lang w:val="fr-FR"/>
              </w:rPr>
            </w:pPr>
          </w:p>
        </w:tc>
      </w:tr>
      <w:tr w:rsidR="009B4319" w:rsidRPr="00FE1C7E" w:rsidTr="00465C55">
        <w:trPr>
          <w:cantSplit/>
        </w:trPr>
        <w:tc>
          <w:tcPr>
            <w:tcW w:w="9576" w:type="dxa"/>
          </w:tcPr>
          <w:p w:rsidR="009B4319" w:rsidRPr="00C97309" w:rsidRDefault="009B4319" w:rsidP="00465C55">
            <w:pPr>
              <w:spacing w:after="0" w:line="240" w:lineRule="auto"/>
              <w:rPr>
                <w:b/>
                <w:color w:val="1F497D"/>
                <w:lang w:val="fr-FR"/>
              </w:rPr>
            </w:pPr>
            <w:r w:rsidRPr="00C97309">
              <w:rPr>
                <w:i/>
                <w:color w:val="000000"/>
                <w:lang w:val="fr-FR"/>
              </w:rPr>
              <w:t>…(Veuillez agrandir l’espace selon votre texte, environ 100 mots)</w:t>
            </w:r>
            <w:r w:rsidRPr="00C97309" w:rsidDel="00FD170D">
              <w:rPr>
                <w:color w:val="000000"/>
                <w:lang w:val="fr-FR"/>
              </w:rPr>
              <w:t xml:space="preserve"> </w:t>
            </w:r>
          </w:p>
        </w:tc>
      </w:tr>
    </w:tbl>
    <w:p w:rsidR="009B4319" w:rsidRDefault="009B431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9B4319" w:rsidRPr="00FE1C7E" w:rsidTr="00A05390">
        <w:tc>
          <w:tcPr>
            <w:tcW w:w="9558" w:type="dxa"/>
            <w:shd w:val="clear" w:color="auto" w:fill="DBE5F1"/>
          </w:tcPr>
          <w:p w:rsidR="009B4319" w:rsidRPr="00C97309" w:rsidRDefault="009B4319" w:rsidP="00F94DD4">
            <w:pPr>
              <w:spacing w:after="0" w:line="240" w:lineRule="auto"/>
              <w:rPr>
                <w:b/>
                <w:color w:val="244061"/>
                <w:lang w:val="fr-FR"/>
              </w:rPr>
            </w:pPr>
            <w:r w:rsidRPr="00C97309">
              <w:rPr>
                <w:b/>
                <w:color w:val="1F497D"/>
                <w:lang w:val="fr-FR"/>
              </w:rPr>
              <w:t>VI. PLAN DE TRAVAIL RÉSUMÉ, AVEC BUDGET ET CALENDRIER</w:t>
            </w:r>
          </w:p>
          <w:p w:rsidR="009B4319" w:rsidRPr="00C97309" w:rsidRDefault="009B4319" w:rsidP="00465C55">
            <w:pPr>
              <w:spacing w:after="0" w:line="240" w:lineRule="auto"/>
              <w:rPr>
                <w:color w:val="1F497D"/>
                <w:sz w:val="21"/>
                <w:szCs w:val="21"/>
                <w:lang w:val="fr-FR"/>
              </w:rPr>
            </w:pPr>
            <w:r w:rsidRPr="00C97309">
              <w:rPr>
                <w:i/>
                <w:color w:val="244061"/>
                <w:sz w:val="21"/>
                <w:szCs w:val="21"/>
                <w:lang w:val="fr-FR"/>
              </w:rPr>
              <w:t>(Veuillez agrandir l’espace selon vos besoins. Vous pouvez également ajouter une annexe avec le plan de travail, le budget et le calendrier</w:t>
            </w:r>
          </w:p>
        </w:tc>
      </w:tr>
    </w:tbl>
    <w:p w:rsidR="009D5B98" w:rsidRDefault="009D5B98" w:rsidP="003A7838">
      <w:pPr>
        <w:spacing w:after="0" w:line="240" w:lineRule="auto"/>
        <w:rPr>
          <w:lang w:val="fr-FR"/>
        </w:rPr>
      </w:pPr>
    </w:p>
    <w:tbl>
      <w:tblPr>
        <w:tblStyle w:val="Tablaconcuadrcula"/>
        <w:tblW w:w="4850" w:type="pct"/>
        <w:tblLayout w:type="fixed"/>
        <w:tblLook w:val="04A0" w:firstRow="1" w:lastRow="0" w:firstColumn="1" w:lastColumn="0" w:noHBand="0" w:noVBand="1"/>
      </w:tblPr>
      <w:tblGrid>
        <w:gridCol w:w="6318"/>
        <w:gridCol w:w="1625"/>
        <w:gridCol w:w="1615"/>
      </w:tblGrid>
      <w:tr w:rsidR="00A05390" w:rsidRPr="00FE1C7E" w:rsidTr="00B16E31">
        <w:trPr>
          <w:trHeight w:val="324"/>
        </w:trPr>
        <w:tc>
          <w:tcPr>
            <w:tcW w:w="3305" w:type="pct"/>
            <w:shd w:val="clear" w:color="auto" w:fill="DBE5F1" w:themeFill="accent1" w:themeFillTint="33"/>
          </w:tcPr>
          <w:p w:rsidR="00A05390" w:rsidRPr="00D51CB1" w:rsidRDefault="00A05390" w:rsidP="00C7763D">
            <w:pPr>
              <w:spacing w:after="0" w:line="240" w:lineRule="auto"/>
              <w:rPr>
                <w:b/>
                <w:color w:val="244061"/>
                <w:lang w:val="fr-FR"/>
              </w:rPr>
            </w:pPr>
            <w:r w:rsidRPr="00A05390">
              <w:rPr>
                <w:b/>
                <w:color w:val="244061"/>
                <w:lang w:val="fr-FR"/>
              </w:rPr>
              <w:t>Description des réalisations et activités prévues</w:t>
            </w:r>
          </w:p>
        </w:tc>
        <w:tc>
          <w:tcPr>
            <w:tcW w:w="850" w:type="pct"/>
            <w:shd w:val="clear" w:color="auto" w:fill="DBE5F1" w:themeFill="accent1" w:themeFillTint="33"/>
          </w:tcPr>
          <w:p w:rsidR="00A05390" w:rsidRPr="00D51CB1" w:rsidRDefault="00A05390" w:rsidP="00C7763D">
            <w:pPr>
              <w:spacing w:after="0" w:line="240" w:lineRule="auto"/>
              <w:rPr>
                <w:b/>
                <w:color w:val="244061"/>
                <w:lang w:val="fr-FR"/>
              </w:rPr>
            </w:pPr>
            <w:r w:rsidRPr="00A05390">
              <w:rPr>
                <w:b/>
                <w:color w:val="244061"/>
                <w:lang w:val="fr-FR"/>
              </w:rPr>
              <w:t>Montant (USD)</w:t>
            </w:r>
          </w:p>
        </w:tc>
        <w:tc>
          <w:tcPr>
            <w:tcW w:w="845" w:type="pct"/>
            <w:shd w:val="clear" w:color="auto" w:fill="DBE5F1" w:themeFill="accent1" w:themeFillTint="33"/>
          </w:tcPr>
          <w:p w:rsidR="00A05390" w:rsidRPr="00D51CB1" w:rsidRDefault="00AA2A3A" w:rsidP="00C7763D">
            <w:pPr>
              <w:spacing w:after="0" w:line="240" w:lineRule="auto"/>
              <w:rPr>
                <w:b/>
                <w:color w:val="244061"/>
                <w:lang w:val="fr-FR"/>
              </w:rPr>
            </w:pPr>
            <w:r w:rsidRPr="00AA2A3A">
              <w:rPr>
                <w:b/>
                <w:color w:val="244061"/>
                <w:lang w:val="fr-FR"/>
              </w:rPr>
              <w:t>Période de mise en œuvre</w:t>
            </w:r>
            <w:r w:rsidR="00A05390" w:rsidRPr="00AA2A3A">
              <w:rPr>
                <w:b/>
                <w:color w:val="244061"/>
                <w:lang w:val="fr-FR"/>
              </w:rPr>
              <w:t xml:space="preserve"> </w:t>
            </w:r>
          </w:p>
        </w:tc>
      </w:tr>
      <w:tr w:rsidR="00C25847" w:rsidRPr="00D51CB1" w:rsidTr="00B16E31">
        <w:trPr>
          <w:trHeight w:val="324"/>
        </w:trPr>
        <w:tc>
          <w:tcPr>
            <w:tcW w:w="3305" w:type="pct"/>
            <w:shd w:val="clear" w:color="auto" w:fill="DBE5F1" w:themeFill="accent1" w:themeFillTint="33"/>
            <w:hideMark/>
          </w:tcPr>
          <w:p w:rsidR="00C25847" w:rsidRPr="00D51CB1" w:rsidRDefault="00C25847" w:rsidP="00C25847">
            <w:pPr>
              <w:tabs>
                <w:tab w:val="left" w:pos="1872"/>
                <w:tab w:val="center" w:pos="4671"/>
              </w:tabs>
              <w:spacing w:after="0" w:line="240" w:lineRule="auto"/>
              <w:rPr>
                <w:rFonts w:asciiTheme="minorHAnsi" w:hAnsiTheme="minorHAnsi"/>
                <w:b/>
                <w:bCs/>
                <w:color w:val="000000"/>
                <w:lang w:val="fr-FR" w:eastAsia="fr-FR"/>
              </w:rPr>
            </w:pPr>
            <w:r>
              <w:rPr>
                <w:b/>
                <w:color w:val="244061"/>
                <w:sz w:val="22"/>
                <w:szCs w:val="22"/>
                <w:lang w:val="fr-FR"/>
              </w:rPr>
              <w:tab/>
            </w:r>
            <w:r>
              <w:rPr>
                <w:b/>
                <w:color w:val="244061"/>
                <w:sz w:val="22"/>
                <w:szCs w:val="22"/>
                <w:lang w:val="fr-FR"/>
              </w:rPr>
              <w:tab/>
            </w:r>
            <w:r w:rsidRPr="00D51CB1">
              <w:rPr>
                <w:b/>
                <w:color w:val="244061"/>
                <w:sz w:val="22"/>
                <w:szCs w:val="22"/>
                <w:lang w:val="fr-FR"/>
              </w:rPr>
              <w:t>Définition de la Forêt</w:t>
            </w:r>
          </w:p>
        </w:tc>
        <w:tc>
          <w:tcPr>
            <w:tcW w:w="1695" w:type="pct"/>
            <w:gridSpan w:val="2"/>
            <w:shd w:val="clear" w:color="auto" w:fill="DBE5F1" w:themeFill="accent1" w:themeFillTint="33"/>
          </w:tcPr>
          <w:p w:rsidR="00C6101D" w:rsidRPr="00C6101D" w:rsidRDefault="00C6101D" w:rsidP="00C25847">
            <w:pPr>
              <w:tabs>
                <w:tab w:val="left" w:pos="1872"/>
                <w:tab w:val="center" w:pos="4671"/>
              </w:tabs>
              <w:spacing w:after="0" w:line="240" w:lineRule="auto"/>
              <w:rPr>
                <w:rFonts w:asciiTheme="minorHAnsi" w:hAnsiTheme="minorHAnsi"/>
                <w:bCs/>
                <w:color w:val="000000"/>
                <w:lang w:val="fr-FR" w:eastAsia="fr-FR"/>
              </w:rPr>
            </w:pPr>
            <w:r w:rsidRPr="00C6101D">
              <w:rPr>
                <w:rFonts w:asciiTheme="minorHAnsi" w:hAnsiTheme="minorHAnsi"/>
                <w:bCs/>
                <w:color w:val="000000"/>
                <w:lang w:val="fr-FR" w:eastAsia="fr-FR"/>
              </w:rPr>
              <w:t>$6,373</w:t>
            </w:r>
          </w:p>
        </w:tc>
      </w:tr>
      <w:tr w:rsidR="009D5B98" w:rsidRPr="00D51CB1" w:rsidTr="00B16E31">
        <w:trPr>
          <w:trHeight w:val="445"/>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1</w:t>
            </w:r>
            <w:r w:rsidRPr="00D51CB1">
              <w:rPr>
                <w:rFonts w:asciiTheme="minorHAnsi" w:hAnsiTheme="minorHAnsi" w:cs="Arial"/>
                <w:color w:val="000000"/>
                <w:lang w:val="fr-FR" w:eastAsia="fr-FR"/>
              </w:rPr>
              <w:br/>
              <w:t>Production d’une légende harmonisée et d'une méthode d'harmonisation;</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2,625 </w:t>
            </w:r>
          </w:p>
        </w:tc>
        <w:tc>
          <w:tcPr>
            <w:tcW w:w="845" w:type="pct"/>
            <w:vAlign w:val="center"/>
            <w:hideMark/>
          </w:tcPr>
          <w:p w:rsidR="009D5B98" w:rsidRPr="00D51CB1" w:rsidRDefault="00641326" w:rsidP="00641326">
            <w:pPr>
              <w:spacing w:after="0" w:line="240" w:lineRule="auto"/>
              <w:rPr>
                <w:rFonts w:asciiTheme="minorHAnsi" w:hAnsiTheme="minorHAnsi" w:cs="Arial"/>
                <w:lang w:val="fr-FR" w:eastAsia="fr-FR"/>
              </w:rPr>
            </w:pPr>
            <w:r>
              <w:rPr>
                <w:rFonts w:asciiTheme="minorHAnsi" w:hAnsiTheme="minorHAnsi" w:cs="Arial"/>
                <w:lang w:val="fr-FR" w:eastAsia="fr-FR"/>
              </w:rPr>
              <w:t>30</w:t>
            </w:r>
            <w:r w:rsidR="009D5B98" w:rsidRPr="00D51CB1">
              <w:rPr>
                <w:rFonts w:asciiTheme="minorHAnsi" w:hAnsiTheme="minorHAnsi" w:cs="Arial"/>
                <w:lang w:val="fr-FR" w:eastAsia="fr-FR"/>
              </w:rPr>
              <w:t xml:space="preserve"> </w:t>
            </w:r>
            <w:r>
              <w:rPr>
                <w:rFonts w:asciiTheme="minorHAnsi" w:hAnsiTheme="minorHAnsi" w:cs="Arial"/>
                <w:lang w:val="fr-FR" w:eastAsia="fr-FR"/>
              </w:rPr>
              <w:t>juin</w:t>
            </w:r>
            <w:r w:rsidR="009D5B98" w:rsidRPr="00D51CB1">
              <w:rPr>
                <w:rFonts w:asciiTheme="minorHAnsi" w:hAnsiTheme="minorHAnsi" w:cs="Arial"/>
                <w:lang w:val="fr-FR" w:eastAsia="fr-FR"/>
              </w:rPr>
              <w:t xml:space="preserve"> 2015</w:t>
            </w:r>
          </w:p>
        </w:tc>
      </w:tr>
      <w:tr w:rsidR="009D5B98" w:rsidRPr="00D51CB1" w:rsidTr="00B16E31">
        <w:trPr>
          <w:trHeight w:val="841"/>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color w:val="000000"/>
                <w:lang w:val="fr-FR" w:eastAsia="fr-FR"/>
              </w:rPr>
              <w:t>Livrable 2</w:t>
            </w:r>
            <w:r w:rsidRPr="00D51CB1">
              <w:rPr>
                <w:rFonts w:asciiTheme="minorHAnsi" w:hAnsiTheme="minorHAnsi" w:cs="Arial"/>
                <w:color w:val="000000"/>
                <w:lang w:val="fr-FR" w:eastAsia="fr-FR"/>
              </w:rPr>
              <w:br/>
              <w:t>Rapport d'évaluation des plantations pérennes existantes et planifiées  (localisation, quantité et variation de C, capacité de surveillance);</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3,273 </w:t>
            </w:r>
          </w:p>
        </w:tc>
        <w:tc>
          <w:tcPr>
            <w:tcW w:w="845" w:type="pct"/>
            <w:vAlign w:val="center"/>
            <w:hideMark/>
          </w:tcPr>
          <w:p w:rsidR="009D5B98" w:rsidRPr="00D51CB1" w:rsidRDefault="009D5B98" w:rsidP="00641326">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w:t>
            </w:r>
            <w:r w:rsidR="00641326">
              <w:rPr>
                <w:rFonts w:asciiTheme="minorHAnsi" w:hAnsiTheme="minorHAnsi" w:cs="Arial"/>
                <w:lang w:val="fr-FR" w:eastAsia="fr-FR"/>
              </w:rPr>
              <w:t>10</w:t>
            </w:r>
            <w:r w:rsidRPr="00D51CB1">
              <w:rPr>
                <w:rFonts w:asciiTheme="minorHAnsi" w:hAnsiTheme="minorHAnsi" w:cs="Arial"/>
                <w:lang w:val="fr-FR" w:eastAsia="fr-FR"/>
              </w:rPr>
              <w:t xml:space="preserve"> </w:t>
            </w:r>
            <w:r w:rsidR="00641326">
              <w:rPr>
                <w:rFonts w:asciiTheme="minorHAnsi" w:hAnsiTheme="minorHAnsi" w:cs="Arial"/>
                <w:lang w:val="fr-FR" w:eastAsia="fr-FR"/>
              </w:rPr>
              <w:t>juillet</w:t>
            </w:r>
            <w:r w:rsidRPr="00D51CB1">
              <w:rPr>
                <w:rFonts w:asciiTheme="minorHAnsi" w:hAnsiTheme="minorHAnsi" w:cs="Arial"/>
                <w:lang w:val="fr-FR" w:eastAsia="fr-FR"/>
              </w:rPr>
              <w:t xml:space="preserve"> 2015 </w:t>
            </w:r>
          </w:p>
        </w:tc>
      </w:tr>
      <w:tr w:rsidR="009D5B98" w:rsidRPr="00D51CB1" w:rsidTr="00B16E31">
        <w:trPr>
          <w:trHeight w:val="796"/>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3</w:t>
            </w:r>
            <w:r w:rsidRPr="00D51CB1">
              <w:rPr>
                <w:rFonts w:asciiTheme="minorHAnsi" w:hAnsiTheme="minorHAnsi"/>
                <w:color w:val="000000"/>
                <w:lang w:val="fr-FR" w:eastAsia="fr-FR"/>
              </w:rPr>
              <w:br/>
              <w:t>Note technique avec recommandation sur l'inclusion ou l'exclusion des plantations pérennes dans la définition, et décision.</w:t>
            </w:r>
          </w:p>
        </w:tc>
        <w:tc>
          <w:tcPr>
            <w:tcW w:w="850" w:type="pct"/>
            <w:hideMark/>
          </w:tcPr>
          <w:p w:rsidR="009D5B98" w:rsidRPr="00D51CB1" w:rsidRDefault="00C97CA9" w:rsidP="00C7763D">
            <w:pPr>
              <w:spacing w:after="0" w:line="240" w:lineRule="auto"/>
              <w:ind w:firstLineChars="1800" w:firstLine="3600"/>
              <w:rPr>
                <w:rFonts w:asciiTheme="minorHAnsi" w:hAnsiTheme="minorHAnsi" w:cs="Arial"/>
                <w:lang w:val="fr-FR" w:eastAsia="fr-FR"/>
              </w:rPr>
            </w:pPr>
            <w:r>
              <w:rPr>
                <w:rFonts w:asciiTheme="minorHAnsi" w:hAnsiTheme="minorHAnsi" w:cs="Arial"/>
                <w:lang w:val="fr-FR" w:eastAsia="fr-FR"/>
              </w:rPr>
              <w:t xml:space="preserve"> $    </w:t>
            </w:r>
            <w:r w:rsidR="009D5B98" w:rsidRPr="00D51CB1">
              <w:rPr>
                <w:rFonts w:asciiTheme="minorHAnsi" w:hAnsiTheme="minorHAnsi" w:cs="Arial"/>
                <w:lang w:val="fr-FR" w:eastAsia="fr-FR"/>
              </w:rPr>
              <w:t xml:space="preserve">475 </w:t>
            </w:r>
          </w:p>
        </w:tc>
        <w:tc>
          <w:tcPr>
            <w:tcW w:w="845" w:type="pct"/>
            <w:vAlign w:val="center"/>
            <w:hideMark/>
          </w:tcPr>
          <w:p w:rsidR="009D5B98" w:rsidRPr="00D51CB1" w:rsidRDefault="009D5B98" w:rsidP="00641326">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w:t>
            </w:r>
            <w:r w:rsidR="00641326">
              <w:rPr>
                <w:rFonts w:asciiTheme="minorHAnsi" w:hAnsiTheme="minorHAnsi" w:cs="Arial"/>
                <w:lang w:val="fr-FR" w:eastAsia="fr-FR"/>
              </w:rPr>
              <w:t>15</w:t>
            </w:r>
            <w:r w:rsidRPr="00D51CB1">
              <w:rPr>
                <w:rFonts w:asciiTheme="minorHAnsi" w:hAnsiTheme="minorHAnsi" w:cs="Arial"/>
                <w:lang w:val="fr-FR" w:eastAsia="fr-FR"/>
              </w:rPr>
              <w:t xml:space="preserve"> </w:t>
            </w:r>
            <w:r w:rsidR="00641326">
              <w:rPr>
                <w:rFonts w:asciiTheme="minorHAnsi" w:hAnsiTheme="minorHAnsi" w:cs="Arial"/>
                <w:lang w:val="fr-FR" w:eastAsia="fr-FR"/>
              </w:rPr>
              <w:t>juillet</w:t>
            </w:r>
            <w:r w:rsidRPr="00D51CB1">
              <w:rPr>
                <w:rFonts w:asciiTheme="minorHAnsi" w:hAnsiTheme="minorHAnsi" w:cs="Arial"/>
                <w:lang w:val="fr-FR" w:eastAsia="fr-FR"/>
              </w:rPr>
              <w:t xml:space="preserve"> 2015 </w:t>
            </w:r>
          </w:p>
        </w:tc>
      </w:tr>
      <w:tr w:rsidR="00C6101D" w:rsidRPr="00D51CB1" w:rsidTr="00B16E31">
        <w:trPr>
          <w:trHeight w:val="278"/>
        </w:trPr>
        <w:tc>
          <w:tcPr>
            <w:tcW w:w="3305" w:type="pct"/>
            <w:shd w:val="clear" w:color="auto" w:fill="DBE5F1" w:themeFill="accent1" w:themeFillTint="33"/>
            <w:hideMark/>
          </w:tcPr>
          <w:p w:rsidR="00C6101D" w:rsidRPr="00D51CB1" w:rsidRDefault="00C6101D" w:rsidP="00AA2A3A">
            <w:pPr>
              <w:spacing w:after="0" w:line="240" w:lineRule="auto"/>
              <w:jc w:val="center"/>
              <w:rPr>
                <w:rFonts w:asciiTheme="minorHAnsi" w:hAnsiTheme="minorHAnsi"/>
                <w:b/>
                <w:bCs/>
                <w:color w:val="000000"/>
                <w:lang w:val="fr-FR" w:eastAsia="fr-FR"/>
              </w:rPr>
            </w:pPr>
            <w:r w:rsidRPr="00D51CB1">
              <w:rPr>
                <w:b/>
                <w:color w:val="244061"/>
                <w:sz w:val="22"/>
                <w:szCs w:val="22"/>
                <w:lang w:val="fr-FR"/>
              </w:rPr>
              <w:t>Échelle</w:t>
            </w:r>
          </w:p>
        </w:tc>
        <w:tc>
          <w:tcPr>
            <w:tcW w:w="1695" w:type="pct"/>
            <w:gridSpan w:val="2"/>
            <w:shd w:val="clear" w:color="auto" w:fill="DBE5F1" w:themeFill="accent1" w:themeFillTint="33"/>
          </w:tcPr>
          <w:p w:rsidR="00C6101D" w:rsidRPr="00C6101D" w:rsidRDefault="00C6101D" w:rsidP="00C6101D">
            <w:pPr>
              <w:jc w:val="both"/>
              <w:rPr>
                <w:bCs/>
                <w:sz w:val="24"/>
                <w:szCs w:val="24"/>
              </w:rPr>
            </w:pPr>
            <w:r w:rsidRPr="00C6101D">
              <w:rPr>
                <w:bCs/>
              </w:rPr>
              <w:t>$  33,850</w:t>
            </w:r>
          </w:p>
        </w:tc>
      </w:tr>
      <w:tr w:rsidR="009D5B98" w:rsidRPr="00D51CB1" w:rsidTr="00B16E31">
        <w:trPr>
          <w:trHeight w:val="792"/>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lastRenderedPageBreak/>
              <w:t>Livrable1</w:t>
            </w:r>
            <w:r w:rsidRPr="00D51CB1">
              <w:rPr>
                <w:rFonts w:asciiTheme="minorHAnsi" w:hAnsiTheme="minorHAnsi" w:cs="Arial"/>
                <w:color w:val="000000"/>
                <w:lang w:val="fr-FR" w:eastAsia="fr-FR"/>
              </w:rPr>
              <w:br/>
              <w:t>Note technique sur les critères de sélection, méthodologie et recommandation(s);</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7,850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15 juin 2015 </w:t>
            </w:r>
          </w:p>
        </w:tc>
      </w:tr>
      <w:tr w:rsidR="009D5B98" w:rsidRPr="00D51CB1" w:rsidTr="00B16E31">
        <w:trPr>
          <w:trHeight w:val="528"/>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2</w:t>
            </w:r>
            <w:r w:rsidRPr="00D51CB1">
              <w:rPr>
                <w:rFonts w:asciiTheme="minorHAnsi" w:hAnsiTheme="minorHAnsi"/>
                <w:color w:val="000000"/>
                <w:lang w:val="fr-FR" w:eastAsia="fr-FR"/>
              </w:rPr>
              <w:br/>
              <w:t>Validation politique de l'échelle</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$ 10,000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30 juin 2015 </w:t>
            </w:r>
          </w:p>
        </w:tc>
      </w:tr>
      <w:tr w:rsidR="009D5B98" w:rsidRPr="00D51CB1" w:rsidTr="00B16E31">
        <w:trPr>
          <w:trHeight w:val="528"/>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3</w:t>
            </w:r>
            <w:r w:rsidRPr="00D51CB1">
              <w:rPr>
                <w:rFonts w:asciiTheme="minorHAnsi" w:hAnsiTheme="minorHAnsi"/>
                <w:color w:val="000000"/>
                <w:lang w:val="fr-FR" w:eastAsia="fr-FR"/>
              </w:rPr>
              <w:t xml:space="preserve"> </w:t>
            </w:r>
            <w:r w:rsidRPr="00D51CB1">
              <w:rPr>
                <w:rFonts w:asciiTheme="minorHAnsi" w:hAnsiTheme="minorHAnsi"/>
                <w:color w:val="000000"/>
                <w:lang w:val="fr-FR" w:eastAsia="fr-FR"/>
              </w:rPr>
              <w:br/>
              <w:t>Sensibilisation dans les zones choisies</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$ 16,000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juillet - octobre 2015 </w:t>
            </w:r>
          </w:p>
        </w:tc>
      </w:tr>
      <w:tr w:rsidR="00C6101D" w:rsidRPr="00D51CB1" w:rsidTr="00B16E31">
        <w:trPr>
          <w:trHeight w:val="324"/>
        </w:trPr>
        <w:tc>
          <w:tcPr>
            <w:tcW w:w="3305" w:type="pct"/>
            <w:shd w:val="clear" w:color="auto" w:fill="DBE5F1" w:themeFill="accent1" w:themeFillTint="33"/>
            <w:hideMark/>
          </w:tcPr>
          <w:p w:rsidR="00C6101D" w:rsidRPr="00D51CB1" w:rsidRDefault="00C6101D" w:rsidP="00AA2A3A">
            <w:pPr>
              <w:spacing w:after="0" w:line="240" w:lineRule="auto"/>
              <w:jc w:val="center"/>
              <w:rPr>
                <w:rFonts w:asciiTheme="minorHAnsi" w:hAnsiTheme="minorHAnsi"/>
                <w:b/>
                <w:bCs/>
                <w:color w:val="000000"/>
                <w:lang w:val="fr-FR" w:eastAsia="fr-FR"/>
              </w:rPr>
            </w:pPr>
            <w:r w:rsidRPr="00D51CB1">
              <w:rPr>
                <w:b/>
                <w:color w:val="244061"/>
                <w:sz w:val="22"/>
                <w:szCs w:val="22"/>
                <w:lang w:val="fr-FR"/>
              </w:rPr>
              <w:t>Portée - Activités</w:t>
            </w:r>
          </w:p>
        </w:tc>
        <w:tc>
          <w:tcPr>
            <w:tcW w:w="1695" w:type="pct"/>
            <w:gridSpan w:val="2"/>
            <w:shd w:val="clear" w:color="auto" w:fill="DBE5F1" w:themeFill="accent1" w:themeFillTint="33"/>
          </w:tcPr>
          <w:p w:rsidR="00C6101D" w:rsidRPr="00D51CB1" w:rsidRDefault="00C6101D" w:rsidP="00C6101D">
            <w:pPr>
              <w:spacing w:after="0" w:line="240" w:lineRule="auto"/>
              <w:jc w:val="both"/>
              <w:rPr>
                <w:rFonts w:asciiTheme="minorHAnsi" w:hAnsiTheme="minorHAnsi"/>
                <w:b/>
                <w:bCs/>
                <w:color w:val="000000"/>
                <w:lang w:val="fr-FR" w:eastAsia="fr-FR"/>
              </w:rPr>
            </w:pPr>
            <w:r w:rsidRPr="00C6101D">
              <w:rPr>
                <w:bCs/>
              </w:rPr>
              <w:t xml:space="preserve">$  </w:t>
            </w:r>
            <w:r>
              <w:rPr>
                <w:bCs/>
              </w:rPr>
              <w:t>12,095</w:t>
            </w:r>
          </w:p>
        </w:tc>
      </w:tr>
      <w:tr w:rsidR="009D5B98" w:rsidRPr="00D51CB1" w:rsidTr="00B16E31">
        <w:trPr>
          <w:trHeight w:val="985"/>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1</w:t>
            </w:r>
            <w:r w:rsidRPr="00D51CB1">
              <w:rPr>
                <w:rFonts w:asciiTheme="minorHAnsi" w:hAnsiTheme="minorHAnsi"/>
                <w:color w:val="000000"/>
                <w:lang w:val="fr-FR" w:eastAsia="fr-FR"/>
              </w:rPr>
              <w:t xml:space="preserve"> </w:t>
            </w:r>
            <w:r w:rsidRPr="00D51CB1">
              <w:rPr>
                <w:rFonts w:asciiTheme="minorHAnsi" w:hAnsiTheme="minorHAnsi"/>
                <w:color w:val="000000"/>
                <w:lang w:val="fr-FR" w:eastAsia="fr-FR"/>
              </w:rPr>
              <w:br/>
              <w:t>Développement de la méthodologie d’estimation historique des émissions de la dégradation incluant la définition de la déforestation et de la dégradation de la RDC</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9,095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30 juin 2015 </w:t>
            </w:r>
          </w:p>
        </w:tc>
      </w:tr>
      <w:tr w:rsidR="009D5B98" w:rsidRPr="00D51CB1" w:rsidTr="00B16E31">
        <w:trPr>
          <w:trHeight w:val="796"/>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2</w:t>
            </w:r>
            <w:r w:rsidRPr="00D51CB1">
              <w:rPr>
                <w:rFonts w:asciiTheme="minorHAnsi" w:hAnsiTheme="minorHAnsi"/>
                <w:color w:val="000000"/>
                <w:lang w:val="fr-FR" w:eastAsia="fr-FR"/>
              </w:rPr>
              <w:br/>
              <w:t>Lettre d'officialisation du Ministre – définition de la dégradation et de la déforestation de la RDC.</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w:t>
            </w:r>
          </w:p>
        </w:tc>
        <w:tc>
          <w:tcPr>
            <w:tcW w:w="845" w:type="pct"/>
            <w:vAlign w:val="center"/>
            <w:hideMark/>
          </w:tcPr>
          <w:p w:rsidR="009D5B98" w:rsidRPr="00D51CB1" w:rsidRDefault="009D5B98" w:rsidP="00641326">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w:t>
            </w:r>
            <w:r w:rsidR="00641326">
              <w:rPr>
                <w:rFonts w:asciiTheme="minorHAnsi" w:hAnsiTheme="minorHAnsi" w:cs="Arial"/>
                <w:lang w:val="fr-FR" w:eastAsia="fr-FR"/>
              </w:rPr>
              <w:t>30</w:t>
            </w:r>
            <w:r w:rsidRPr="00D51CB1">
              <w:rPr>
                <w:rFonts w:asciiTheme="minorHAnsi" w:hAnsiTheme="minorHAnsi" w:cs="Arial"/>
                <w:lang w:val="fr-FR" w:eastAsia="fr-FR"/>
              </w:rPr>
              <w:t xml:space="preserve"> juillet 2015 </w:t>
            </w:r>
          </w:p>
        </w:tc>
      </w:tr>
      <w:tr w:rsidR="009D5B98" w:rsidRPr="00D51CB1" w:rsidTr="00B16E31">
        <w:trPr>
          <w:trHeight w:val="816"/>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3</w:t>
            </w:r>
            <w:r w:rsidRPr="00D51CB1">
              <w:rPr>
                <w:rFonts w:asciiTheme="minorHAnsi" w:hAnsiTheme="minorHAnsi" w:cs="Arial"/>
                <w:color w:val="000000"/>
                <w:lang w:val="fr-FR" w:eastAsia="fr-FR"/>
              </w:rPr>
              <w:t xml:space="preserve"> </w:t>
            </w:r>
            <w:r w:rsidRPr="00D51CB1">
              <w:rPr>
                <w:rFonts w:asciiTheme="minorHAnsi" w:hAnsiTheme="minorHAnsi" w:cs="Arial"/>
                <w:color w:val="000000"/>
                <w:lang w:val="fr-FR" w:eastAsia="fr-FR"/>
              </w:rPr>
              <w:br/>
              <w:t>Note technique sur Augmentation des stocks, Conservation et Gestion Durable</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3,000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15 aout 2015 </w:t>
            </w:r>
          </w:p>
        </w:tc>
      </w:tr>
      <w:tr w:rsidR="00C6101D" w:rsidRPr="00D51CB1" w:rsidTr="00B16E31">
        <w:trPr>
          <w:trHeight w:val="324"/>
        </w:trPr>
        <w:tc>
          <w:tcPr>
            <w:tcW w:w="3305" w:type="pct"/>
            <w:shd w:val="clear" w:color="auto" w:fill="DBE5F1" w:themeFill="accent1" w:themeFillTint="33"/>
            <w:hideMark/>
          </w:tcPr>
          <w:p w:rsidR="00C6101D" w:rsidRPr="00D51CB1" w:rsidRDefault="00C6101D" w:rsidP="00AA2A3A">
            <w:pPr>
              <w:spacing w:after="0" w:line="240" w:lineRule="auto"/>
              <w:jc w:val="center"/>
              <w:rPr>
                <w:rFonts w:asciiTheme="minorHAnsi" w:hAnsiTheme="minorHAnsi"/>
                <w:b/>
                <w:bCs/>
                <w:color w:val="000000"/>
                <w:lang w:val="fr-FR" w:eastAsia="fr-FR"/>
              </w:rPr>
            </w:pPr>
            <w:r w:rsidRPr="00D51CB1">
              <w:rPr>
                <w:b/>
                <w:color w:val="244061"/>
                <w:sz w:val="22"/>
                <w:szCs w:val="22"/>
                <w:lang w:val="fr-FR"/>
              </w:rPr>
              <w:t>Portée - Réservoirs de Carbone</w:t>
            </w:r>
          </w:p>
        </w:tc>
        <w:tc>
          <w:tcPr>
            <w:tcW w:w="1695" w:type="pct"/>
            <w:gridSpan w:val="2"/>
            <w:shd w:val="clear" w:color="auto" w:fill="DBE5F1" w:themeFill="accent1" w:themeFillTint="33"/>
          </w:tcPr>
          <w:p w:rsidR="00C6101D" w:rsidRPr="00D51CB1" w:rsidRDefault="00C6101D" w:rsidP="00C6101D">
            <w:pPr>
              <w:spacing w:after="0" w:line="240" w:lineRule="auto"/>
              <w:jc w:val="both"/>
              <w:rPr>
                <w:rFonts w:asciiTheme="minorHAnsi" w:hAnsiTheme="minorHAnsi"/>
                <w:b/>
                <w:bCs/>
                <w:color w:val="000000"/>
                <w:lang w:val="fr-FR" w:eastAsia="fr-FR"/>
              </w:rPr>
            </w:pPr>
            <w:r w:rsidRPr="00C6101D">
              <w:rPr>
                <w:bCs/>
              </w:rPr>
              <w:t xml:space="preserve">$  </w:t>
            </w:r>
            <w:r>
              <w:rPr>
                <w:bCs/>
              </w:rPr>
              <w:t>4,944</w:t>
            </w:r>
          </w:p>
        </w:tc>
      </w:tr>
      <w:tr w:rsidR="009D5B98" w:rsidRPr="00D51CB1" w:rsidTr="00B16E31">
        <w:trPr>
          <w:trHeight w:val="535"/>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1</w:t>
            </w:r>
            <w:r w:rsidRPr="00D51CB1">
              <w:rPr>
                <w:rFonts w:asciiTheme="minorHAnsi" w:hAnsiTheme="minorHAnsi" w:cs="Arial"/>
                <w:color w:val="000000"/>
                <w:lang w:val="fr-FR" w:eastAsia="fr-FR"/>
              </w:rPr>
              <w:br/>
              <w:t>Définir les facteurs de conversion de la biomasse souterraine à utiliser;</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2,981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w:t>
            </w:r>
            <w:r w:rsidR="00641326" w:rsidRPr="00D51CB1">
              <w:rPr>
                <w:rFonts w:asciiTheme="minorHAnsi" w:hAnsiTheme="minorHAnsi" w:cs="Arial"/>
                <w:lang w:val="fr-FR" w:eastAsia="fr-FR"/>
              </w:rPr>
              <w:t>30 juin 2015</w:t>
            </w:r>
          </w:p>
        </w:tc>
      </w:tr>
      <w:tr w:rsidR="009D5B98" w:rsidRPr="00D51CB1" w:rsidTr="00B16E31">
        <w:trPr>
          <w:trHeight w:val="715"/>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2</w:t>
            </w:r>
            <w:r w:rsidRPr="00D51CB1">
              <w:rPr>
                <w:rFonts w:asciiTheme="minorHAnsi" w:hAnsiTheme="minorHAnsi" w:cs="Arial"/>
                <w:color w:val="000000"/>
                <w:lang w:val="fr-FR" w:eastAsia="fr-FR"/>
              </w:rPr>
              <w:br/>
              <w:t>Préparation d'une note technique pour expliquer les activités de collection de données pour les trois réservoirs exclus</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1,963 </w:t>
            </w:r>
          </w:p>
        </w:tc>
        <w:tc>
          <w:tcPr>
            <w:tcW w:w="845" w:type="pct"/>
            <w:vAlign w:val="center"/>
            <w:hideMark/>
          </w:tcPr>
          <w:p w:rsidR="009D5B98" w:rsidRPr="00D51CB1" w:rsidRDefault="009D5B98" w:rsidP="00641326">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15 </w:t>
            </w:r>
            <w:r w:rsidR="00641326">
              <w:rPr>
                <w:rFonts w:asciiTheme="minorHAnsi" w:hAnsiTheme="minorHAnsi" w:cs="Arial"/>
                <w:lang w:val="fr-FR" w:eastAsia="fr-FR"/>
              </w:rPr>
              <w:t>juillet</w:t>
            </w:r>
            <w:r w:rsidRPr="00D51CB1">
              <w:rPr>
                <w:rFonts w:asciiTheme="minorHAnsi" w:hAnsiTheme="minorHAnsi" w:cs="Arial"/>
                <w:lang w:val="fr-FR" w:eastAsia="fr-FR"/>
              </w:rPr>
              <w:t xml:space="preserve"> 2015 </w:t>
            </w:r>
          </w:p>
        </w:tc>
      </w:tr>
      <w:tr w:rsidR="00C6101D" w:rsidRPr="00D51CB1" w:rsidTr="00B16E31">
        <w:trPr>
          <w:trHeight w:val="324"/>
        </w:trPr>
        <w:tc>
          <w:tcPr>
            <w:tcW w:w="3305" w:type="pct"/>
            <w:shd w:val="clear" w:color="auto" w:fill="DBE5F1" w:themeFill="accent1" w:themeFillTint="33"/>
            <w:hideMark/>
          </w:tcPr>
          <w:p w:rsidR="00C6101D" w:rsidRPr="00D51CB1" w:rsidRDefault="00C6101D" w:rsidP="00C7763D">
            <w:pPr>
              <w:spacing w:after="0" w:line="240" w:lineRule="auto"/>
              <w:rPr>
                <w:rFonts w:asciiTheme="minorHAnsi" w:hAnsiTheme="minorHAnsi"/>
                <w:b/>
                <w:bCs/>
                <w:color w:val="000000"/>
                <w:lang w:val="fr-FR" w:eastAsia="fr-FR"/>
              </w:rPr>
            </w:pPr>
            <w:r w:rsidRPr="00D51CB1">
              <w:rPr>
                <w:b/>
                <w:color w:val="244061"/>
                <w:sz w:val="22"/>
                <w:szCs w:val="22"/>
                <w:lang w:val="fr-FR"/>
              </w:rPr>
              <w:t>Données</w:t>
            </w:r>
          </w:p>
        </w:tc>
        <w:tc>
          <w:tcPr>
            <w:tcW w:w="1695" w:type="pct"/>
            <w:gridSpan w:val="2"/>
            <w:shd w:val="clear" w:color="auto" w:fill="DBE5F1" w:themeFill="accent1" w:themeFillTint="33"/>
          </w:tcPr>
          <w:p w:rsidR="00C6101D" w:rsidRPr="00C6101D" w:rsidRDefault="00C6101D" w:rsidP="00C7763D">
            <w:pPr>
              <w:spacing w:after="0" w:line="240" w:lineRule="auto"/>
              <w:rPr>
                <w:rFonts w:asciiTheme="minorHAnsi" w:hAnsiTheme="minorHAnsi"/>
                <w:bCs/>
                <w:color w:val="000000"/>
                <w:lang w:val="fr-FR" w:eastAsia="fr-FR"/>
              </w:rPr>
            </w:pPr>
            <w:r w:rsidRPr="00C6101D">
              <w:rPr>
                <w:rFonts w:asciiTheme="minorHAnsi" w:hAnsiTheme="minorHAnsi"/>
                <w:bCs/>
                <w:color w:val="000000"/>
                <w:lang w:val="fr-FR" w:eastAsia="fr-FR"/>
              </w:rPr>
              <w:t>$ 100,313</w:t>
            </w:r>
          </w:p>
        </w:tc>
      </w:tr>
      <w:tr w:rsidR="009D5B98" w:rsidRPr="00D51CB1" w:rsidTr="00B16E31">
        <w:trPr>
          <w:trHeight w:val="787"/>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1</w:t>
            </w:r>
            <w:r w:rsidRPr="00D51CB1">
              <w:rPr>
                <w:rFonts w:asciiTheme="minorHAnsi" w:hAnsiTheme="minorHAnsi" w:cs="Arial"/>
                <w:color w:val="000000"/>
                <w:lang w:val="fr-FR" w:eastAsia="fr-FR"/>
              </w:rPr>
              <w:br/>
              <w:t>Dialogue institutionnel et création d'un protocole d'accord entre le MEDD et les institutions;</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900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30 juin 2015 </w:t>
            </w:r>
          </w:p>
        </w:tc>
      </w:tr>
      <w:tr w:rsidR="009D5B98" w:rsidRPr="00D51CB1" w:rsidTr="00B16E31">
        <w:trPr>
          <w:trHeight w:val="895"/>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2</w:t>
            </w:r>
            <w:r w:rsidRPr="00D51CB1">
              <w:rPr>
                <w:rFonts w:asciiTheme="minorHAnsi" w:hAnsiTheme="minorHAnsi" w:cs="Arial"/>
                <w:color w:val="000000"/>
                <w:lang w:val="fr-FR" w:eastAsia="fr-FR"/>
              </w:rPr>
              <w:br/>
              <w:t>Rapport d'état des lieux sur l'état des EA produits/disponibles pour la RDC, incluant recommandations pour l'utilisation des EA pour le NRF;</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2,413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30 septembre 2015</w:t>
            </w:r>
          </w:p>
        </w:tc>
      </w:tr>
      <w:tr w:rsidR="009D5B98" w:rsidRPr="00D51CB1" w:rsidTr="00B16E31">
        <w:trPr>
          <w:trHeight w:val="792"/>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3</w:t>
            </w:r>
            <w:r w:rsidRPr="00D51CB1">
              <w:rPr>
                <w:rFonts w:asciiTheme="minorHAnsi" w:hAnsiTheme="minorHAnsi" w:cs="Arial"/>
                <w:color w:val="000000"/>
                <w:lang w:val="fr-FR" w:eastAsia="fr-FR"/>
              </w:rPr>
              <w:br/>
              <w:t>Finalisation des estimations de facteurs d'émission</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$ 65,000 </w:t>
            </w:r>
          </w:p>
        </w:tc>
        <w:tc>
          <w:tcPr>
            <w:tcW w:w="845" w:type="pct"/>
            <w:noWrap/>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30 </w:t>
            </w:r>
            <w:r w:rsidR="00641326" w:rsidRPr="00D51CB1">
              <w:rPr>
                <w:rFonts w:asciiTheme="minorHAnsi" w:hAnsiTheme="minorHAnsi" w:cs="Arial"/>
                <w:lang w:val="fr-FR" w:eastAsia="fr-FR"/>
              </w:rPr>
              <w:t xml:space="preserve">aout </w:t>
            </w:r>
            <w:r w:rsidRPr="00D51CB1">
              <w:rPr>
                <w:rFonts w:asciiTheme="minorHAnsi" w:hAnsiTheme="minorHAnsi" w:cs="Arial"/>
                <w:lang w:val="fr-FR" w:eastAsia="fr-FR"/>
              </w:rPr>
              <w:t xml:space="preserve">2015 </w:t>
            </w:r>
          </w:p>
        </w:tc>
      </w:tr>
      <w:tr w:rsidR="009D5B98" w:rsidRPr="00D51CB1" w:rsidTr="00B16E31">
        <w:trPr>
          <w:trHeight w:val="535"/>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4</w:t>
            </w:r>
            <w:r w:rsidRPr="00D51CB1">
              <w:rPr>
                <w:rFonts w:asciiTheme="minorHAnsi" w:hAnsiTheme="minorHAnsi" w:cs="Arial"/>
                <w:color w:val="000000"/>
                <w:lang w:val="fr-FR" w:eastAsia="fr-FR"/>
              </w:rPr>
              <w:br/>
              <w:t>Production des statistiques des Données d'activité</w:t>
            </w:r>
          </w:p>
        </w:tc>
        <w:tc>
          <w:tcPr>
            <w:tcW w:w="850" w:type="pct"/>
            <w:vAlign w:val="center"/>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$ 36,000 </w:t>
            </w:r>
          </w:p>
        </w:tc>
        <w:tc>
          <w:tcPr>
            <w:tcW w:w="845" w:type="pct"/>
            <w:noWrap/>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30 aout 2015 </w:t>
            </w:r>
          </w:p>
        </w:tc>
      </w:tr>
      <w:tr w:rsidR="00C6101D" w:rsidRPr="004C6138" w:rsidTr="00B16E31">
        <w:trPr>
          <w:trHeight w:val="328"/>
        </w:trPr>
        <w:tc>
          <w:tcPr>
            <w:tcW w:w="3305" w:type="pct"/>
            <w:shd w:val="clear" w:color="auto" w:fill="DBE5F1" w:themeFill="accent1" w:themeFillTint="33"/>
            <w:hideMark/>
          </w:tcPr>
          <w:p w:rsidR="00C6101D" w:rsidRPr="00D51CB1" w:rsidRDefault="00C6101D" w:rsidP="00AA2A3A">
            <w:pPr>
              <w:spacing w:after="0" w:line="240" w:lineRule="auto"/>
              <w:jc w:val="center"/>
              <w:rPr>
                <w:rFonts w:asciiTheme="minorHAnsi" w:hAnsiTheme="minorHAnsi" w:cs="Arial"/>
                <w:lang w:val="fr-FR" w:eastAsia="fr-FR"/>
              </w:rPr>
            </w:pPr>
            <w:r w:rsidRPr="00D51CB1">
              <w:rPr>
                <w:b/>
                <w:color w:val="244061"/>
                <w:sz w:val="22"/>
                <w:szCs w:val="22"/>
                <w:lang w:val="fr-FR"/>
              </w:rPr>
              <w:t>Approche de construction</w:t>
            </w:r>
            <w:r w:rsidRPr="008156EE">
              <w:rPr>
                <w:b/>
                <w:color w:val="244061"/>
                <w:sz w:val="22"/>
                <w:szCs w:val="22"/>
                <w:lang w:val="fr-FR"/>
              </w:rPr>
              <w:t xml:space="preserve"> / </w:t>
            </w:r>
            <w:r w:rsidRPr="00D51CB1">
              <w:rPr>
                <w:b/>
                <w:color w:val="244061"/>
                <w:sz w:val="22"/>
                <w:szCs w:val="22"/>
                <w:lang w:val="fr-FR"/>
              </w:rPr>
              <w:t>Période historique</w:t>
            </w:r>
            <w:r w:rsidRPr="008156EE">
              <w:rPr>
                <w:b/>
                <w:color w:val="244061"/>
                <w:sz w:val="22"/>
                <w:szCs w:val="22"/>
                <w:lang w:val="fr-FR"/>
              </w:rPr>
              <w:t xml:space="preserve"> et Période d'actualisation</w:t>
            </w:r>
          </w:p>
        </w:tc>
        <w:tc>
          <w:tcPr>
            <w:tcW w:w="1695" w:type="pct"/>
            <w:gridSpan w:val="2"/>
            <w:shd w:val="clear" w:color="auto" w:fill="DBE5F1" w:themeFill="accent1" w:themeFillTint="33"/>
          </w:tcPr>
          <w:p w:rsidR="00C6101D" w:rsidRPr="00D51CB1" w:rsidRDefault="00C6101D" w:rsidP="00C6101D">
            <w:pPr>
              <w:spacing w:after="0" w:line="240" w:lineRule="auto"/>
              <w:jc w:val="both"/>
              <w:rPr>
                <w:rFonts w:asciiTheme="minorHAnsi" w:hAnsiTheme="minorHAnsi" w:cs="Arial"/>
                <w:lang w:val="fr-FR" w:eastAsia="fr-FR"/>
              </w:rPr>
            </w:pPr>
            <w:r w:rsidRPr="00C6101D">
              <w:rPr>
                <w:rFonts w:asciiTheme="minorHAnsi" w:hAnsiTheme="minorHAnsi"/>
                <w:bCs/>
                <w:color w:val="000000"/>
                <w:lang w:val="fr-FR" w:eastAsia="fr-FR"/>
              </w:rPr>
              <w:t xml:space="preserve">$ </w:t>
            </w:r>
            <w:r>
              <w:rPr>
                <w:rFonts w:asciiTheme="minorHAnsi" w:hAnsiTheme="minorHAnsi"/>
                <w:bCs/>
                <w:color w:val="000000"/>
                <w:lang w:val="fr-FR" w:eastAsia="fr-FR"/>
              </w:rPr>
              <w:t>1,005</w:t>
            </w:r>
          </w:p>
        </w:tc>
      </w:tr>
      <w:tr w:rsidR="009D5B98" w:rsidRPr="00D51CB1" w:rsidTr="00B16E31">
        <w:trPr>
          <w:trHeight w:val="528"/>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1</w:t>
            </w:r>
            <w:r w:rsidRPr="00D51CB1">
              <w:rPr>
                <w:rFonts w:asciiTheme="minorHAnsi" w:hAnsiTheme="minorHAnsi" w:cs="Arial"/>
                <w:color w:val="000000"/>
                <w:lang w:val="fr-FR" w:eastAsia="fr-FR"/>
              </w:rPr>
              <w:t xml:space="preserve"> </w:t>
            </w:r>
            <w:r w:rsidRPr="00D51CB1">
              <w:rPr>
                <w:rFonts w:asciiTheme="minorHAnsi" w:hAnsiTheme="minorHAnsi" w:cs="Arial"/>
                <w:color w:val="000000"/>
                <w:lang w:val="fr-FR" w:eastAsia="fr-FR"/>
              </w:rPr>
              <w:br/>
              <w:t>Période Historique et  Période d'actualisation</w:t>
            </w:r>
          </w:p>
        </w:tc>
        <w:tc>
          <w:tcPr>
            <w:tcW w:w="850" w:type="pct"/>
            <w:hideMark/>
          </w:tcPr>
          <w:p w:rsidR="009D5B98" w:rsidRPr="00D51CB1" w:rsidRDefault="009D5B98" w:rsidP="0035309F">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w:t>
            </w:r>
            <w:r w:rsidR="0035309F">
              <w:rPr>
                <w:rFonts w:asciiTheme="minorHAnsi" w:hAnsiTheme="minorHAnsi" w:cs="Arial"/>
                <w:lang w:val="fr-FR" w:eastAsia="fr-FR"/>
              </w:rPr>
              <w:t>1</w:t>
            </w:r>
            <w:r w:rsidR="00C6101D">
              <w:rPr>
                <w:rFonts w:asciiTheme="minorHAnsi" w:hAnsiTheme="minorHAnsi" w:cs="Arial"/>
                <w:lang w:val="fr-FR" w:eastAsia="fr-FR"/>
              </w:rPr>
              <w:t>,</w:t>
            </w:r>
            <w:r w:rsidR="0035309F">
              <w:rPr>
                <w:rFonts w:asciiTheme="minorHAnsi" w:hAnsiTheme="minorHAnsi" w:cs="Arial"/>
                <w:lang w:val="fr-FR" w:eastAsia="fr-FR"/>
              </w:rPr>
              <w:t>00</w:t>
            </w:r>
            <w:r w:rsidRPr="00D51CB1">
              <w:rPr>
                <w:rFonts w:asciiTheme="minorHAnsi" w:hAnsiTheme="minorHAnsi" w:cs="Arial"/>
                <w:lang w:val="fr-FR" w:eastAsia="fr-FR"/>
              </w:rPr>
              <w:t xml:space="preserve">5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30 septembre 2015 </w:t>
            </w:r>
          </w:p>
        </w:tc>
      </w:tr>
      <w:tr w:rsidR="00C6101D" w:rsidRPr="004C6138" w:rsidTr="00B16E31">
        <w:trPr>
          <w:trHeight w:val="265"/>
        </w:trPr>
        <w:tc>
          <w:tcPr>
            <w:tcW w:w="3305" w:type="pct"/>
            <w:shd w:val="clear" w:color="auto" w:fill="DBE5F1" w:themeFill="accent1" w:themeFillTint="33"/>
            <w:noWrap/>
            <w:hideMark/>
          </w:tcPr>
          <w:p w:rsidR="00C6101D" w:rsidRPr="00D51CB1" w:rsidRDefault="00C6101D" w:rsidP="00AA2A3A">
            <w:pPr>
              <w:spacing w:after="0" w:line="240" w:lineRule="auto"/>
              <w:jc w:val="center"/>
              <w:rPr>
                <w:rFonts w:asciiTheme="minorHAnsi" w:hAnsiTheme="minorHAnsi"/>
                <w:b/>
                <w:bCs/>
                <w:color w:val="000000"/>
                <w:lang w:val="fr-FR" w:eastAsia="fr-FR"/>
              </w:rPr>
            </w:pPr>
            <w:r w:rsidRPr="00D51CB1">
              <w:rPr>
                <w:b/>
                <w:color w:val="244061"/>
                <w:sz w:val="22"/>
                <w:szCs w:val="22"/>
                <w:lang w:val="fr-FR"/>
              </w:rPr>
              <w:t>Approche de construction</w:t>
            </w:r>
            <w:r w:rsidRPr="008156EE">
              <w:rPr>
                <w:b/>
                <w:color w:val="244061"/>
                <w:sz w:val="22"/>
                <w:szCs w:val="22"/>
                <w:lang w:val="fr-FR"/>
              </w:rPr>
              <w:t xml:space="preserve"> /  Méthodologie de construction  du NRF</w:t>
            </w:r>
          </w:p>
        </w:tc>
        <w:tc>
          <w:tcPr>
            <w:tcW w:w="1695" w:type="pct"/>
            <w:gridSpan w:val="2"/>
            <w:shd w:val="clear" w:color="auto" w:fill="DBE5F1" w:themeFill="accent1" w:themeFillTint="33"/>
          </w:tcPr>
          <w:p w:rsidR="00C6101D" w:rsidRPr="00D51CB1" w:rsidRDefault="00C6101D" w:rsidP="00C6101D">
            <w:pPr>
              <w:spacing w:after="0" w:line="240" w:lineRule="auto"/>
              <w:jc w:val="both"/>
              <w:rPr>
                <w:rFonts w:asciiTheme="minorHAnsi" w:hAnsiTheme="minorHAnsi"/>
                <w:b/>
                <w:bCs/>
                <w:color w:val="000000"/>
                <w:lang w:val="fr-FR" w:eastAsia="fr-FR"/>
              </w:rPr>
            </w:pPr>
            <w:r w:rsidRPr="00C6101D">
              <w:rPr>
                <w:rFonts w:asciiTheme="minorHAnsi" w:hAnsiTheme="minorHAnsi"/>
                <w:bCs/>
                <w:color w:val="000000"/>
                <w:lang w:val="fr-FR" w:eastAsia="fr-FR"/>
              </w:rPr>
              <w:t xml:space="preserve">$ </w:t>
            </w:r>
            <w:r>
              <w:rPr>
                <w:rFonts w:asciiTheme="minorHAnsi" w:hAnsiTheme="minorHAnsi"/>
                <w:bCs/>
                <w:color w:val="000000"/>
                <w:lang w:val="fr-FR" w:eastAsia="fr-FR"/>
              </w:rPr>
              <w:t>48,360</w:t>
            </w:r>
          </w:p>
        </w:tc>
      </w:tr>
      <w:tr w:rsidR="009D5B98" w:rsidRPr="00D51CB1" w:rsidTr="00B16E31">
        <w:trPr>
          <w:trHeight w:val="715"/>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1</w:t>
            </w:r>
            <w:r w:rsidRPr="00D51CB1">
              <w:rPr>
                <w:rFonts w:asciiTheme="minorHAnsi" w:hAnsiTheme="minorHAnsi"/>
                <w:color w:val="000000"/>
                <w:lang w:val="fr-FR" w:eastAsia="fr-FR"/>
              </w:rPr>
              <w:br/>
              <w:t>Approche méthodologique commune</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$ 11,525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15 octobre 2015 </w:t>
            </w:r>
          </w:p>
        </w:tc>
      </w:tr>
      <w:tr w:rsidR="009D5B98" w:rsidRPr="00D51CB1" w:rsidTr="00B16E31">
        <w:trPr>
          <w:trHeight w:val="562"/>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2</w:t>
            </w:r>
            <w:r w:rsidRPr="00D51CB1">
              <w:rPr>
                <w:rFonts w:asciiTheme="minorHAnsi" w:hAnsiTheme="minorHAnsi"/>
                <w:color w:val="000000"/>
                <w:lang w:val="fr-FR" w:eastAsia="fr-FR"/>
              </w:rPr>
              <w:br/>
              <w:t>Document de revue des méthodologies existantes;</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1,650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15 octobre 2015 </w:t>
            </w:r>
          </w:p>
        </w:tc>
      </w:tr>
      <w:tr w:rsidR="009D5B98" w:rsidRPr="00D51CB1" w:rsidTr="00B16E31">
        <w:trPr>
          <w:trHeight w:val="588"/>
        </w:trPr>
        <w:tc>
          <w:tcPr>
            <w:tcW w:w="3305" w:type="pct"/>
            <w:hideMark/>
          </w:tcPr>
          <w:p w:rsidR="009D5B98" w:rsidRPr="00D51CB1" w:rsidRDefault="009D5B98" w:rsidP="00C7763D">
            <w:pPr>
              <w:spacing w:after="0" w:line="240" w:lineRule="auto"/>
              <w:rPr>
                <w:rFonts w:asciiTheme="minorHAnsi" w:hAnsiTheme="minorHAnsi"/>
                <w:color w:val="000000"/>
                <w:lang w:val="fr-FR" w:eastAsia="fr-FR"/>
              </w:rPr>
            </w:pPr>
            <w:r w:rsidRPr="00D51CB1">
              <w:rPr>
                <w:rFonts w:asciiTheme="minorHAnsi" w:hAnsiTheme="minorHAnsi"/>
                <w:b/>
                <w:color w:val="000000"/>
                <w:lang w:val="fr-FR" w:eastAsia="fr-FR"/>
              </w:rPr>
              <w:t>Livrable 3</w:t>
            </w:r>
            <w:r w:rsidRPr="00D51CB1">
              <w:rPr>
                <w:rFonts w:asciiTheme="minorHAnsi" w:hAnsiTheme="minorHAnsi"/>
                <w:color w:val="000000"/>
                <w:lang w:val="fr-FR" w:eastAsia="fr-FR"/>
              </w:rPr>
              <w:br/>
              <w:t>Rapport de réunion d`échange sud-sud</w:t>
            </w:r>
          </w:p>
        </w:tc>
        <w:tc>
          <w:tcPr>
            <w:tcW w:w="850" w:type="pct"/>
            <w:hideMark/>
          </w:tcPr>
          <w:p w:rsidR="009D5B98" w:rsidRPr="00D51CB1" w:rsidRDefault="009D5B98" w:rsidP="00C6101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w:t>
            </w:r>
            <w:r w:rsidR="00C6101D">
              <w:rPr>
                <w:rFonts w:asciiTheme="minorHAnsi" w:hAnsiTheme="minorHAnsi" w:cs="Arial"/>
                <w:lang w:val="fr-FR" w:eastAsia="fr-FR"/>
              </w:rPr>
              <w:t>5</w:t>
            </w:r>
            <w:r w:rsidRPr="00D51CB1">
              <w:rPr>
                <w:rFonts w:asciiTheme="minorHAnsi" w:hAnsiTheme="minorHAnsi" w:cs="Arial"/>
                <w:lang w:val="fr-FR" w:eastAsia="fr-FR"/>
              </w:rPr>
              <w:t xml:space="preserve">,180 </w:t>
            </w:r>
          </w:p>
        </w:tc>
        <w:tc>
          <w:tcPr>
            <w:tcW w:w="845" w:type="pct"/>
            <w:vAlign w:val="center"/>
            <w:hideMark/>
          </w:tcPr>
          <w:p w:rsidR="009D5B98" w:rsidRPr="00D51CB1" w:rsidRDefault="009D5B98" w:rsidP="00C7763D">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30 septembre 2015 </w:t>
            </w:r>
          </w:p>
        </w:tc>
      </w:tr>
      <w:tr w:rsidR="00C6101D" w:rsidRPr="00C6101D" w:rsidTr="00B16E31">
        <w:trPr>
          <w:trHeight w:val="588"/>
        </w:trPr>
        <w:tc>
          <w:tcPr>
            <w:tcW w:w="3305" w:type="pct"/>
          </w:tcPr>
          <w:p w:rsidR="00C6101D" w:rsidRDefault="00C6101D" w:rsidP="00C7763D">
            <w:pPr>
              <w:spacing w:after="0" w:line="240" w:lineRule="auto"/>
              <w:rPr>
                <w:b/>
                <w:color w:val="000000"/>
              </w:rPr>
            </w:pPr>
            <w:r w:rsidRPr="00C6101D">
              <w:rPr>
                <w:b/>
                <w:color w:val="000000"/>
              </w:rPr>
              <w:t>Backstopping missions</w:t>
            </w:r>
          </w:p>
          <w:p w:rsidR="00C6101D" w:rsidRPr="00500DA5" w:rsidRDefault="00C6101D" w:rsidP="00AF44AD">
            <w:pPr>
              <w:spacing w:after="0" w:line="240" w:lineRule="auto"/>
              <w:rPr>
                <w:rFonts w:asciiTheme="minorHAnsi" w:hAnsiTheme="minorHAnsi"/>
                <w:b/>
                <w:color w:val="000000"/>
                <w:lang w:val="en-US" w:eastAsia="fr-FR"/>
              </w:rPr>
            </w:pPr>
            <w:r w:rsidRPr="00500DA5">
              <w:rPr>
                <w:color w:val="000000"/>
                <w:lang w:val="en-US"/>
              </w:rPr>
              <w:t xml:space="preserve">2 missions Backstopping / 2 </w:t>
            </w:r>
            <w:r w:rsidR="00AF44AD">
              <w:rPr>
                <w:color w:val="000000"/>
                <w:lang w:val="en-US"/>
              </w:rPr>
              <w:t>experts par mission</w:t>
            </w:r>
            <w:r w:rsidRPr="00500DA5">
              <w:rPr>
                <w:color w:val="000000"/>
                <w:lang w:val="en-US"/>
              </w:rPr>
              <w:t>.</w:t>
            </w:r>
          </w:p>
        </w:tc>
        <w:tc>
          <w:tcPr>
            <w:tcW w:w="850" w:type="pct"/>
          </w:tcPr>
          <w:p w:rsidR="00C6101D" w:rsidRPr="00C6101D" w:rsidRDefault="00C6101D" w:rsidP="00C6101D">
            <w:pPr>
              <w:spacing w:after="0" w:line="240" w:lineRule="auto"/>
              <w:ind w:firstLineChars="1800" w:firstLine="3600"/>
              <w:rPr>
                <w:rFonts w:asciiTheme="minorHAnsi" w:hAnsiTheme="minorHAnsi" w:cs="Arial"/>
                <w:lang w:val="fr-FR" w:eastAsia="fr-FR"/>
              </w:rPr>
            </w:pPr>
            <w:r>
              <w:rPr>
                <w:color w:val="000000"/>
              </w:rPr>
              <w:t xml:space="preserve">$ </w:t>
            </w:r>
            <w:r w:rsidR="00AF44AD">
              <w:rPr>
                <w:color w:val="000000"/>
              </w:rPr>
              <w:t xml:space="preserve">$ </w:t>
            </w:r>
            <w:r>
              <w:rPr>
                <w:color w:val="000000"/>
              </w:rPr>
              <w:t>18,000</w:t>
            </w:r>
          </w:p>
        </w:tc>
        <w:tc>
          <w:tcPr>
            <w:tcW w:w="845" w:type="pct"/>
            <w:vAlign w:val="center"/>
          </w:tcPr>
          <w:p w:rsidR="00C6101D" w:rsidRPr="00C6101D" w:rsidRDefault="00C6101D" w:rsidP="00C7763D">
            <w:pPr>
              <w:spacing w:after="0" w:line="240" w:lineRule="auto"/>
              <w:rPr>
                <w:rFonts w:asciiTheme="minorHAnsi" w:hAnsiTheme="minorHAnsi" w:cs="Arial"/>
                <w:lang w:val="fr-FR" w:eastAsia="fr-FR"/>
              </w:rPr>
            </w:pPr>
            <w:r>
              <w:rPr>
                <w:rFonts w:asciiTheme="minorHAnsi" w:hAnsiTheme="minorHAnsi" w:cs="Arial"/>
                <w:lang w:val="fr-FR" w:eastAsia="fr-FR"/>
              </w:rPr>
              <w:t>Septembre - Novembre</w:t>
            </w:r>
          </w:p>
        </w:tc>
      </w:tr>
      <w:tr w:rsidR="00C6101D" w:rsidRPr="00D51CB1" w:rsidTr="00B16E31">
        <w:trPr>
          <w:trHeight w:val="324"/>
        </w:trPr>
        <w:tc>
          <w:tcPr>
            <w:tcW w:w="3305" w:type="pct"/>
            <w:shd w:val="clear" w:color="auto" w:fill="DBE5F1" w:themeFill="accent1" w:themeFillTint="33"/>
            <w:hideMark/>
          </w:tcPr>
          <w:p w:rsidR="00C6101D" w:rsidRPr="00D51CB1" w:rsidRDefault="00C6101D" w:rsidP="00C7763D">
            <w:pPr>
              <w:spacing w:after="0" w:line="240" w:lineRule="auto"/>
              <w:rPr>
                <w:rFonts w:asciiTheme="minorHAnsi" w:hAnsiTheme="minorHAnsi"/>
                <w:b/>
                <w:bCs/>
                <w:color w:val="000000"/>
                <w:lang w:val="fr-FR" w:eastAsia="fr-FR"/>
              </w:rPr>
            </w:pPr>
            <w:r w:rsidRPr="00D51CB1">
              <w:rPr>
                <w:b/>
                <w:color w:val="244061"/>
                <w:sz w:val="22"/>
                <w:szCs w:val="22"/>
                <w:lang w:val="fr-FR"/>
              </w:rPr>
              <w:lastRenderedPageBreak/>
              <w:t>Ajustement</w:t>
            </w:r>
          </w:p>
        </w:tc>
        <w:tc>
          <w:tcPr>
            <w:tcW w:w="1695" w:type="pct"/>
            <w:gridSpan w:val="2"/>
            <w:shd w:val="clear" w:color="auto" w:fill="DBE5F1" w:themeFill="accent1" w:themeFillTint="33"/>
          </w:tcPr>
          <w:p w:rsidR="00C6101D" w:rsidRPr="00D51CB1" w:rsidRDefault="00C6101D" w:rsidP="00C7763D">
            <w:pPr>
              <w:spacing w:after="0" w:line="240" w:lineRule="auto"/>
              <w:rPr>
                <w:rFonts w:asciiTheme="minorHAnsi" w:hAnsiTheme="minorHAnsi"/>
                <w:b/>
                <w:bCs/>
                <w:color w:val="000000"/>
                <w:lang w:val="fr-FR" w:eastAsia="fr-FR"/>
              </w:rPr>
            </w:pPr>
            <w:r w:rsidRPr="00D51CB1">
              <w:rPr>
                <w:rFonts w:asciiTheme="minorHAnsi" w:hAnsiTheme="minorHAnsi" w:cs="Arial"/>
                <w:lang w:val="fr-FR" w:eastAsia="fr-FR"/>
              </w:rPr>
              <w:t xml:space="preserve">$   </w:t>
            </w:r>
            <w:r>
              <w:rPr>
                <w:rFonts w:asciiTheme="minorHAnsi" w:hAnsiTheme="minorHAnsi" w:cs="Arial"/>
                <w:lang w:val="fr-FR" w:eastAsia="fr-FR"/>
              </w:rPr>
              <w:t>12,925</w:t>
            </w:r>
          </w:p>
        </w:tc>
      </w:tr>
      <w:tr w:rsidR="009D5B98" w:rsidRPr="00D51CB1" w:rsidTr="00B16E31">
        <w:trPr>
          <w:trHeight w:val="804"/>
        </w:trPr>
        <w:tc>
          <w:tcPr>
            <w:tcW w:w="3305" w:type="pct"/>
            <w:hideMark/>
          </w:tcPr>
          <w:p w:rsidR="00B16E31"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1</w:t>
            </w:r>
            <w:r w:rsidRPr="00D51CB1">
              <w:rPr>
                <w:rFonts w:asciiTheme="minorHAnsi" w:hAnsiTheme="minorHAnsi" w:cs="Arial"/>
                <w:color w:val="000000"/>
                <w:lang w:val="fr-FR" w:eastAsia="fr-FR"/>
              </w:rPr>
              <w:br/>
              <w:t>Document méthodologique de l'approche d'ajustement et documentation justificative</w:t>
            </w:r>
            <w:r w:rsidR="00B16E31">
              <w:rPr>
                <w:rFonts w:asciiTheme="minorHAnsi" w:hAnsiTheme="minorHAnsi" w:cs="Arial"/>
                <w:color w:val="000000"/>
                <w:lang w:val="fr-FR" w:eastAsia="fr-FR"/>
              </w:rPr>
              <w:t xml:space="preserve"> et Atelier de Validation National</w:t>
            </w:r>
          </w:p>
        </w:tc>
        <w:tc>
          <w:tcPr>
            <w:tcW w:w="850" w:type="pct"/>
            <w:hideMark/>
          </w:tcPr>
          <w:p w:rsidR="004C6138" w:rsidRDefault="009D5B98" w:rsidP="004C6138">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w:t>
            </w:r>
            <w:r w:rsidR="00C6101D">
              <w:rPr>
                <w:rFonts w:asciiTheme="minorHAnsi" w:hAnsiTheme="minorHAnsi" w:cs="Arial"/>
                <w:lang w:val="fr-FR" w:eastAsia="fr-FR"/>
              </w:rPr>
              <w:t>12,925</w:t>
            </w:r>
          </w:p>
          <w:p w:rsidR="009D5B98" w:rsidRPr="00D51CB1" w:rsidRDefault="009D5B98" w:rsidP="004C6138">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w:t>
            </w:r>
          </w:p>
        </w:tc>
        <w:tc>
          <w:tcPr>
            <w:tcW w:w="845" w:type="pct"/>
            <w:vAlign w:val="center"/>
            <w:hideMark/>
          </w:tcPr>
          <w:p w:rsidR="009D5B98" w:rsidRPr="00D51CB1" w:rsidRDefault="009D5B98" w:rsidP="00F77455">
            <w:pPr>
              <w:spacing w:after="0" w:line="240" w:lineRule="auto"/>
              <w:rPr>
                <w:rFonts w:asciiTheme="minorHAnsi" w:hAnsiTheme="minorHAnsi" w:cs="Arial"/>
                <w:lang w:val="fr-FR" w:eastAsia="fr-FR"/>
              </w:rPr>
            </w:pPr>
            <w:r w:rsidRPr="00D51CB1">
              <w:rPr>
                <w:rFonts w:asciiTheme="minorHAnsi" w:hAnsiTheme="minorHAnsi" w:cs="Arial"/>
                <w:lang w:val="fr-FR" w:eastAsia="fr-FR"/>
              </w:rPr>
              <w:t xml:space="preserve"> </w:t>
            </w:r>
            <w:r w:rsidR="00F77455">
              <w:rPr>
                <w:rFonts w:asciiTheme="minorHAnsi" w:hAnsiTheme="minorHAnsi" w:cs="Arial"/>
                <w:lang w:val="fr-FR" w:eastAsia="fr-FR"/>
              </w:rPr>
              <w:t>30</w:t>
            </w:r>
            <w:r w:rsidRPr="00D51CB1">
              <w:rPr>
                <w:rFonts w:asciiTheme="minorHAnsi" w:hAnsiTheme="minorHAnsi" w:cs="Arial"/>
                <w:lang w:val="fr-FR" w:eastAsia="fr-FR"/>
              </w:rPr>
              <w:t xml:space="preserve"> octobre 2015 </w:t>
            </w:r>
          </w:p>
        </w:tc>
      </w:tr>
      <w:tr w:rsidR="00C6101D" w:rsidRPr="004C6138" w:rsidTr="00B16E31">
        <w:trPr>
          <w:trHeight w:val="324"/>
        </w:trPr>
        <w:tc>
          <w:tcPr>
            <w:tcW w:w="3305" w:type="pct"/>
            <w:shd w:val="clear" w:color="auto" w:fill="DBE5F1" w:themeFill="accent1" w:themeFillTint="33"/>
            <w:hideMark/>
          </w:tcPr>
          <w:p w:rsidR="00C6101D" w:rsidRPr="00D51CB1" w:rsidRDefault="00C6101D" w:rsidP="00AA2A3A">
            <w:pPr>
              <w:spacing w:after="0" w:line="240" w:lineRule="auto"/>
              <w:jc w:val="center"/>
              <w:rPr>
                <w:rFonts w:asciiTheme="minorHAnsi" w:hAnsiTheme="minorHAnsi"/>
                <w:b/>
                <w:bCs/>
                <w:color w:val="000000"/>
                <w:lang w:val="fr-FR" w:eastAsia="fr-FR"/>
              </w:rPr>
            </w:pPr>
            <w:r w:rsidRPr="00D51CB1">
              <w:rPr>
                <w:b/>
                <w:color w:val="244061"/>
                <w:sz w:val="22"/>
                <w:szCs w:val="22"/>
                <w:lang w:val="fr-FR"/>
              </w:rPr>
              <w:t>Soumission de NRF à la CCNUCC</w:t>
            </w:r>
          </w:p>
        </w:tc>
        <w:tc>
          <w:tcPr>
            <w:tcW w:w="1695" w:type="pct"/>
            <w:gridSpan w:val="2"/>
            <w:shd w:val="clear" w:color="auto" w:fill="DBE5F1" w:themeFill="accent1" w:themeFillTint="33"/>
          </w:tcPr>
          <w:p w:rsidR="00C6101D" w:rsidRPr="00B16E31" w:rsidRDefault="00B16E31" w:rsidP="00B16E31">
            <w:pPr>
              <w:spacing w:after="0" w:line="240" w:lineRule="auto"/>
              <w:jc w:val="both"/>
              <w:rPr>
                <w:rFonts w:asciiTheme="minorHAnsi" w:hAnsiTheme="minorHAnsi"/>
                <w:bCs/>
                <w:color w:val="000000"/>
                <w:lang w:val="fr-FR" w:eastAsia="fr-FR"/>
              </w:rPr>
            </w:pPr>
            <w:r>
              <w:rPr>
                <w:rFonts w:asciiTheme="minorHAnsi" w:hAnsiTheme="minorHAnsi"/>
                <w:bCs/>
                <w:color w:val="000000"/>
                <w:lang w:val="fr-FR" w:eastAsia="fr-FR"/>
              </w:rPr>
              <w:t>$ 17,400</w:t>
            </w:r>
          </w:p>
        </w:tc>
      </w:tr>
      <w:tr w:rsidR="009D5B98" w:rsidRPr="00D51CB1" w:rsidTr="00B16E31">
        <w:trPr>
          <w:trHeight w:val="742"/>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1</w:t>
            </w:r>
            <w:r w:rsidRPr="00D51CB1">
              <w:rPr>
                <w:rFonts w:asciiTheme="minorHAnsi" w:hAnsiTheme="minorHAnsi" w:cs="Arial"/>
                <w:color w:val="000000"/>
                <w:lang w:val="fr-FR" w:eastAsia="fr-FR"/>
              </w:rPr>
              <w:br/>
              <w:t>Rédaction et vali</w:t>
            </w:r>
            <w:r>
              <w:rPr>
                <w:rFonts w:asciiTheme="minorHAnsi" w:hAnsiTheme="minorHAnsi" w:cs="Arial"/>
                <w:color w:val="000000"/>
                <w:lang w:val="fr-FR" w:eastAsia="fr-FR"/>
              </w:rPr>
              <w:t>d</w:t>
            </w:r>
            <w:r w:rsidRPr="00D51CB1">
              <w:rPr>
                <w:rFonts w:asciiTheme="minorHAnsi" w:hAnsiTheme="minorHAnsi" w:cs="Arial"/>
                <w:color w:val="000000"/>
                <w:lang w:val="fr-FR" w:eastAsia="fr-FR"/>
              </w:rPr>
              <w:t>ation de la soumission du NERF/NRF de la RDC en vue de la CdP de Paris</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1,650 </w:t>
            </w:r>
          </w:p>
        </w:tc>
        <w:tc>
          <w:tcPr>
            <w:tcW w:w="845" w:type="pct"/>
            <w:noWrap/>
            <w:vAlign w:val="center"/>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color w:val="000000"/>
                <w:lang w:val="fr-FR" w:eastAsia="fr-FR"/>
              </w:rPr>
              <w:t>15 novembre 2015</w:t>
            </w:r>
          </w:p>
        </w:tc>
      </w:tr>
      <w:tr w:rsidR="009D5B98" w:rsidRPr="00D51CB1" w:rsidTr="00B16E31">
        <w:trPr>
          <w:trHeight w:val="804"/>
        </w:trPr>
        <w:tc>
          <w:tcPr>
            <w:tcW w:w="3305" w:type="pct"/>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b/>
                <w:color w:val="000000"/>
                <w:lang w:val="fr-FR" w:eastAsia="fr-FR"/>
              </w:rPr>
              <w:t>Livrable 2</w:t>
            </w:r>
            <w:r w:rsidRPr="00D51CB1">
              <w:rPr>
                <w:rFonts w:asciiTheme="minorHAnsi" w:hAnsiTheme="minorHAnsi" w:cs="Arial"/>
                <w:color w:val="000000"/>
                <w:lang w:val="fr-FR" w:eastAsia="fr-FR"/>
              </w:rPr>
              <w:br/>
              <w:t>Présentation de la soumission NERF/NRF de la RDC prévue lors de la CdP de Paris</w:t>
            </w:r>
          </w:p>
        </w:tc>
        <w:tc>
          <w:tcPr>
            <w:tcW w:w="850" w:type="pct"/>
            <w:hideMark/>
          </w:tcPr>
          <w:p w:rsidR="009D5B98" w:rsidRPr="00D51CB1" w:rsidRDefault="009D5B98" w:rsidP="00C7763D">
            <w:pPr>
              <w:spacing w:after="0" w:line="240" w:lineRule="auto"/>
              <w:ind w:firstLineChars="1800" w:firstLine="3600"/>
              <w:rPr>
                <w:rFonts w:asciiTheme="minorHAnsi" w:hAnsiTheme="minorHAnsi" w:cs="Arial"/>
                <w:lang w:val="fr-FR" w:eastAsia="fr-FR"/>
              </w:rPr>
            </w:pPr>
            <w:r w:rsidRPr="00D51CB1">
              <w:rPr>
                <w:rFonts w:asciiTheme="minorHAnsi" w:hAnsiTheme="minorHAnsi" w:cs="Arial"/>
                <w:lang w:val="fr-FR" w:eastAsia="fr-FR"/>
              </w:rPr>
              <w:t xml:space="preserve"> $ 15,750 </w:t>
            </w:r>
          </w:p>
        </w:tc>
        <w:tc>
          <w:tcPr>
            <w:tcW w:w="845" w:type="pct"/>
            <w:noWrap/>
            <w:vAlign w:val="center"/>
            <w:hideMark/>
          </w:tcPr>
          <w:p w:rsidR="009D5B98" w:rsidRPr="00D51CB1" w:rsidRDefault="009D5B98" w:rsidP="00C7763D">
            <w:pPr>
              <w:spacing w:after="0" w:line="240" w:lineRule="auto"/>
              <w:rPr>
                <w:rFonts w:asciiTheme="minorHAnsi" w:hAnsiTheme="minorHAnsi" w:cs="Arial"/>
                <w:color w:val="000000"/>
                <w:lang w:val="fr-FR" w:eastAsia="fr-FR"/>
              </w:rPr>
            </w:pPr>
            <w:r w:rsidRPr="00D51CB1">
              <w:rPr>
                <w:rFonts w:asciiTheme="minorHAnsi" w:hAnsiTheme="minorHAnsi" w:cs="Arial"/>
                <w:color w:val="000000"/>
                <w:lang w:val="fr-FR" w:eastAsia="fr-FR"/>
              </w:rPr>
              <w:t>1 décembre 2015</w:t>
            </w:r>
          </w:p>
        </w:tc>
      </w:tr>
      <w:tr w:rsidR="00C6101D" w:rsidRPr="00AA2A3A" w:rsidTr="00B16E31">
        <w:trPr>
          <w:trHeight w:val="400"/>
        </w:trPr>
        <w:tc>
          <w:tcPr>
            <w:tcW w:w="3305" w:type="pct"/>
            <w:shd w:val="clear" w:color="auto" w:fill="DBE5F1" w:themeFill="accent1" w:themeFillTint="33"/>
          </w:tcPr>
          <w:p w:rsidR="00C6101D" w:rsidRPr="00D51CB1" w:rsidRDefault="00C6101D" w:rsidP="00AA2A3A">
            <w:pPr>
              <w:spacing w:after="0" w:line="240" w:lineRule="auto"/>
              <w:jc w:val="center"/>
              <w:rPr>
                <w:rFonts w:asciiTheme="minorHAnsi" w:hAnsiTheme="minorHAnsi" w:cs="Arial"/>
                <w:color w:val="000000"/>
                <w:lang w:val="fr-FR" w:eastAsia="fr-FR"/>
              </w:rPr>
            </w:pPr>
            <w:r>
              <w:rPr>
                <w:b/>
                <w:color w:val="244061"/>
                <w:sz w:val="22"/>
                <w:szCs w:val="22"/>
                <w:lang w:val="fr-FR"/>
              </w:rPr>
              <w:t>Activités Transversales</w:t>
            </w:r>
          </w:p>
        </w:tc>
        <w:tc>
          <w:tcPr>
            <w:tcW w:w="1695" w:type="pct"/>
            <w:gridSpan w:val="2"/>
            <w:shd w:val="clear" w:color="auto" w:fill="DBE5F1" w:themeFill="accent1" w:themeFillTint="33"/>
          </w:tcPr>
          <w:p w:rsidR="00C6101D" w:rsidRPr="00D51CB1" w:rsidRDefault="00B16E31" w:rsidP="00B16E31">
            <w:pPr>
              <w:spacing w:after="0" w:line="240" w:lineRule="auto"/>
              <w:jc w:val="both"/>
              <w:rPr>
                <w:rFonts w:asciiTheme="minorHAnsi" w:hAnsiTheme="minorHAnsi" w:cs="Arial"/>
                <w:color w:val="000000"/>
                <w:lang w:val="fr-FR" w:eastAsia="fr-FR"/>
              </w:rPr>
            </w:pPr>
            <w:r>
              <w:rPr>
                <w:rFonts w:asciiTheme="minorHAnsi" w:hAnsiTheme="minorHAnsi" w:cs="Arial"/>
                <w:color w:val="000000"/>
                <w:lang w:val="fr-FR" w:eastAsia="fr-FR"/>
              </w:rPr>
              <w:t>$96,769</w:t>
            </w:r>
          </w:p>
        </w:tc>
      </w:tr>
      <w:tr w:rsidR="00C97CA9" w:rsidRPr="00AA2A3A" w:rsidTr="00B16E31">
        <w:trPr>
          <w:trHeight w:val="216"/>
        </w:trPr>
        <w:tc>
          <w:tcPr>
            <w:tcW w:w="3305" w:type="pct"/>
            <w:vAlign w:val="center"/>
          </w:tcPr>
          <w:p w:rsidR="00C97CA9" w:rsidRPr="00AA2A3A" w:rsidRDefault="00C97CA9" w:rsidP="00AA2A3A">
            <w:pPr>
              <w:rPr>
                <w:color w:val="000000"/>
                <w:sz w:val="24"/>
                <w:szCs w:val="24"/>
                <w:lang w:val="fr-FR"/>
              </w:rPr>
            </w:pPr>
            <w:r w:rsidRPr="00AA2A3A">
              <w:rPr>
                <w:color w:val="000000"/>
                <w:lang w:val="fr-FR"/>
              </w:rPr>
              <w:t>Matériel consommable</w:t>
            </w:r>
          </w:p>
        </w:tc>
        <w:tc>
          <w:tcPr>
            <w:tcW w:w="850" w:type="pct"/>
            <w:vAlign w:val="center"/>
          </w:tcPr>
          <w:p w:rsidR="00C97CA9" w:rsidRDefault="00C97CA9" w:rsidP="00C97CA9">
            <w:pPr>
              <w:rPr>
                <w:color w:val="000000"/>
              </w:rPr>
            </w:pPr>
            <w:r>
              <w:rPr>
                <w:color w:val="000000"/>
              </w:rPr>
              <w:t xml:space="preserve">$  1,200 </w:t>
            </w:r>
          </w:p>
        </w:tc>
        <w:tc>
          <w:tcPr>
            <w:tcW w:w="845" w:type="pct"/>
            <w:noWrap/>
            <w:vAlign w:val="center"/>
          </w:tcPr>
          <w:p w:rsidR="00C97CA9" w:rsidRPr="00AA2A3A" w:rsidRDefault="00C97CA9" w:rsidP="00AA2A3A">
            <w:pPr>
              <w:spacing w:after="0" w:line="240" w:lineRule="auto"/>
              <w:rPr>
                <w:rFonts w:asciiTheme="minorHAnsi" w:hAnsiTheme="minorHAnsi" w:cs="Arial"/>
                <w:color w:val="000000"/>
                <w:lang w:val="fr-FR" w:eastAsia="fr-FR"/>
              </w:rPr>
            </w:pPr>
          </w:p>
        </w:tc>
      </w:tr>
      <w:tr w:rsidR="00C97CA9" w:rsidRPr="00AA2A3A" w:rsidTr="00B16E31">
        <w:trPr>
          <w:trHeight w:val="216"/>
        </w:trPr>
        <w:tc>
          <w:tcPr>
            <w:tcW w:w="3305" w:type="pct"/>
            <w:vAlign w:val="center"/>
          </w:tcPr>
          <w:p w:rsidR="00C97CA9" w:rsidRPr="00AA2A3A" w:rsidRDefault="00C97CA9" w:rsidP="00AA2A3A">
            <w:pPr>
              <w:rPr>
                <w:color w:val="000000"/>
                <w:sz w:val="24"/>
                <w:szCs w:val="24"/>
                <w:lang w:val="fr-FR"/>
              </w:rPr>
            </w:pPr>
            <w:r w:rsidRPr="00AA2A3A">
              <w:rPr>
                <w:color w:val="000000"/>
                <w:lang w:val="fr-FR"/>
              </w:rPr>
              <w:t>Matériel Durable</w:t>
            </w:r>
          </w:p>
        </w:tc>
        <w:tc>
          <w:tcPr>
            <w:tcW w:w="850" w:type="pct"/>
            <w:vAlign w:val="center"/>
          </w:tcPr>
          <w:p w:rsidR="00C97CA9" w:rsidRDefault="00C97CA9" w:rsidP="00C97CA9">
            <w:pPr>
              <w:rPr>
                <w:color w:val="000000"/>
              </w:rPr>
            </w:pPr>
            <w:r>
              <w:rPr>
                <w:color w:val="000000"/>
              </w:rPr>
              <w:t xml:space="preserve">$  1,500 </w:t>
            </w:r>
          </w:p>
        </w:tc>
        <w:tc>
          <w:tcPr>
            <w:tcW w:w="845" w:type="pct"/>
            <w:noWrap/>
            <w:vAlign w:val="center"/>
          </w:tcPr>
          <w:p w:rsidR="00C97CA9" w:rsidRPr="00AA2A3A" w:rsidRDefault="00C97CA9" w:rsidP="00AA2A3A">
            <w:pPr>
              <w:spacing w:after="0" w:line="240" w:lineRule="auto"/>
              <w:rPr>
                <w:rFonts w:asciiTheme="minorHAnsi" w:hAnsiTheme="minorHAnsi" w:cs="Arial"/>
                <w:color w:val="000000"/>
                <w:lang w:val="fr-FR" w:eastAsia="fr-FR"/>
              </w:rPr>
            </w:pPr>
          </w:p>
        </w:tc>
      </w:tr>
      <w:tr w:rsidR="00C97CA9" w:rsidRPr="00AA2A3A" w:rsidTr="00B16E31">
        <w:trPr>
          <w:trHeight w:val="216"/>
        </w:trPr>
        <w:tc>
          <w:tcPr>
            <w:tcW w:w="3305" w:type="pct"/>
            <w:vAlign w:val="center"/>
          </w:tcPr>
          <w:p w:rsidR="00C97CA9" w:rsidRPr="00AA2A3A" w:rsidRDefault="00C97CA9" w:rsidP="00AA2A3A">
            <w:pPr>
              <w:rPr>
                <w:color w:val="000000"/>
                <w:sz w:val="24"/>
                <w:szCs w:val="24"/>
                <w:lang w:val="fr-FR"/>
              </w:rPr>
            </w:pPr>
            <w:r w:rsidRPr="00AA2A3A">
              <w:rPr>
                <w:color w:val="000000"/>
                <w:lang w:val="fr-FR"/>
              </w:rPr>
              <w:t>Personnel</w:t>
            </w:r>
            <w:r w:rsidR="00AF44AD">
              <w:rPr>
                <w:color w:val="000000"/>
                <w:lang w:val="fr-FR"/>
              </w:rPr>
              <w:t xml:space="preserve"> et appui technique</w:t>
            </w:r>
          </w:p>
        </w:tc>
        <w:tc>
          <w:tcPr>
            <w:tcW w:w="850" w:type="pct"/>
            <w:vAlign w:val="center"/>
          </w:tcPr>
          <w:p w:rsidR="00C97CA9" w:rsidRDefault="00C97CA9" w:rsidP="00AF44AD">
            <w:pPr>
              <w:rPr>
                <w:color w:val="000000"/>
              </w:rPr>
            </w:pPr>
            <w:r>
              <w:rPr>
                <w:color w:val="000000"/>
              </w:rPr>
              <w:t xml:space="preserve">$  </w:t>
            </w:r>
            <w:r w:rsidR="00AF44AD">
              <w:rPr>
                <w:color w:val="000000"/>
              </w:rPr>
              <w:t>72,292</w:t>
            </w:r>
            <w:r>
              <w:rPr>
                <w:color w:val="000000"/>
              </w:rPr>
              <w:t xml:space="preserve"> </w:t>
            </w:r>
          </w:p>
        </w:tc>
        <w:tc>
          <w:tcPr>
            <w:tcW w:w="845" w:type="pct"/>
            <w:noWrap/>
            <w:vAlign w:val="center"/>
          </w:tcPr>
          <w:p w:rsidR="00C97CA9" w:rsidRPr="00AA2A3A" w:rsidRDefault="00C97CA9" w:rsidP="00AA2A3A">
            <w:pPr>
              <w:spacing w:after="0" w:line="240" w:lineRule="auto"/>
              <w:rPr>
                <w:rFonts w:asciiTheme="minorHAnsi" w:hAnsiTheme="minorHAnsi" w:cs="Arial"/>
                <w:color w:val="000000"/>
                <w:lang w:val="fr-FR" w:eastAsia="fr-FR"/>
              </w:rPr>
            </w:pPr>
          </w:p>
        </w:tc>
      </w:tr>
      <w:tr w:rsidR="00C97CA9" w:rsidRPr="00AA2A3A" w:rsidTr="00DF0920">
        <w:trPr>
          <w:trHeight w:val="216"/>
        </w:trPr>
        <w:tc>
          <w:tcPr>
            <w:tcW w:w="3305" w:type="pct"/>
            <w:vAlign w:val="center"/>
          </w:tcPr>
          <w:p w:rsidR="00C97CA9" w:rsidRDefault="00C97CA9" w:rsidP="00AA2A3A">
            <w:pPr>
              <w:rPr>
                <w:color w:val="000000"/>
                <w:lang w:val="fr-FR"/>
              </w:rPr>
            </w:pPr>
            <w:r w:rsidRPr="00AA2A3A">
              <w:rPr>
                <w:color w:val="000000"/>
                <w:lang w:val="fr-FR"/>
              </w:rPr>
              <w:t>GOE</w:t>
            </w:r>
          </w:p>
          <w:p w:rsidR="00DF0920" w:rsidRPr="00DF0920" w:rsidRDefault="00DF0920" w:rsidP="00DF0920">
            <w:pPr>
              <w:rPr>
                <w:i/>
                <w:color w:val="000000"/>
                <w:lang w:val="fr-FR"/>
              </w:rPr>
            </w:pPr>
            <w:r w:rsidRPr="00DF0920">
              <w:rPr>
                <w:i/>
                <w:color w:val="000000"/>
                <w:lang w:val="fr-FR"/>
              </w:rPr>
              <w:t xml:space="preserve">Internet Connexion pour six mois ($ 13.500) </w:t>
            </w:r>
            <w:bookmarkStart w:id="0" w:name="_GoBack"/>
            <w:bookmarkEnd w:id="0"/>
          </w:p>
        </w:tc>
        <w:tc>
          <w:tcPr>
            <w:tcW w:w="850" w:type="pct"/>
          </w:tcPr>
          <w:p w:rsidR="00C97CA9" w:rsidRDefault="00C97CA9" w:rsidP="00DF0920">
            <w:pPr>
              <w:rPr>
                <w:color w:val="000000"/>
              </w:rPr>
            </w:pPr>
            <w:r>
              <w:rPr>
                <w:color w:val="000000"/>
              </w:rPr>
              <w:t xml:space="preserve">$  20,500 </w:t>
            </w:r>
          </w:p>
          <w:p w:rsidR="00DF0920" w:rsidRDefault="00DF0920" w:rsidP="00DF0920">
            <w:pPr>
              <w:rPr>
                <w:color w:val="000000"/>
              </w:rPr>
            </w:pPr>
          </w:p>
        </w:tc>
        <w:tc>
          <w:tcPr>
            <w:tcW w:w="845" w:type="pct"/>
            <w:noWrap/>
            <w:vAlign w:val="center"/>
          </w:tcPr>
          <w:p w:rsidR="00C97CA9" w:rsidRPr="00AA2A3A" w:rsidRDefault="00C97CA9" w:rsidP="00AA2A3A">
            <w:pPr>
              <w:spacing w:after="0" w:line="240" w:lineRule="auto"/>
              <w:rPr>
                <w:rFonts w:asciiTheme="minorHAnsi" w:hAnsiTheme="minorHAnsi" w:cs="Arial"/>
                <w:color w:val="000000"/>
                <w:lang w:val="fr-FR" w:eastAsia="fr-FR"/>
              </w:rPr>
            </w:pPr>
          </w:p>
        </w:tc>
      </w:tr>
      <w:tr w:rsidR="009D5B98" w:rsidRPr="00D51CB1" w:rsidTr="00B16E31">
        <w:trPr>
          <w:trHeight w:val="337"/>
        </w:trPr>
        <w:tc>
          <w:tcPr>
            <w:tcW w:w="3305" w:type="pct"/>
            <w:shd w:val="clear" w:color="auto" w:fill="DBE5F1" w:themeFill="accent1" w:themeFillTint="33"/>
          </w:tcPr>
          <w:p w:rsidR="009D5B98" w:rsidRPr="004C6138" w:rsidRDefault="009D5B98" w:rsidP="00AA2A3A">
            <w:pPr>
              <w:spacing w:after="0" w:line="240" w:lineRule="auto"/>
              <w:jc w:val="right"/>
              <w:rPr>
                <w:b/>
                <w:color w:val="244061"/>
                <w:sz w:val="28"/>
                <w:szCs w:val="22"/>
                <w:lang w:val="fr-FR"/>
              </w:rPr>
            </w:pPr>
            <w:r w:rsidRPr="004C6138">
              <w:rPr>
                <w:b/>
                <w:color w:val="244061"/>
                <w:sz w:val="28"/>
                <w:szCs w:val="22"/>
                <w:lang w:val="fr-FR"/>
              </w:rPr>
              <w:t>Montant total demandé (USD)</w:t>
            </w:r>
          </w:p>
        </w:tc>
        <w:tc>
          <w:tcPr>
            <w:tcW w:w="850" w:type="pct"/>
            <w:shd w:val="clear" w:color="auto" w:fill="DBE5F1" w:themeFill="accent1" w:themeFillTint="33"/>
          </w:tcPr>
          <w:p w:rsidR="009D5B98" w:rsidRPr="004C6138" w:rsidRDefault="00EA5DBC" w:rsidP="0035309F">
            <w:pPr>
              <w:spacing w:after="0" w:line="240" w:lineRule="auto"/>
              <w:rPr>
                <w:b/>
                <w:color w:val="244061"/>
                <w:sz w:val="28"/>
                <w:szCs w:val="22"/>
                <w:lang w:val="fr-FR"/>
              </w:rPr>
            </w:pPr>
            <w:r w:rsidRPr="004C6138">
              <w:rPr>
                <w:b/>
                <w:color w:val="244061"/>
                <w:sz w:val="28"/>
                <w:szCs w:val="22"/>
                <w:lang w:val="fr-FR"/>
              </w:rPr>
              <w:t>$</w:t>
            </w:r>
            <w:r w:rsidR="0035309F" w:rsidRPr="004C6138">
              <w:rPr>
                <w:b/>
                <w:color w:val="244061"/>
                <w:sz w:val="28"/>
                <w:szCs w:val="22"/>
                <w:lang w:val="fr-FR"/>
              </w:rPr>
              <w:t>335.354</w:t>
            </w:r>
          </w:p>
        </w:tc>
        <w:tc>
          <w:tcPr>
            <w:tcW w:w="845" w:type="pct"/>
            <w:noWrap/>
          </w:tcPr>
          <w:p w:rsidR="009D5B98" w:rsidRPr="004C6138" w:rsidRDefault="009D5B98" w:rsidP="00C7763D">
            <w:pPr>
              <w:spacing w:after="0" w:line="240" w:lineRule="auto"/>
              <w:rPr>
                <w:b/>
                <w:i/>
                <w:color w:val="244061"/>
                <w:sz w:val="28"/>
                <w:lang w:val="fr-FR"/>
              </w:rPr>
            </w:pPr>
          </w:p>
        </w:tc>
      </w:tr>
    </w:tbl>
    <w:p w:rsidR="00C05151" w:rsidRPr="00C97309" w:rsidRDefault="009D5B98" w:rsidP="003A7838">
      <w:pPr>
        <w:spacing w:after="0" w:line="240" w:lineRule="auto"/>
        <w:rPr>
          <w:lang w:val="fr-FR"/>
        </w:rPr>
      </w:pPr>
      <w:r>
        <w:rPr>
          <w:lang w:val="fr-FR"/>
        </w:rPr>
        <w:t xml:space="preserve"> </w:t>
      </w:r>
      <w:r w:rsidR="003A7838">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B4319" w:rsidRPr="00FE1C7E" w:rsidTr="00465C55">
        <w:trPr>
          <w:cantSplit/>
        </w:trPr>
        <w:tc>
          <w:tcPr>
            <w:tcW w:w="9576" w:type="dxa"/>
            <w:shd w:val="clear" w:color="auto" w:fill="DBE5F1"/>
          </w:tcPr>
          <w:p w:rsidR="009B4319" w:rsidRPr="00C97309" w:rsidRDefault="009B4319" w:rsidP="00FD170D">
            <w:pPr>
              <w:spacing w:after="0" w:line="240" w:lineRule="auto"/>
              <w:rPr>
                <w:b/>
                <w:color w:val="0F243E"/>
                <w:lang w:val="fr-FR"/>
              </w:rPr>
            </w:pPr>
            <w:r w:rsidRPr="00C97309">
              <w:rPr>
                <w:b/>
                <w:color w:val="0F243E"/>
                <w:lang w:val="fr-FR"/>
              </w:rPr>
              <w:lastRenderedPageBreak/>
              <w:t>VII. SUIVI DES AVANCÉES ET NOTIFICATION (RAPPORTS)</w:t>
            </w:r>
          </w:p>
          <w:p w:rsidR="009B4319" w:rsidRPr="00C97309" w:rsidRDefault="009B4319" w:rsidP="00465C55">
            <w:pPr>
              <w:pStyle w:val="Textocomentario"/>
              <w:spacing w:after="0"/>
              <w:rPr>
                <w:b/>
                <w:color w:val="1F497D"/>
                <w:sz w:val="28"/>
                <w:szCs w:val="28"/>
                <w:lang w:val="fr-FR"/>
              </w:rPr>
            </w:pPr>
            <w:r w:rsidRPr="00C97309">
              <w:rPr>
                <w:color w:val="1F497D"/>
                <w:sz w:val="22"/>
                <w:szCs w:val="22"/>
                <w:lang w:val="fr-FR"/>
              </w:rPr>
              <w:t>Veuillez expliquer comment les avancées des réalisations et des activités prévues seront contrôlées et notifiées chronologiquement</w:t>
            </w:r>
            <w:r w:rsidRPr="00C97309">
              <w:rPr>
                <w:rFonts w:cs="Calibri"/>
                <w:color w:val="244061"/>
                <w:sz w:val="22"/>
                <w:szCs w:val="22"/>
                <w:lang w:val="fr-FR"/>
              </w:rPr>
              <w:t>.</w:t>
            </w:r>
          </w:p>
        </w:tc>
      </w:tr>
      <w:tr w:rsidR="009B4319" w:rsidRPr="00FE1C7E" w:rsidTr="00465C55">
        <w:trPr>
          <w:cantSplit/>
        </w:trPr>
        <w:tc>
          <w:tcPr>
            <w:tcW w:w="9576" w:type="dxa"/>
          </w:tcPr>
          <w:p w:rsidR="00EA5DBC" w:rsidRPr="004C6138" w:rsidRDefault="00EA5DBC" w:rsidP="00EA5DBC">
            <w:pPr>
              <w:pStyle w:val="Default"/>
              <w:rPr>
                <w:i/>
                <w:iCs/>
                <w:sz w:val="22"/>
                <w:szCs w:val="22"/>
                <w:lang w:val="fr-FR"/>
              </w:rPr>
            </w:pPr>
            <w:r>
              <w:rPr>
                <w:i/>
                <w:iCs/>
                <w:sz w:val="22"/>
                <w:szCs w:val="22"/>
                <w:lang w:val="fr-FR"/>
              </w:rPr>
              <w:t xml:space="preserve">Le Secrétariat Général du MEDD </w:t>
            </w:r>
            <w:r w:rsidRPr="00EA5DBC">
              <w:rPr>
                <w:i/>
                <w:iCs/>
                <w:sz w:val="22"/>
                <w:szCs w:val="22"/>
                <w:lang w:val="fr-FR"/>
              </w:rPr>
              <w:t xml:space="preserve">produira deux rapports sur la mise en </w:t>
            </w:r>
            <w:r w:rsidR="00E933DE" w:rsidRPr="00EA5DBC">
              <w:rPr>
                <w:i/>
                <w:iCs/>
                <w:sz w:val="22"/>
                <w:szCs w:val="22"/>
                <w:lang w:val="fr-FR"/>
              </w:rPr>
              <w:t>œuvre</w:t>
            </w:r>
            <w:r w:rsidRPr="00EA5DBC">
              <w:rPr>
                <w:i/>
                <w:iCs/>
                <w:sz w:val="22"/>
                <w:szCs w:val="22"/>
                <w:lang w:val="fr-FR"/>
              </w:rPr>
              <w:t xml:space="preserve"> des activités : un rapport à mi-parcours qui sera soumis avant le 30 </w:t>
            </w:r>
            <w:r>
              <w:rPr>
                <w:i/>
                <w:iCs/>
                <w:sz w:val="22"/>
                <w:szCs w:val="22"/>
                <w:lang w:val="fr-FR"/>
              </w:rPr>
              <w:t>Sept</w:t>
            </w:r>
            <w:r w:rsidRPr="00EA5DBC">
              <w:rPr>
                <w:i/>
                <w:iCs/>
                <w:sz w:val="22"/>
                <w:szCs w:val="22"/>
                <w:lang w:val="fr-FR"/>
              </w:rPr>
              <w:t xml:space="preserve"> 2015 et un rapport fina</w:t>
            </w:r>
            <w:r>
              <w:rPr>
                <w:i/>
                <w:iCs/>
                <w:sz w:val="22"/>
                <w:szCs w:val="22"/>
                <w:lang w:val="fr-FR"/>
              </w:rPr>
              <w:t>l à remettre au plus tard le 31 janvier 2016</w:t>
            </w:r>
            <w:r w:rsidRPr="00EA5DBC">
              <w:rPr>
                <w:i/>
                <w:iCs/>
                <w:sz w:val="22"/>
                <w:szCs w:val="22"/>
                <w:lang w:val="fr-FR"/>
              </w:rPr>
              <w:t xml:space="preserve">. Les rapports seront envoyés par email à </w:t>
            </w:r>
            <w:r w:rsidR="00E933DE">
              <w:rPr>
                <w:i/>
                <w:iCs/>
                <w:sz w:val="22"/>
                <w:szCs w:val="22"/>
                <w:lang w:val="fr-FR"/>
              </w:rPr>
              <w:t xml:space="preserve">M </w:t>
            </w:r>
            <w:r w:rsidR="00E933DE" w:rsidRPr="00E933DE">
              <w:rPr>
                <w:i/>
                <w:iCs/>
                <w:sz w:val="22"/>
                <w:szCs w:val="22"/>
                <w:lang w:val="fr-FR"/>
              </w:rPr>
              <w:t>Crete, Philippe (FOM) (</w:t>
            </w:r>
            <w:hyperlink r:id="rId11" w:history="1">
              <w:r w:rsidR="00E933DE" w:rsidRPr="004C6138">
                <w:rPr>
                  <w:lang w:val="fr-FR"/>
                </w:rPr>
                <w:t>philippe.crete@fao.org</w:t>
              </w:r>
            </w:hyperlink>
            <w:r w:rsidR="00E933DE" w:rsidRPr="00E933DE">
              <w:rPr>
                <w:i/>
                <w:iCs/>
                <w:sz w:val="22"/>
                <w:szCs w:val="22"/>
                <w:lang w:val="fr-FR"/>
              </w:rPr>
              <w:t>)</w:t>
            </w:r>
            <w:r w:rsidR="00E933DE">
              <w:rPr>
                <w:i/>
                <w:iCs/>
                <w:sz w:val="22"/>
                <w:szCs w:val="22"/>
                <w:lang w:val="fr-FR"/>
              </w:rPr>
              <w:t xml:space="preserve">, </w:t>
            </w:r>
            <w:r w:rsidR="00E933DE" w:rsidRPr="004C6138">
              <w:rPr>
                <w:i/>
                <w:iCs/>
                <w:sz w:val="22"/>
                <w:szCs w:val="22"/>
                <w:lang w:val="fr-FR"/>
              </w:rPr>
              <w:t>Forestry Officer d’ONUREDD, e</w:t>
            </w:r>
            <w:r w:rsidR="00E933DE">
              <w:rPr>
                <w:i/>
                <w:iCs/>
                <w:sz w:val="22"/>
                <w:szCs w:val="22"/>
                <w:lang w:val="fr-FR"/>
              </w:rPr>
              <w:t xml:space="preserve">t à M le, </w:t>
            </w:r>
            <w:r w:rsidR="00E933DE" w:rsidRPr="00E933DE">
              <w:rPr>
                <w:i/>
                <w:iCs/>
                <w:sz w:val="22"/>
                <w:szCs w:val="22"/>
                <w:lang w:val="fr-FR"/>
              </w:rPr>
              <w:t xml:space="preserve">Gueye, Ndiaga </w:t>
            </w:r>
            <w:r w:rsidR="00E933DE">
              <w:rPr>
                <w:i/>
                <w:iCs/>
                <w:sz w:val="22"/>
                <w:szCs w:val="22"/>
                <w:lang w:val="fr-FR"/>
              </w:rPr>
              <w:t>(</w:t>
            </w:r>
            <w:hyperlink r:id="rId12" w:history="1">
              <w:r w:rsidR="00E933DE" w:rsidRPr="00E933DE">
                <w:rPr>
                  <w:i/>
                  <w:iCs/>
                  <w:sz w:val="22"/>
                  <w:szCs w:val="22"/>
                  <w:lang w:val="fr-FR"/>
                </w:rPr>
                <w:t>Ndiaga.Gueye@fao.org</w:t>
              </w:r>
            </w:hyperlink>
            <w:r w:rsidR="00E933DE">
              <w:rPr>
                <w:i/>
                <w:iCs/>
                <w:sz w:val="22"/>
                <w:szCs w:val="22"/>
                <w:lang w:val="fr-FR"/>
              </w:rPr>
              <w:t>),Représentant de la FAO en RDC.</w:t>
            </w:r>
          </w:p>
          <w:p w:rsidR="009B4319" w:rsidRPr="00E933DE" w:rsidRDefault="009B4319" w:rsidP="00465C55">
            <w:pPr>
              <w:spacing w:after="0" w:line="240" w:lineRule="auto"/>
              <w:rPr>
                <w:b/>
                <w:color w:val="1F497D"/>
                <w:lang w:val="fr-FR"/>
              </w:rPr>
            </w:pPr>
          </w:p>
        </w:tc>
      </w:tr>
    </w:tbl>
    <w:p w:rsidR="009B4319" w:rsidRPr="00E933DE" w:rsidRDefault="009B4319">
      <w:pPr>
        <w:rPr>
          <w:lang w:val="fr-FR"/>
        </w:rPr>
      </w:pPr>
    </w:p>
    <w:p w:rsidR="009B4319" w:rsidRPr="00E933DE" w:rsidRDefault="009B4319">
      <w:pPr>
        <w:rPr>
          <w:lang w:val="fr-FR"/>
        </w:rPr>
      </w:pPr>
    </w:p>
    <w:tbl>
      <w:tblPr>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24" w:space="0" w:color="FFFFFF"/>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9B4319" w:rsidRPr="00FE1C7E" w:rsidTr="00EA5DBC">
        <w:trPr>
          <w:trHeight w:val="1246"/>
        </w:trPr>
        <w:tc>
          <w:tcPr>
            <w:tcW w:w="3517" w:type="dxa"/>
            <w:tcBorders>
              <w:right w:val="single" w:sz="12" w:space="0" w:color="244061"/>
            </w:tcBorders>
            <w:shd w:val="clear" w:color="auto" w:fill="DBE5F1"/>
          </w:tcPr>
          <w:p w:rsidR="009B4319" w:rsidRPr="00C97309" w:rsidRDefault="009B4319" w:rsidP="00FD170D">
            <w:pPr>
              <w:spacing w:after="0" w:line="240" w:lineRule="auto"/>
              <w:rPr>
                <w:b/>
                <w:bCs/>
                <w:color w:val="244061"/>
                <w:lang w:val="fr-FR"/>
              </w:rPr>
            </w:pPr>
            <w:r w:rsidRPr="00C97309">
              <w:rPr>
                <w:b/>
                <w:bCs/>
                <w:color w:val="244061"/>
                <w:lang w:val="fr-FR"/>
              </w:rPr>
              <w:t>IV. POINT FOCAL NATIONAL D’ONU-REDD</w:t>
            </w:r>
          </w:p>
          <w:p w:rsidR="009B4319" w:rsidRPr="00C97309" w:rsidRDefault="009B4319" w:rsidP="00EA5DBC">
            <w:pPr>
              <w:spacing w:after="0" w:line="240" w:lineRule="auto"/>
              <w:rPr>
                <w:b/>
                <w:color w:val="000000"/>
                <w:sz w:val="24"/>
                <w:szCs w:val="24"/>
                <w:lang w:val="fr-FR"/>
              </w:rPr>
            </w:pPr>
          </w:p>
        </w:tc>
        <w:tc>
          <w:tcPr>
            <w:tcW w:w="6089" w:type="dxa"/>
            <w:tcBorders>
              <w:left w:val="single" w:sz="12" w:space="0" w:color="244061"/>
            </w:tcBorders>
            <w:shd w:val="clear" w:color="auto" w:fill="FFFFFF"/>
          </w:tcPr>
          <w:p w:rsidR="00EA5DBC" w:rsidRDefault="00EA5DBC" w:rsidP="00EA5DBC">
            <w:pPr>
              <w:pStyle w:val="Default"/>
              <w:rPr>
                <w:sz w:val="22"/>
                <w:szCs w:val="22"/>
                <w:lang w:val="fr-FR"/>
              </w:rPr>
            </w:pPr>
            <w:r w:rsidRPr="00EA5DBC">
              <w:rPr>
                <w:sz w:val="22"/>
                <w:szCs w:val="22"/>
                <w:lang w:val="fr-FR"/>
              </w:rPr>
              <w:t xml:space="preserve">M. Benjamin TOIRAMBE BAMONINGA, </w:t>
            </w:r>
          </w:p>
          <w:p w:rsidR="00EA5DBC" w:rsidRDefault="00EA5DBC" w:rsidP="00EA5DBC">
            <w:pPr>
              <w:pStyle w:val="Default"/>
              <w:rPr>
                <w:sz w:val="22"/>
                <w:szCs w:val="22"/>
                <w:lang w:val="fr-FR"/>
              </w:rPr>
            </w:pPr>
            <w:r w:rsidRPr="00EA5DBC">
              <w:rPr>
                <w:sz w:val="22"/>
                <w:szCs w:val="22"/>
                <w:lang w:val="fr-FR"/>
              </w:rPr>
              <w:t xml:space="preserve">Directeur de Développement Durable, </w:t>
            </w:r>
          </w:p>
          <w:p w:rsidR="00EA5DBC" w:rsidRPr="00EA5DBC" w:rsidRDefault="00EA5DBC" w:rsidP="00EA5DBC">
            <w:pPr>
              <w:pStyle w:val="Default"/>
              <w:rPr>
                <w:sz w:val="22"/>
                <w:szCs w:val="22"/>
                <w:lang w:val="fr-FR"/>
              </w:rPr>
            </w:pPr>
            <w:r w:rsidRPr="00EA5DBC">
              <w:rPr>
                <w:sz w:val="22"/>
                <w:szCs w:val="22"/>
                <w:lang w:val="fr-FR"/>
              </w:rPr>
              <w:t xml:space="preserve">Ministère de l’Environnement </w:t>
            </w:r>
            <w:r>
              <w:rPr>
                <w:sz w:val="22"/>
                <w:szCs w:val="22"/>
                <w:lang w:val="fr-FR"/>
              </w:rPr>
              <w:t>et Développement Durable (MEDD)</w:t>
            </w:r>
          </w:p>
          <w:p w:rsidR="009B4319" w:rsidRPr="00C97309" w:rsidRDefault="009B4319" w:rsidP="00465C55">
            <w:pPr>
              <w:spacing w:after="100" w:line="240" w:lineRule="auto"/>
              <w:rPr>
                <w:bCs/>
                <w:color w:val="000000"/>
                <w:lang w:val="fr-FR"/>
              </w:rPr>
            </w:pPr>
          </w:p>
        </w:tc>
      </w:tr>
    </w:tbl>
    <w:p w:rsidR="009B4319" w:rsidRPr="00C97309" w:rsidRDefault="009B4319">
      <w:pPr>
        <w:rPr>
          <w:lang w:val="fr-FR"/>
        </w:rPr>
      </w:pPr>
    </w:p>
    <w:p w:rsidR="009B4319" w:rsidRPr="00C97309" w:rsidRDefault="009B4319" w:rsidP="00C018BB">
      <w:pPr>
        <w:spacing w:after="100"/>
        <w:rPr>
          <w:b/>
          <w:color w:val="244061"/>
          <w:sz w:val="28"/>
          <w:szCs w:val="28"/>
          <w:lang w:val="fr-FR"/>
        </w:rPr>
      </w:pPr>
      <w:r w:rsidRPr="00C97309">
        <w:rPr>
          <w:b/>
          <w:color w:val="244061"/>
          <w:sz w:val="28"/>
          <w:szCs w:val="28"/>
          <w:lang w:val="fr-FR"/>
        </w:rPr>
        <w:t>______________________________</w:t>
      </w:r>
    </w:p>
    <w:p w:rsidR="009B4319" w:rsidRPr="00C97309" w:rsidRDefault="009B4319" w:rsidP="00C018BB">
      <w:pPr>
        <w:spacing w:after="100"/>
        <w:rPr>
          <w:b/>
          <w:color w:val="244061"/>
          <w:lang w:val="fr-FR"/>
        </w:rPr>
      </w:pPr>
      <w:r w:rsidRPr="00C97309">
        <w:rPr>
          <w:b/>
          <w:color w:val="244061"/>
          <w:lang w:val="fr-FR"/>
        </w:rPr>
        <w:t>(Signature)</w:t>
      </w:r>
    </w:p>
    <w:tbl>
      <w:tblPr>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9B4319" w:rsidRPr="00EA5DBC" w:rsidTr="00465C55">
        <w:trPr>
          <w:trHeight w:val="359"/>
        </w:trPr>
        <w:tc>
          <w:tcPr>
            <w:tcW w:w="3517" w:type="dxa"/>
            <w:shd w:val="clear" w:color="auto" w:fill="DBE5F1"/>
          </w:tcPr>
          <w:p w:rsidR="009B4319" w:rsidRPr="00C97309" w:rsidRDefault="009B4319" w:rsidP="00465C55">
            <w:pPr>
              <w:spacing w:after="100" w:line="240" w:lineRule="auto"/>
              <w:rPr>
                <w:bCs/>
                <w:color w:val="244061"/>
                <w:lang w:val="fr-FR"/>
              </w:rPr>
            </w:pPr>
            <w:r w:rsidRPr="00C97309">
              <w:rPr>
                <w:b/>
                <w:bCs/>
                <w:color w:val="244061"/>
                <w:lang w:val="fr-FR"/>
              </w:rPr>
              <w:t>Institution et adresse</w:t>
            </w:r>
          </w:p>
        </w:tc>
        <w:tc>
          <w:tcPr>
            <w:tcW w:w="6089" w:type="dxa"/>
            <w:shd w:val="clear" w:color="auto" w:fill="FFFFFF"/>
          </w:tcPr>
          <w:p w:rsidR="009B4319" w:rsidRDefault="00EA5DBC" w:rsidP="00EA5DBC">
            <w:pPr>
              <w:spacing w:after="100" w:line="240" w:lineRule="auto"/>
              <w:rPr>
                <w:lang w:val="fr-FR"/>
              </w:rPr>
            </w:pPr>
            <w:r w:rsidRPr="00EA5DBC">
              <w:rPr>
                <w:color w:val="000000"/>
                <w:lang w:val="fr-FR"/>
              </w:rPr>
              <w:t xml:space="preserve">Direction du Développement Durable, </w:t>
            </w:r>
            <w:r w:rsidRPr="00EA5DBC">
              <w:rPr>
                <w:lang w:val="fr-FR"/>
              </w:rPr>
              <w:t>Ministère de l’Environnement et Développement Durable</w:t>
            </w:r>
          </w:p>
          <w:p w:rsidR="00EA5DBC" w:rsidRPr="00EA5DBC" w:rsidRDefault="00EA5DBC" w:rsidP="00EA5DBC">
            <w:pPr>
              <w:spacing w:after="100" w:line="240" w:lineRule="auto"/>
              <w:rPr>
                <w:color w:val="000000"/>
                <w:sz w:val="24"/>
                <w:szCs w:val="24"/>
                <w:lang w:val="fr-FR"/>
              </w:rPr>
            </w:pPr>
            <w:r>
              <w:rPr>
                <w:lang w:val="fr-FR"/>
              </w:rPr>
              <w:t>Kinshasa, RDC</w:t>
            </w:r>
          </w:p>
        </w:tc>
      </w:tr>
      <w:tr w:rsidR="009B4319" w:rsidRPr="00C97309" w:rsidTr="00465C55">
        <w:trPr>
          <w:trHeight w:val="161"/>
        </w:trPr>
        <w:tc>
          <w:tcPr>
            <w:tcW w:w="3517" w:type="dxa"/>
            <w:shd w:val="clear" w:color="auto" w:fill="DBE5F1"/>
          </w:tcPr>
          <w:p w:rsidR="009B4319" w:rsidRPr="00C97309" w:rsidRDefault="009B4319" w:rsidP="00465C55">
            <w:pPr>
              <w:spacing w:after="100" w:line="240" w:lineRule="auto"/>
              <w:rPr>
                <w:bCs/>
                <w:color w:val="244061"/>
                <w:lang w:val="fr-FR"/>
              </w:rPr>
            </w:pPr>
            <w:r w:rsidRPr="00C97309">
              <w:rPr>
                <w:b/>
                <w:bCs/>
                <w:color w:val="244061"/>
                <w:lang w:val="fr-FR"/>
              </w:rPr>
              <w:t>Numéro de téléphone</w:t>
            </w:r>
          </w:p>
        </w:tc>
        <w:tc>
          <w:tcPr>
            <w:tcW w:w="6089" w:type="dxa"/>
            <w:shd w:val="clear" w:color="auto" w:fill="FFFFFF"/>
          </w:tcPr>
          <w:p w:rsidR="009B4319" w:rsidRPr="00EA5DBC" w:rsidRDefault="00EA5DBC" w:rsidP="00EA5DBC">
            <w:pPr>
              <w:pStyle w:val="Default"/>
              <w:rPr>
                <w:sz w:val="23"/>
                <w:szCs w:val="23"/>
              </w:rPr>
            </w:pPr>
            <w:r>
              <w:rPr>
                <w:sz w:val="23"/>
                <w:szCs w:val="23"/>
              </w:rPr>
              <w:t xml:space="preserve">+243 99 995 4148 </w:t>
            </w:r>
          </w:p>
        </w:tc>
      </w:tr>
      <w:tr w:rsidR="009B4319" w:rsidRPr="00C97309" w:rsidTr="00465C55">
        <w:trPr>
          <w:trHeight w:val="224"/>
        </w:trPr>
        <w:tc>
          <w:tcPr>
            <w:tcW w:w="3517" w:type="dxa"/>
            <w:shd w:val="clear" w:color="auto" w:fill="DBE5F1"/>
          </w:tcPr>
          <w:p w:rsidR="009B4319" w:rsidRPr="00C97309" w:rsidRDefault="009B4319" w:rsidP="00465C55">
            <w:pPr>
              <w:spacing w:after="100" w:line="240" w:lineRule="auto"/>
              <w:rPr>
                <w:bCs/>
                <w:color w:val="244061"/>
                <w:lang w:val="fr-FR"/>
              </w:rPr>
            </w:pPr>
            <w:r w:rsidRPr="00C97309">
              <w:rPr>
                <w:b/>
                <w:bCs/>
                <w:color w:val="244061"/>
                <w:lang w:val="fr-FR"/>
              </w:rPr>
              <w:t>Email</w:t>
            </w:r>
          </w:p>
        </w:tc>
        <w:tc>
          <w:tcPr>
            <w:tcW w:w="6089" w:type="dxa"/>
            <w:shd w:val="clear" w:color="auto" w:fill="FFFFFF"/>
          </w:tcPr>
          <w:p w:rsidR="009B4319" w:rsidRPr="00EA5DBC" w:rsidRDefault="00EA5DBC" w:rsidP="00EA5DBC">
            <w:pPr>
              <w:pStyle w:val="Default"/>
              <w:rPr>
                <w:sz w:val="23"/>
                <w:szCs w:val="23"/>
              </w:rPr>
            </w:pPr>
            <w:r>
              <w:rPr>
                <w:sz w:val="23"/>
                <w:szCs w:val="23"/>
              </w:rPr>
              <w:t>toirambe2014@gmail.com</w:t>
            </w:r>
          </w:p>
        </w:tc>
      </w:tr>
    </w:tbl>
    <w:p w:rsidR="009B4319" w:rsidRPr="00C97309" w:rsidRDefault="009B4319">
      <w:pPr>
        <w:rPr>
          <w:lang w:val="fr-FR"/>
        </w:rPr>
      </w:pPr>
    </w:p>
    <w:sectPr w:rsidR="009B4319" w:rsidRPr="00C97309" w:rsidSect="00A05390">
      <w:footerReference w:type="default" r:id="rId13"/>
      <w:pgSz w:w="11906" w:h="16838"/>
      <w:pgMar w:top="1417" w:right="1417" w:bottom="1417" w:left="851" w:header="708" w:footer="708" w:gutter="0"/>
      <w:pgBorders w:offsetFrom="page">
        <w:top w:val="single" w:sz="2" w:space="24" w:color="C00000"/>
        <w:left w:val="single" w:sz="2" w:space="24" w:color="C00000"/>
        <w:bottom w:val="single" w:sz="2" w:space="24" w:color="C00000"/>
        <w:right w:val="single" w:sz="2"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1A" w:rsidRDefault="0088181A" w:rsidP="00C018BB">
      <w:pPr>
        <w:spacing w:after="0" w:line="240" w:lineRule="auto"/>
      </w:pPr>
      <w:r>
        <w:separator/>
      </w:r>
    </w:p>
  </w:endnote>
  <w:endnote w:type="continuationSeparator" w:id="0">
    <w:p w:rsidR="0088181A" w:rsidRDefault="0088181A" w:rsidP="00C0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1E" w:rsidRDefault="0025681E">
    <w:pPr>
      <w:pStyle w:val="Piedepgina"/>
      <w:jc w:val="right"/>
    </w:pPr>
    <w:r>
      <w:fldChar w:fldCharType="begin"/>
    </w:r>
    <w:r>
      <w:instrText xml:space="preserve"> PAGE   \* MERGEFORMAT </w:instrText>
    </w:r>
    <w:r>
      <w:fldChar w:fldCharType="separate"/>
    </w:r>
    <w:r w:rsidR="00DF0920">
      <w:rPr>
        <w:noProof/>
      </w:rPr>
      <w:t>1</w:t>
    </w:r>
    <w:r>
      <w:fldChar w:fldCharType="end"/>
    </w:r>
  </w:p>
  <w:p w:rsidR="0025681E" w:rsidRDefault="002568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1A" w:rsidRDefault="0088181A" w:rsidP="00C018BB">
      <w:pPr>
        <w:spacing w:after="0" w:line="240" w:lineRule="auto"/>
      </w:pPr>
      <w:r>
        <w:separator/>
      </w:r>
    </w:p>
  </w:footnote>
  <w:footnote w:type="continuationSeparator" w:id="0">
    <w:p w:rsidR="0088181A" w:rsidRDefault="0088181A" w:rsidP="00C01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8EE"/>
    <w:multiLevelType w:val="multilevel"/>
    <w:tmpl w:val="E2324AB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85521E"/>
    <w:multiLevelType w:val="hybridMultilevel"/>
    <w:tmpl w:val="28F6C53E"/>
    <w:lvl w:ilvl="0" w:tplc="921CA80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B24C0C"/>
    <w:multiLevelType w:val="hybridMultilevel"/>
    <w:tmpl w:val="670A496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FD7353A"/>
    <w:multiLevelType w:val="hybridMultilevel"/>
    <w:tmpl w:val="56E87516"/>
    <w:lvl w:ilvl="0" w:tplc="0CA6B39E">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4255C0"/>
    <w:multiLevelType w:val="hybridMultilevel"/>
    <w:tmpl w:val="FB06D640"/>
    <w:lvl w:ilvl="0" w:tplc="100C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7F6597D"/>
    <w:multiLevelType w:val="hybridMultilevel"/>
    <w:tmpl w:val="ADECD732"/>
    <w:lvl w:ilvl="0" w:tplc="57689E8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3D7DE1"/>
    <w:multiLevelType w:val="hybridMultilevel"/>
    <w:tmpl w:val="D068E320"/>
    <w:lvl w:ilvl="0" w:tplc="FF9EE646">
      <w:start w:val="1"/>
      <w:numFmt w:val="decimal"/>
      <w:lvlText w:val="%1."/>
      <w:lvlJc w:val="left"/>
      <w:pPr>
        <w:ind w:left="720" w:hanging="360"/>
      </w:pPr>
      <w:rPr>
        <w:rFonts w:ascii="Calibri" w:eastAsia="Times New Roman" w:hAnsi="Calibri" w:cs="Times New Roman"/>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242688E"/>
    <w:multiLevelType w:val="hybridMultilevel"/>
    <w:tmpl w:val="9ED49A40"/>
    <w:lvl w:ilvl="0" w:tplc="2B3C1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A67FE7"/>
    <w:multiLevelType w:val="hybridMultilevel"/>
    <w:tmpl w:val="0C1C13D2"/>
    <w:lvl w:ilvl="0" w:tplc="100C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5FB447E"/>
    <w:multiLevelType w:val="hybridMultilevel"/>
    <w:tmpl w:val="2A5C6CB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9D4177"/>
    <w:multiLevelType w:val="hybridMultilevel"/>
    <w:tmpl w:val="BF2C82F6"/>
    <w:lvl w:ilvl="0" w:tplc="23E468F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4DD0274"/>
    <w:multiLevelType w:val="hybridMultilevel"/>
    <w:tmpl w:val="575CB57E"/>
    <w:lvl w:ilvl="0" w:tplc="148C88E0">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65574E9"/>
    <w:multiLevelType w:val="hybridMultilevel"/>
    <w:tmpl w:val="AFE6AD00"/>
    <w:lvl w:ilvl="0" w:tplc="8E5CDA56">
      <w:start w:val="10"/>
      <w:numFmt w:val="bullet"/>
      <w:lvlText w:val="-"/>
      <w:lvlJc w:val="left"/>
      <w:pPr>
        <w:ind w:left="1440" w:hanging="360"/>
      </w:pPr>
      <w:rPr>
        <w:rFonts w:ascii="Times New Roman" w:eastAsia="Times New Roman" w:hAnsi="Times New Roman" w:hint="default"/>
        <w:b/>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7A265D8"/>
    <w:multiLevelType w:val="hybridMultilevel"/>
    <w:tmpl w:val="FD16D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500927"/>
    <w:multiLevelType w:val="hybridMultilevel"/>
    <w:tmpl w:val="5B1E2500"/>
    <w:lvl w:ilvl="0" w:tplc="EB829F7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12"/>
  </w:num>
  <w:num w:numId="6">
    <w:abstractNumId w:val="11"/>
  </w:num>
  <w:num w:numId="7">
    <w:abstractNumId w:val="14"/>
  </w:num>
  <w:num w:numId="8">
    <w:abstractNumId w:val="7"/>
  </w:num>
  <w:num w:numId="9">
    <w:abstractNumId w:val="1"/>
  </w:num>
  <w:num w:numId="10">
    <w:abstractNumId w:val="9"/>
  </w:num>
  <w:num w:numId="11">
    <w:abstractNumId w:val="5"/>
  </w:num>
  <w:num w:numId="12">
    <w:abstractNumId w:val="13"/>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BB"/>
    <w:rsid w:val="000348E7"/>
    <w:rsid w:val="000360A8"/>
    <w:rsid w:val="000902C3"/>
    <w:rsid w:val="000A0836"/>
    <w:rsid w:val="000D6B38"/>
    <w:rsid w:val="000E1C0B"/>
    <w:rsid w:val="000E368B"/>
    <w:rsid w:val="001019FC"/>
    <w:rsid w:val="00105EE6"/>
    <w:rsid w:val="00140D32"/>
    <w:rsid w:val="00150E20"/>
    <w:rsid w:val="00176B09"/>
    <w:rsid w:val="00181524"/>
    <w:rsid w:val="001926BB"/>
    <w:rsid w:val="001D36D4"/>
    <w:rsid w:val="001D56F8"/>
    <w:rsid w:val="00207435"/>
    <w:rsid w:val="0023246A"/>
    <w:rsid w:val="00236872"/>
    <w:rsid w:val="00241B9D"/>
    <w:rsid w:val="0025681E"/>
    <w:rsid w:val="002A336C"/>
    <w:rsid w:val="002D00DC"/>
    <w:rsid w:val="002D3717"/>
    <w:rsid w:val="0035309F"/>
    <w:rsid w:val="00371EFE"/>
    <w:rsid w:val="003A7838"/>
    <w:rsid w:val="003C215F"/>
    <w:rsid w:val="003C21F9"/>
    <w:rsid w:val="003D333E"/>
    <w:rsid w:val="003E3450"/>
    <w:rsid w:val="003E4A4E"/>
    <w:rsid w:val="0040596F"/>
    <w:rsid w:val="00440DB1"/>
    <w:rsid w:val="0045205D"/>
    <w:rsid w:val="00465C55"/>
    <w:rsid w:val="004B31AB"/>
    <w:rsid w:val="004B6B6F"/>
    <w:rsid w:val="004C6138"/>
    <w:rsid w:val="004D73EC"/>
    <w:rsid w:val="004E08E8"/>
    <w:rsid w:val="004F20CF"/>
    <w:rsid w:val="00500DA5"/>
    <w:rsid w:val="00505CBC"/>
    <w:rsid w:val="005079EE"/>
    <w:rsid w:val="00576CE9"/>
    <w:rsid w:val="00576E0B"/>
    <w:rsid w:val="00595D17"/>
    <w:rsid w:val="00597E77"/>
    <w:rsid w:val="005B4F75"/>
    <w:rsid w:val="005C1D36"/>
    <w:rsid w:val="005E14A9"/>
    <w:rsid w:val="005E1F2B"/>
    <w:rsid w:val="005E6CB3"/>
    <w:rsid w:val="006250A2"/>
    <w:rsid w:val="00626EB3"/>
    <w:rsid w:val="00633F20"/>
    <w:rsid w:val="006412A9"/>
    <w:rsid w:val="00641326"/>
    <w:rsid w:val="00654B2B"/>
    <w:rsid w:val="00661C5B"/>
    <w:rsid w:val="00701BB0"/>
    <w:rsid w:val="00703E51"/>
    <w:rsid w:val="0070790B"/>
    <w:rsid w:val="00730DD4"/>
    <w:rsid w:val="007371CE"/>
    <w:rsid w:val="00746377"/>
    <w:rsid w:val="00773126"/>
    <w:rsid w:val="008079C3"/>
    <w:rsid w:val="008156EE"/>
    <w:rsid w:val="00842C9C"/>
    <w:rsid w:val="0084303C"/>
    <w:rsid w:val="0088181A"/>
    <w:rsid w:val="008921E7"/>
    <w:rsid w:val="008C7210"/>
    <w:rsid w:val="009201BA"/>
    <w:rsid w:val="00921E5A"/>
    <w:rsid w:val="00933E95"/>
    <w:rsid w:val="0094376D"/>
    <w:rsid w:val="0095422C"/>
    <w:rsid w:val="00977B3C"/>
    <w:rsid w:val="009B2EE3"/>
    <w:rsid w:val="009B4319"/>
    <w:rsid w:val="009D0739"/>
    <w:rsid w:val="009D5B98"/>
    <w:rsid w:val="009F4327"/>
    <w:rsid w:val="00A05390"/>
    <w:rsid w:val="00A22986"/>
    <w:rsid w:val="00A57B08"/>
    <w:rsid w:val="00A85E8C"/>
    <w:rsid w:val="00A91112"/>
    <w:rsid w:val="00AA2A3A"/>
    <w:rsid w:val="00AE7F3D"/>
    <w:rsid w:val="00AF40AE"/>
    <w:rsid w:val="00AF44AD"/>
    <w:rsid w:val="00B0742E"/>
    <w:rsid w:val="00B16E31"/>
    <w:rsid w:val="00B234A4"/>
    <w:rsid w:val="00B474C0"/>
    <w:rsid w:val="00B65A8C"/>
    <w:rsid w:val="00C00826"/>
    <w:rsid w:val="00C018BB"/>
    <w:rsid w:val="00C05151"/>
    <w:rsid w:val="00C25847"/>
    <w:rsid w:val="00C6101D"/>
    <w:rsid w:val="00C97309"/>
    <w:rsid w:val="00C97CA9"/>
    <w:rsid w:val="00CB7636"/>
    <w:rsid w:val="00CE0107"/>
    <w:rsid w:val="00CE329C"/>
    <w:rsid w:val="00D40DC0"/>
    <w:rsid w:val="00D51CB1"/>
    <w:rsid w:val="00D55BA1"/>
    <w:rsid w:val="00D63B60"/>
    <w:rsid w:val="00D70C4B"/>
    <w:rsid w:val="00D76AA4"/>
    <w:rsid w:val="00D875F9"/>
    <w:rsid w:val="00DD0A0E"/>
    <w:rsid w:val="00DD351F"/>
    <w:rsid w:val="00DD525B"/>
    <w:rsid w:val="00DD7FC0"/>
    <w:rsid w:val="00DF0920"/>
    <w:rsid w:val="00E16BD6"/>
    <w:rsid w:val="00E410C8"/>
    <w:rsid w:val="00E42152"/>
    <w:rsid w:val="00E66B59"/>
    <w:rsid w:val="00E933DE"/>
    <w:rsid w:val="00EA4FC3"/>
    <w:rsid w:val="00EA5DBC"/>
    <w:rsid w:val="00EA730F"/>
    <w:rsid w:val="00F77455"/>
    <w:rsid w:val="00F94DD4"/>
    <w:rsid w:val="00FD170D"/>
    <w:rsid w:val="00FE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pPr>
      <w:spacing w:after="200" w:line="276" w:lineRule="auto"/>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C018BB"/>
    <w:pPr>
      <w:spacing w:after="0" w:line="240" w:lineRule="auto"/>
    </w:pPr>
    <w:rPr>
      <w:rFonts w:eastAsia="Calibri"/>
      <w:sz w:val="20"/>
      <w:szCs w:val="20"/>
    </w:rPr>
  </w:style>
  <w:style w:type="character" w:customStyle="1" w:styleId="TextonotapieCar">
    <w:name w:val="Texto nota pie Car"/>
    <w:basedOn w:val="Fuentedeprrafopredeter"/>
    <w:link w:val="Textonotapie"/>
    <w:uiPriority w:val="99"/>
    <w:semiHidden/>
    <w:locked/>
    <w:rsid w:val="00C018BB"/>
    <w:rPr>
      <w:rFonts w:eastAsia="Times New Roman"/>
      <w:sz w:val="20"/>
      <w:lang w:val="en-GB" w:eastAsia="en-GB"/>
    </w:rPr>
  </w:style>
  <w:style w:type="character" w:styleId="Refdenotaalpie">
    <w:name w:val="footnote reference"/>
    <w:basedOn w:val="Fuentedeprrafopredeter"/>
    <w:uiPriority w:val="99"/>
    <w:semiHidden/>
    <w:rsid w:val="00C018BB"/>
    <w:rPr>
      <w:rFonts w:cs="Times New Roman"/>
      <w:vertAlign w:val="superscript"/>
    </w:rPr>
  </w:style>
  <w:style w:type="character" w:styleId="Hipervnculo">
    <w:name w:val="Hyperlink"/>
    <w:basedOn w:val="Fuentedeprrafopredeter"/>
    <w:uiPriority w:val="99"/>
    <w:rsid w:val="00C018BB"/>
    <w:rPr>
      <w:rFonts w:cs="Times New Roman"/>
      <w:color w:val="0000FF"/>
      <w:u w:val="single"/>
    </w:rPr>
  </w:style>
  <w:style w:type="paragraph" w:customStyle="1" w:styleId="Default">
    <w:name w:val="Default"/>
    <w:rsid w:val="00C018BB"/>
    <w:pPr>
      <w:autoSpaceDE w:val="0"/>
      <w:autoSpaceDN w:val="0"/>
      <w:adjustRightInd w:val="0"/>
    </w:pPr>
    <w:rPr>
      <w:rFonts w:eastAsia="Times New Roman" w:cs="Calibri"/>
      <w:color w:val="000000"/>
      <w:sz w:val="24"/>
      <w:szCs w:val="24"/>
    </w:rPr>
  </w:style>
  <w:style w:type="table" w:styleId="Cuadrculamedia3-nfasis1">
    <w:name w:val="Medium Grid 3 Accent 1"/>
    <w:basedOn w:val="Tablanormal"/>
    <w:uiPriority w:val="99"/>
    <w:rsid w:val="00C018BB"/>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aconcuadrcula">
    <w:name w:val="Table Grid"/>
    <w:basedOn w:val="Tablanormal"/>
    <w:uiPriority w:val="99"/>
    <w:rsid w:val="00C018B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18BB"/>
    <w:pPr>
      <w:ind w:left="720"/>
      <w:contextualSpacing/>
    </w:pPr>
  </w:style>
  <w:style w:type="paragraph" w:styleId="Sinespaciado">
    <w:name w:val="No Spacing"/>
    <w:uiPriority w:val="99"/>
    <w:qFormat/>
    <w:rsid w:val="00C018BB"/>
    <w:rPr>
      <w:noProof/>
      <w:lang w:val="fr-FR" w:eastAsia="en-US"/>
    </w:rPr>
  </w:style>
  <w:style w:type="character" w:styleId="Refdecomentario">
    <w:name w:val="annotation reference"/>
    <w:basedOn w:val="Fuentedeprrafopredeter"/>
    <w:uiPriority w:val="99"/>
    <w:semiHidden/>
    <w:rsid w:val="00C018BB"/>
    <w:rPr>
      <w:rFonts w:cs="Times New Roman"/>
      <w:sz w:val="16"/>
    </w:rPr>
  </w:style>
  <w:style w:type="paragraph" w:styleId="Textocomentario">
    <w:name w:val="annotation text"/>
    <w:basedOn w:val="Normal"/>
    <w:link w:val="TextocomentarioCar"/>
    <w:uiPriority w:val="99"/>
    <w:rsid w:val="00C018BB"/>
    <w:pPr>
      <w:spacing w:line="240" w:lineRule="auto"/>
    </w:pPr>
    <w:rPr>
      <w:rFonts w:eastAsia="Calibri"/>
      <w:sz w:val="20"/>
      <w:szCs w:val="20"/>
    </w:rPr>
  </w:style>
  <w:style w:type="character" w:customStyle="1" w:styleId="TextocomentarioCar">
    <w:name w:val="Texto comentario Car"/>
    <w:basedOn w:val="Fuentedeprrafopredeter"/>
    <w:link w:val="Textocomentario"/>
    <w:uiPriority w:val="99"/>
    <w:locked/>
    <w:rsid w:val="00C018BB"/>
    <w:rPr>
      <w:rFonts w:eastAsia="Times New Roman"/>
      <w:sz w:val="20"/>
      <w:lang w:val="en-GB" w:eastAsia="en-GB"/>
    </w:rPr>
  </w:style>
  <w:style w:type="paragraph" w:styleId="Asuntodelcomentario">
    <w:name w:val="annotation subject"/>
    <w:basedOn w:val="Textocomentario"/>
    <w:next w:val="Textocomentario"/>
    <w:link w:val="AsuntodelcomentarioCar"/>
    <w:uiPriority w:val="99"/>
    <w:semiHidden/>
    <w:rsid w:val="00C018BB"/>
    <w:rPr>
      <w:b/>
      <w:bCs/>
    </w:rPr>
  </w:style>
  <w:style w:type="character" w:customStyle="1" w:styleId="AsuntodelcomentarioCar">
    <w:name w:val="Asunto del comentario Car"/>
    <w:basedOn w:val="TextocomentarioCar"/>
    <w:link w:val="Asuntodelcomentario"/>
    <w:uiPriority w:val="99"/>
    <w:semiHidden/>
    <w:locked/>
    <w:rsid w:val="00C018BB"/>
    <w:rPr>
      <w:rFonts w:eastAsia="Times New Roman"/>
      <w:b/>
      <w:sz w:val="20"/>
      <w:lang w:val="en-GB" w:eastAsia="en-GB"/>
    </w:rPr>
  </w:style>
  <w:style w:type="paragraph" w:styleId="Textodeglobo">
    <w:name w:val="Balloon Text"/>
    <w:basedOn w:val="Normal"/>
    <w:link w:val="TextodegloboCar"/>
    <w:uiPriority w:val="99"/>
    <w:semiHidden/>
    <w:rsid w:val="00C018B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C018BB"/>
    <w:rPr>
      <w:rFonts w:ascii="Tahoma" w:hAnsi="Tahoma"/>
      <w:sz w:val="16"/>
      <w:lang w:val="en-GB" w:eastAsia="en-GB"/>
    </w:rPr>
  </w:style>
  <w:style w:type="paragraph" w:styleId="Encabezado">
    <w:name w:val="header"/>
    <w:basedOn w:val="Normal"/>
    <w:link w:val="EncabezadoCar"/>
    <w:uiPriority w:val="99"/>
    <w:rsid w:val="00C018B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locked/>
    <w:rsid w:val="00C018BB"/>
    <w:rPr>
      <w:rFonts w:eastAsia="Times New Roman"/>
      <w:lang w:val="en-GB" w:eastAsia="en-GB"/>
    </w:rPr>
  </w:style>
  <w:style w:type="paragraph" w:styleId="Piedepgina">
    <w:name w:val="footer"/>
    <w:basedOn w:val="Normal"/>
    <w:link w:val="PiedepginaCar"/>
    <w:uiPriority w:val="99"/>
    <w:rsid w:val="00C018B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locked/>
    <w:rsid w:val="00C018BB"/>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pPr>
      <w:spacing w:after="200" w:line="276" w:lineRule="auto"/>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C018BB"/>
    <w:pPr>
      <w:spacing w:after="0" w:line="240" w:lineRule="auto"/>
    </w:pPr>
    <w:rPr>
      <w:rFonts w:eastAsia="Calibri"/>
      <w:sz w:val="20"/>
      <w:szCs w:val="20"/>
    </w:rPr>
  </w:style>
  <w:style w:type="character" w:customStyle="1" w:styleId="TextonotapieCar">
    <w:name w:val="Texto nota pie Car"/>
    <w:basedOn w:val="Fuentedeprrafopredeter"/>
    <w:link w:val="Textonotapie"/>
    <w:uiPriority w:val="99"/>
    <w:semiHidden/>
    <w:locked/>
    <w:rsid w:val="00C018BB"/>
    <w:rPr>
      <w:rFonts w:eastAsia="Times New Roman"/>
      <w:sz w:val="20"/>
      <w:lang w:val="en-GB" w:eastAsia="en-GB"/>
    </w:rPr>
  </w:style>
  <w:style w:type="character" w:styleId="Refdenotaalpie">
    <w:name w:val="footnote reference"/>
    <w:basedOn w:val="Fuentedeprrafopredeter"/>
    <w:uiPriority w:val="99"/>
    <w:semiHidden/>
    <w:rsid w:val="00C018BB"/>
    <w:rPr>
      <w:rFonts w:cs="Times New Roman"/>
      <w:vertAlign w:val="superscript"/>
    </w:rPr>
  </w:style>
  <w:style w:type="character" w:styleId="Hipervnculo">
    <w:name w:val="Hyperlink"/>
    <w:basedOn w:val="Fuentedeprrafopredeter"/>
    <w:uiPriority w:val="99"/>
    <w:rsid w:val="00C018BB"/>
    <w:rPr>
      <w:rFonts w:cs="Times New Roman"/>
      <w:color w:val="0000FF"/>
      <w:u w:val="single"/>
    </w:rPr>
  </w:style>
  <w:style w:type="paragraph" w:customStyle="1" w:styleId="Default">
    <w:name w:val="Default"/>
    <w:rsid w:val="00C018BB"/>
    <w:pPr>
      <w:autoSpaceDE w:val="0"/>
      <w:autoSpaceDN w:val="0"/>
      <w:adjustRightInd w:val="0"/>
    </w:pPr>
    <w:rPr>
      <w:rFonts w:eastAsia="Times New Roman" w:cs="Calibri"/>
      <w:color w:val="000000"/>
      <w:sz w:val="24"/>
      <w:szCs w:val="24"/>
    </w:rPr>
  </w:style>
  <w:style w:type="table" w:styleId="Cuadrculamedia3-nfasis1">
    <w:name w:val="Medium Grid 3 Accent 1"/>
    <w:basedOn w:val="Tablanormal"/>
    <w:uiPriority w:val="99"/>
    <w:rsid w:val="00C018BB"/>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aconcuadrcula">
    <w:name w:val="Table Grid"/>
    <w:basedOn w:val="Tablanormal"/>
    <w:uiPriority w:val="99"/>
    <w:rsid w:val="00C018B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18BB"/>
    <w:pPr>
      <w:ind w:left="720"/>
      <w:contextualSpacing/>
    </w:pPr>
  </w:style>
  <w:style w:type="paragraph" w:styleId="Sinespaciado">
    <w:name w:val="No Spacing"/>
    <w:uiPriority w:val="99"/>
    <w:qFormat/>
    <w:rsid w:val="00C018BB"/>
    <w:rPr>
      <w:noProof/>
      <w:lang w:val="fr-FR" w:eastAsia="en-US"/>
    </w:rPr>
  </w:style>
  <w:style w:type="character" w:styleId="Refdecomentario">
    <w:name w:val="annotation reference"/>
    <w:basedOn w:val="Fuentedeprrafopredeter"/>
    <w:uiPriority w:val="99"/>
    <w:semiHidden/>
    <w:rsid w:val="00C018BB"/>
    <w:rPr>
      <w:rFonts w:cs="Times New Roman"/>
      <w:sz w:val="16"/>
    </w:rPr>
  </w:style>
  <w:style w:type="paragraph" w:styleId="Textocomentario">
    <w:name w:val="annotation text"/>
    <w:basedOn w:val="Normal"/>
    <w:link w:val="TextocomentarioCar"/>
    <w:uiPriority w:val="99"/>
    <w:rsid w:val="00C018BB"/>
    <w:pPr>
      <w:spacing w:line="240" w:lineRule="auto"/>
    </w:pPr>
    <w:rPr>
      <w:rFonts w:eastAsia="Calibri"/>
      <w:sz w:val="20"/>
      <w:szCs w:val="20"/>
    </w:rPr>
  </w:style>
  <w:style w:type="character" w:customStyle="1" w:styleId="TextocomentarioCar">
    <w:name w:val="Texto comentario Car"/>
    <w:basedOn w:val="Fuentedeprrafopredeter"/>
    <w:link w:val="Textocomentario"/>
    <w:uiPriority w:val="99"/>
    <w:locked/>
    <w:rsid w:val="00C018BB"/>
    <w:rPr>
      <w:rFonts w:eastAsia="Times New Roman"/>
      <w:sz w:val="20"/>
      <w:lang w:val="en-GB" w:eastAsia="en-GB"/>
    </w:rPr>
  </w:style>
  <w:style w:type="paragraph" w:styleId="Asuntodelcomentario">
    <w:name w:val="annotation subject"/>
    <w:basedOn w:val="Textocomentario"/>
    <w:next w:val="Textocomentario"/>
    <w:link w:val="AsuntodelcomentarioCar"/>
    <w:uiPriority w:val="99"/>
    <w:semiHidden/>
    <w:rsid w:val="00C018BB"/>
    <w:rPr>
      <w:b/>
      <w:bCs/>
    </w:rPr>
  </w:style>
  <w:style w:type="character" w:customStyle="1" w:styleId="AsuntodelcomentarioCar">
    <w:name w:val="Asunto del comentario Car"/>
    <w:basedOn w:val="TextocomentarioCar"/>
    <w:link w:val="Asuntodelcomentario"/>
    <w:uiPriority w:val="99"/>
    <w:semiHidden/>
    <w:locked/>
    <w:rsid w:val="00C018BB"/>
    <w:rPr>
      <w:rFonts w:eastAsia="Times New Roman"/>
      <w:b/>
      <w:sz w:val="20"/>
      <w:lang w:val="en-GB" w:eastAsia="en-GB"/>
    </w:rPr>
  </w:style>
  <w:style w:type="paragraph" w:styleId="Textodeglobo">
    <w:name w:val="Balloon Text"/>
    <w:basedOn w:val="Normal"/>
    <w:link w:val="TextodegloboCar"/>
    <w:uiPriority w:val="99"/>
    <w:semiHidden/>
    <w:rsid w:val="00C018B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C018BB"/>
    <w:rPr>
      <w:rFonts w:ascii="Tahoma" w:hAnsi="Tahoma"/>
      <w:sz w:val="16"/>
      <w:lang w:val="en-GB" w:eastAsia="en-GB"/>
    </w:rPr>
  </w:style>
  <w:style w:type="paragraph" w:styleId="Encabezado">
    <w:name w:val="header"/>
    <w:basedOn w:val="Normal"/>
    <w:link w:val="EncabezadoCar"/>
    <w:uiPriority w:val="99"/>
    <w:rsid w:val="00C018B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locked/>
    <w:rsid w:val="00C018BB"/>
    <w:rPr>
      <w:rFonts w:eastAsia="Times New Roman"/>
      <w:lang w:val="en-GB" w:eastAsia="en-GB"/>
    </w:rPr>
  </w:style>
  <w:style w:type="paragraph" w:styleId="Piedepgina">
    <w:name w:val="footer"/>
    <w:basedOn w:val="Normal"/>
    <w:link w:val="PiedepginaCar"/>
    <w:uiPriority w:val="99"/>
    <w:rsid w:val="00C018B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locked/>
    <w:rsid w:val="00C018BB"/>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5167">
      <w:bodyDiv w:val="1"/>
      <w:marLeft w:val="0"/>
      <w:marRight w:val="0"/>
      <w:marTop w:val="0"/>
      <w:marBottom w:val="0"/>
      <w:divBdr>
        <w:top w:val="none" w:sz="0" w:space="0" w:color="auto"/>
        <w:left w:val="none" w:sz="0" w:space="0" w:color="auto"/>
        <w:bottom w:val="none" w:sz="0" w:space="0" w:color="auto"/>
        <w:right w:val="none" w:sz="0" w:space="0" w:color="auto"/>
      </w:divBdr>
    </w:div>
    <w:div w:id="374737497">
      <w:bodyDiv w:val="1"/>
      <w:marLeft w:val="0"/>
      <w:marRight w:val="0"/>
      <w:marTop w:val="0"/>
      <w:marBottom w:val="0"/>
      <w:divBdr>
        <w:top w:val="none" w:sz="0" w:space="0" w:color="auto"/>
        <w:left w:val="none" w:sz="0" w:space="0" w:color="auto"/>
        <w:bottom w:val="none" w:sz="0" w:space="0" w:color="auto"/>
        <w:right w:val="none" w:sz="0" w:space="0" w:color="auto"/>
      </w:divBdr>
    </w:div>
    <w:div w:id="1097140162">
      <w:bodyDiv w:val="1"/>
      <w:marLeft w:val="0"/>
      <w:marRight w:val="0"/>
      <w:marTop w:val="0"/>
      <w:marBottom w:val="0"/>
      <w:divBdr>
        <w:top w:val="none" w:sz="0" w:space="0" w:color="auto"/>
        <w:left w:val="none" w:sz="0" w:space="0" w:color="auto"/>
        <w:bottom w:val="none" w:sz="0" w:space="0" w:color="auto"/>
        <w:right w:val="none" w:sz="0" w:space="0" w:color="auto"/>
      </w:divBdr>
    </w:div>
    <w:div w:id="1231767084">
      <w:bodyDiv w:val="1"/>
      <w:marLeft w:val="0"/>
      <w:marRight w:val="0"/>
      <w:marTop w:val="0"/>
      <w:marBottom w:val="0"/>
      <w:divBdr>
        <w:top w:val="none" w:sz="0" w:space="0" w:color="auto"/>
        <w:left w:val="none" w:sz="0" w:space="0" w:color="auto"/>
        <w:bottom w:val="none" w:sz="0" w:space="0" w:color="auto"/>
        <w:right w:val="none" w:sz="0" w:space="0" w:color="auto"/>
      </w:divBdr>
    </w:div>
    <w:div w:id="1432702479">
      <w:bodyDiv w:val="1"/>
      <w:marLeft w:val="0"/>
      <w:marRight w:val="0"/>
      <w:marTop w:val="0"/>
      <w:marBottom w:val="0"/>
      <w:divBdr>
        <w:top w:val="none" w:sz="0" w:space="0" w:color="auto"/>
        <w:left w:val="none" w:sz="0" w:space="0" w:color="auto"/>
        <w:bottom w:val="none" w:sz="0" w:space="0" w:color="auto"/>
        <w:right w:val="none" w:sz="0" w:space="0" w:color="auto"/>
      </w:divBdr>
    </w:div>
    <w:div w:id="1514106623">
      <w:bodyDiv w:val="1"/>
      <w:marLeft w:val="0"/>
      <w:marRight w:val="0"/>
      <w:marTop w:val="0"/>
      <w:marBottom w:val="0"/>
      <w:divBdr>
        <w:top w:val="none" w:sz="0" w:space="0" w:color="auto"/>
        <w:left w:val="none" w:sz="0" w:space="0" w:color="auto"/>
        <w:bottom w:val="none" w:sz="0" w:space="0" w:color="auto"/>
        <w:right w:val="none" w:sz="0" w:space="0" w:color="auto"/>
      </w:divBdr>
    </w:div>
    <w:div w:id="1872954258">
      <w:bodyDiv w:val="1"/>
      <w:marLeft w:val="0"/>
      <w:marRight w:val="0"/>
      <w:marTop w:val="0"/>
      <w:marBottom w:val="0"/>
      <w:divBdr>
        <w:top w:val="none" w:sz="0" w:space="0" w:color="auto"/>
        <w:left w:val="none" w:sz="0" w:space="0" w:color="auto"/>
        <w:bottom w:val="none" w:sz="0" w:space="0" w:color="auto"/>
        <w:right w:val="none" w:sz="0" w:space="0" w:color="auto"/>
      </w:divBdr>
    </w:div>
    <w:div w:id="2052731945">
      <w:bodyDiv w:val="1"/>
      <w:marLeft w:val="0"/>
      <w:marRight w:val="0"/>
      <w:marTop w:val="0"/>
      <w:marBottom w:val="0"/>
      <w:divBdr>
        <w:top w:val="none" w:sz="0" w:space="0" w:color="auto"/>
        <w:left w:val="none" w:sz="0" w:space="0" w:color="auto"/>
        <w:bottom w:val="none" w:sz="0" w:space="0" w:color="auto"/>
        <w:right w:val="none" w:sz="0" w:space="0" w:color="auto"/>
      </w:divBdr>
    </w:div>
    <w:div w:id="2069843070">
      <w:bodyDiv w:val="1"/>
      <w:marLeft w:val="0"/>
      <w:marRight w:val="0"/>
      <w:marTop w:val="0"/>
      <w:marBottom w:val="0"/>
      <w:divBdr>
        <w:top w:val="none" w:sz="0" w:space="0" w:color="auto"/>
        <w:left w:val="none" w:sz="0" w:space="0" w:color="auto"/>
        <w:bottom w:val="none" w:sz="0" w:space="0" w:color="auto"/>
        <w:right w:val="none" w:sz="0" w:space="0" w:color="auto"/>
      </w:divBdr>
    </w:div>
    <w:div w:id="20865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diaga.Gueye@f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lippe.crete@fa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index.php?option=com_docman&amp;task=doc_download&amp;gid=4598&amp;Itemid=5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F404-513B-449F-9F18-9385FC6C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2752</Words>
  <Characters>15138</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REQUEST FOR TARGETED SUPPORT</vt:lpstr>
      <vt:lpstr>REQUEST FOR TARGETED SUPPORT</vt:lpstr>
    </vt:vector>
  </TitlesOfParts>
  <Company>UNDP</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TARGETED SUPPORT</dc:title>
  <dc:creator>Carlos.RianoParamo@fao.org;Antonello.Salis@fao.org;philippe.crete@fao.org</dc:creator>
  <cp:lastModifiedBy>Carlos Riano</cp:lastModifiedBy>
  <cp:revision>4</cp:revision>
  <cp:lastPrinted>2014-06-29T23:55:00Z</cp:lastPrinted>
  <dcterms:created xsi:type="dcterms:W3CDTF">2015-05-21T14:41:00Z</dcterms:created>
  <dcterms:modified xsi:type="dcterms:W3CDTF">2015-05-22T09:44:00Z</dcterms:modified>
</cp:coreProperties>
</file>