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49E9" w:rsidRDefault="009C49E9" w:rsidP="001F487E">
      <w:pPr>
        <w:ind w:left="2880" w:hanging="2880"/>
        <w:contextualSpacing/>
        <w:rPr>
          <w:rFonts w:ascii="Verdana" w:hAnsi="Verdana" w:cs="Arial"/>
          <w:b/>
          <w:sz w:val="20"/>
          <w:szCs w:val="20"/>
        </w:rPr>
      </w:pPr>
      <w:r>
        <w:rPr>
          <w:rFonts w:ascii="Verdana" w:hAnsi="Verdana" w:cs="Arial"/>
          <w:b/>
          <w:sz w:val="20"/>
          <w:szCs w:val="20"/>
          <w:u w:val="single"/>
        </w:rPr>
        <w:t>Consultant</w:t>
      </w:r>
      <w:r w:rsidR="001F487E">
        <w:rPr>
          <w:rFonts w:ascii="Verdana" w:hAnsi="Verdana" w:cs="Arial"/>
          <w:b/>
          <w:sz w:val="20"/>
          <w:szCs w:val="20"/>
        </w:rPr>
        <w:t>:</w:t>
      </w:r>
      <w:r w:rsidR="001F487E">
        <w:rPr>
          <w:rFonts w:ascii="Verdana" w:hAnsi="Verdana" w:cs="Arial"/>
          <w:b/>
          <w:sz w:val="20"/>
          <w:szCs w:val="20"/>
        </w:rPr>
        <w:tab/>
      </w:r>
      <w:r>
        <w:rPr>
          <w:rFonts w:ascii="Verdana" w:hAnsi="Verdana" w:cs="Arial"/>
          <w:b/>
          <w:sz w:val="20"/>
          <w:szCs w:val="20"/>
        </w:rPr>
        <w:t xml:space="preserve">Analysis of </w:t>
      </w:r>
      <w:r w:rsidR="001F487E">
        <w:rPr>
          <w:rFonts w:ascii="Verdana" w:hAnsi="Verdana" w:cs="Arial"/>
          <w:b/>
          <w:sz w:val="20"/>
          <w:szCs w:val="20"/>
        </w:rPr>
        <w:t>legal basis for engagement of ethnic minorities in land use planning</w:t>
      </w:r>
    </w:p>
    <w:p w:rsidR="009C49E9" w:rsidRDefault="009C49E9" w:rsidP="009C49E9">
      <w:pPr>
        <w:contextualSpacing/>
        <w:rPr>
          <w:rFonts w:ascii="Verdana" w:hAnsi="Verdana" w:cs="Arial"/>
          <w:b/>
          <w:sz w:val="20"/>
          <w:szCs w:val="20"/>
        </w:rPr>
      </w:pPr>
    </w:p>
    <w:p w:rsidR="009C49E9" w:rsidRDefault="009C49E9" w:rsidP="009C49E9">
      <w:pPr>
        <w:contextualSpacing/>
        <w:rPr>
          <w:rFonts w:ascii="Verdana" w:hAnsi="Verdana" w:cs="Arial"/>
          <w:sz w:val="20"/>
          <w:szCs w:val="20"/>
        </w:rPr>
      </w:pPr>
      <w:r w:rsidRPr="003E2191">
        <w:rPr>
          <w:rFonts w:ascii="Verdana" w:hAnsi="Verdana" w:cs="Arial"/>
          <w:b/>
          <w:sz w:val="20"/>
          <w:szCs w:val="20"/>
          <w:u w:val="single"/>
        </w:rPr>
        <w:t>Output</w:t>
      </w:r>
      <w:r>
        <w:rPr>
          <w:rFonts w:ascii="Verdana" w:hAnsi="Verdana" w:cs="Arial"/>
          <w:b/>
          <w:sz w:val="20"/>
          <w:szCs w:val="20"/>
        </w:rPr>
        <w:t>:</w:t>
      </w:r>
      <w:r>
        <w:rPr>
          <w:rFonts w:ascii="Verdana" w:hAnsi="Verdana" w:cs="Arial"/>
          <w:b/>
          <w:sz w:val="20"/>
          <w:szCs w:val="20"/>
        </w:rPr>
        <w:tab/>
      </w:r>
      <w:r>
        <w:rPr>
          <w:rFonts w:ascii="Verdana" w:hAnsi="Verdana" w:cs="Arial"/>
          <w:b/>
          <w:sz w:val="20"/>
          <w:szCs w:val="20"/>
        </w:rPr>
        <w:tab/>
      </w:r>
      <w:r>
        <w:rPr>
          <w:rFonts w:ascii="Verdana" w:hAnsi="Verdana" w:cs="Arial"/>
          <w:b/>
          <w:sz w:val="20"/>
          <w:szCs w:val="20"/>
        </w:rPr>
        <w:tab/>
      </w:r>
      <w:r w:rsidR="001F487E">
        <w:rPr>
          <w:rFonts w:ascii="Verdana" w:hAnsi="Verdana" w:cs="Arial"/>
          <w:sz w:val="20"/>
          <w:szCs w:val="20"/>
        </w:rPr>
        <w:t>All Outputs under Outcome 2</w:t>
      </w:r>
    </w:p>
    <w:p w:rsidR="009C49E9" w:rsidRDefault="009C49E9" w:rsidP="009C49E9">
      <w:pPr>
        <w:contextualSpacing/>
        <w:rPr>
          <w:rFonts w:ascii="Verdana" w:hAnsi="Verdana" w:cs="Arial"/>
          <w:sz w:val="20"/>
          <w:szCs w:val="20"/>
        </w:rPr>
      </w:pPr>
    </w:p>
    <w:p w:rsidR="009C49E9" w:rsidRPr="003E2191" w:rsidRDefault="009C49E9" w:rsidP="009C49E9">
      <w:pPr>
        <w:contextualSpacing/>
        <w:rPr>
          <w:rFonts w:ascii="Verdana" w:hAnsi="Verdana" w:cs="Arial"/>
          <w:sz w:val="20"/>
          <w:szCs w:val="20"/>
        </w:rPr>
      </w:pPr>
      <w:r>
        <w:rPr>
          <w:rFonts w:ascii="Verdana" w:hAnsi="Verdana" w:cs="Arial"/>
          <w:b/>
          <w:sz w:val="20"/>
          <w:szCs w:val="20"/>
          <w:u w:val="single"/>
        </w:rPr>
        <w:t>Responsible UN Agency</w:t>
      </w:r>
      <w:r>
        <w:rPr>
          <w:rFonts w:ascii="Verdana" w:hAnsi="Verdana" w:cs="Arial"/>
          <w:b/>
          <w:sz w:val="20"/>
          <w:szCs w:val="20"/>
        </w:rPr>
        <w:t>:</w:t>
      </w:r>
      <w:r>
        <w:rPr>
          <w:rFonts w:ascii="Verdana" w:hAnsi="Verdana" w:cs="Arial"/>
          <w:sz w:val="20"/>
          <w:szCs w:val="20"/>
        </w:rPr>
        <w:tab/>
        <w:t>UNDP</w:t>
      </w:r>
    </w:p>
    <w:p w:rsidR="009C49E9" w:rsidRPr="00AC1E19" w:rsidRDefault="009C49E9" w:rsidP="009C49E9">
      <w:pPr>
        <w:contextualSpacing/>
        <w:rPr>
          <w:rFonts w:ascii="Verdana" w:hAnsi="Verdana" w:cs="Arial"/>
          <w:b/>
          <w:bCs/>
          <w:color w:val="000000"/>
          <w:sz w:val="20"/>
          <w:szCs w:val="20"/>
          <w:u w:val="single"/>
        </w:rPr>
      </w:pPr>
    </w:p>
    <w:p w:rsidR="009C49E9" w:rsidRPr="00AC1E19" w:rsidRDefault="009C49E9" w:rsidP="009C49E9">
      <w:pPr>
        <w:contextualSpacing/>
        <w:rPr>
          <w:rFonts w:ascii="Verdana" w:hAnsi="Verdana" w:cs="Arial"/>
          <w:b/>
          <w:color w:val="000000"/>
          <w:sz w:val="20"/>
          <w:szCs w:val="20"/>
        </w:rPr>
      </w:pPr>
      <w:r>
        <w:rPr>
          <w:rFonts w:ascii="Verdana" w:hAnsi="Verdana" w:cs="Arial"/>
          <w:b/>
          <w:bCs/>
          <w:color w:val="000000"/>
          <w:sz w:val="20"/>
          <w:szCs w:val="20"/>
          <w:u w:val="single"/>
        </w:rPr>
        <w:t>National/International</w:t>
      </w:r>
      <w:r w:rsidRPr="00AC1E19">
        <w:rPr>
          <w:rFonts w:ascii="Verdana" w:hAnsi="Verdana" w:cs="Arial"/>
          <w:b/>
          <w:bCs/>
          <w:color w:val="000000"/>
          <w:sz w:val="20"/>
          <w:szCs w:val="20"/>
        </w:rPr>
        <w:t>:</w:t>
      </w:r>
      <w:r w:rsidRPr="00AC1E19">
        <w:rPr>
          <w:rFonts w:ascii="Verdana" w:hAnsi="Verdana" w:cs="Arial"/>
          <w:color w:val="000000"/>
          <w:sz w:val="20"/>
          <w:szCs w:val="20"/>
        </w:rPr>
        <w:t xml:space="preserve"> </w:t>
      </w:r>
      <w:r w:rsidRPr="00AC1E19">
        <w:rPr>
          <w:rFonts w:ascii="Verdana" w:hAnsi="Verdana" w:cs="Arial"/>
          <w:color w:val="000000"/>
          <w:sz w:val="20"/>
          <w:szCs w:val="20"/>
        </w:rPr>
        <w:tab/>
      </w:r>
      <w:r>
        <w:rPr>
          <w:rFonts w:ascii="Verdana" w:hAnsi="Verdana" w:cs="Arial"/>
          <w:sz w:val="20"/>
          <w:szCs w:val="20"/>
        </w:rPr>
        <w:t>National</w:t>
      </w:r>
    </w:p>
    <w:p w:rsidR="009C49E9" w:rsidRPr="00AC1E19" w:rsidRDefault="009C49E9" w:rsidP="009C49E9">
      <w:pPr>
        <w:contextualSpacing/>
        <w:rPr>
          <w:rFonts w:ascii="Verdana" w:hAnsi="Verdana" w:cs="Arial"/>
          <w:b/>
          <w:sz w:val="20"/>
          <w:szCs w:val="20"/>
          <w:u w:val="single"/>
        </w:rPr>
      </w:pPr>
    </w:p>
    <w:p w:rsidR="009C49E9" w:rsidRPr="00AC1E19" w:rsidRDefault="009C49E9" w:rsidP="009C49E9">
      <w:pPr>
        <w:contextualSpacing/>
        <w:rPr>
          <w:rFonts w:ascii="Verdana" w:hAnsi="Verdana" w:cs="Arial"/>
          <w:sz w:val="20"/>
          <w:szCs w:val="20"/>
        </w:rPr>
      </w:pPr>
      <w:r w:rsidRPr="00AC1E19">
        <w:rPr>
          <w:rFonts w:ascii="Verdana" w:hAnsi="Verdana" w:cs="Arial"/>
          <w:b/>
          <w:sz w:val="20"/>
          <w:szCs w:val="20"/>
          <w:u w:val="single"/>
        </w:rPr>
        <w:t>Duration:</w:t>
      </w:r>
      <w:r w:rsidRPr="00AC1E19">
        <w:rPr>
          <w:rFonts w:ascii="Verdana" w:hAnsi="Verdana" w:cs="Arial"/>
          <w:b/>
          <w:sz w:val="20"/>
          <w:szCs w:val="20"/>
        </w:rPr>
        <w:tab/>
      </w:r>
      <w:r w:rsidRPr="00AC1E19">
        <w:rPr>
          <w:rFonts w:ascii="Verdana" w:hAnsi="Verdana" w:cs="Arial"/>
          <w:sz w:val="20"/>
          <w:szCs w:val="20"/>
        </w:rPr>
        <w:tab/>
      </w:r>
      <w:r>
        <w:rPr>
          <w:rFonts w:ascii="Verdana" w:hAnsi="Verdana" w:cs="Arial"/>
          <w:sz w:val="20"/>
          <w:szCs w:val="20"/>
        </w:rPr>
        <w:tab/>
      </w:r>
      <w:r w:rsidR="001F487E">
        <w:rPr>
          <w:rFonts w:ascii="Verdana" w:hAnsi="Verdana" w:cs="Arial"/>
          <w:sz w:val="20"/>
          <w:szCs w:val="20"/>
        </w:rPr>
        <w:t>4 days</w:t>
      </w:r>
      <w:r w:rsidRPr="00AC1E19">
        <w:rPr>
          <w:rFonts w:ascii="Verdana" w:hAnsi="Verdana" w:cs="Arial"/>
          <w:sz w:val="20"/>
          <w:szCs w:val="20"/>
        </w:rPr>
        <w:t xml:space="preserve">: </w:t>
      </w:r>
      <w:r w:rsidR="001F487E">
        <w:rPr>
          <w:rFonts w:ascii="Verdana" w:hAnsi="Verdana" w:cs="Arial"/>
          <w:sz w:val="20"/>
          <w:szCs w:val="20"/>
        </w:rPr>
        <w:t>Jan</w:t>
      </w:r>
      <w:r>
        <w:rPr>
          <w:rFonts w:ascii="Verdana" w:hAnsi="Verdana" w:cs="Arial"/>
          <w:sz w:val="20"/>
          <w:szCs w:val="20"/>
        </w:rPr>
        <w:t>.</w:t>
      </w:r>
      <w:r w:rsidRPr="00AC1E19">
        <w:rPr>
          <w:rFonts w:ascii="Verdana" w:hAnsi="Verdana" w:cs="Arial"/>
          <w:sz w:val="20"/>
          <w:szCs w:val="20"/>
        </w:rPr>
        <w:t xml:space="preserve"> 20</w:t>
      </w:r>
      <w:r w:rsidR="001F487E">
        <w:rPr>
          <w:rFonts w:ascii="Verdana" w:hAnsi="Verdana" w:cs="Arial"/>
          <w:sz w:val="20"/>
          <w:szCs w:val="20"/>
        </w:rPr>
        <w:t>10</w:t>
      </w:r>
      <w:r w:rsidRPr="00AC1E19">
        <w:rPr>
          <w:rFonts w:ascii="Verdana" w:hAnsi="Verdana" w:cs="Arial"/>
          <w:sz w:val="20"/>
          <w:szCs w:val="20"/>
        </w:rPr>
        <w:t xml:space="preserve"> </w:t>
      </w:r>
    </w:p>
    <w:p w:rsidR="009C49E9" w:rsidRPr="00AC1E19" w:rsidRDefault="009C49E9" w:rsidP="009C49E9">
      <w:pPr>
        <w:contextualSpacing/>
        <w:rPr>
          <w:rFonts w:ascii="Verdana" w:hAnsi="Verdana" w:cs="Arial"/>
          <w:b/>
          <w:color w:val="000000"/>
          <w:sz w:val="20"/>
          <w:szCs w:val="20"/>
          <w:u w:val="single"/>
        </w:rPr>
      </w:pPr>
    </w:p>
    <w:p w:rsidR="009C49E9" w:rsidRPr="00DD2014" w:rsidRDefault="009C49E9" w:rsidP="009C49E9">
      <w:pPr>
        <w:autoSpaceDE w:val="0"/>
        <w:autoSpaceDN w:val="0"/>
        <w:adjustRightInd w:val="0"/>
        <w:contextualSpacing/>
        <w:rPr>
          <w:rFonts w:ascii="Verdana" w:hAnsi="Verdana" w:cs="Arial"/>
          <w:b/>
          <w:bCs/>
          <w:color w:val="000000"/>
          <w:sz w:val="20"/>
          <w:szCs w:val="20"/>
        </w:rPr>
      </w:pPr>
    </w:p>
    <w:p w:rsidR="009C49E9" w:rsidRPr="00DD2014" w:rsidRDefault="009C49E9" w:rsidP="009C49E9">
      <w:pPr>
        <w:autoSpaceDE w:val="0"/>
        <w:autoSpaceDN w:val="0"/>
        <w:adjustRightInd w:val="0"/>
        <w:contextualSpacing/>
        <w:rPr>
          <w:rFonts w:ascii="Verdana" w:hAnsi="Verdana" w:cs="Arial"/>
          <w:color w:val="000000"/>
          <w:sz w:val="20"/>
          <w:szCs w:val="20"/>
        </w:rPr>
      </w:pPr>
      <w:r w:rsidRPr="00DD2014">
        <w:rPr>
          <w:rFonts w:ascii="Verdana" w:hAnsi="Verdana" w:cs="Arial"/>
          <w:b/>
          <w:bCs/>
          <w:color w:val="000000"/>
          <w:sz w:val="20"/>
          <w:szCs w:val="20"/>
        </w:rPr>
        <w:t xml:space="preserve">Specific responsibilities of the </w:t>
      </w:r>
      <w:r>
        <w:rPr>
          <w:rFonts w:ascii="Verdana" w:hAnsi="Verdana" w:cs="Arial"/>
          <w:b/>
          <w:color w:val="000000"/>
          <w:sz w:val="20"/>
          <w:szCs w:val="20"/>
        </w:rPr>
        <w:t>consultant</w:t>
      </w:r>
      <w:r w:rsidRPr="00DD2014">
        <w:rPr>
          <w:rFonts w:ascii="Verdana" w:hAnsi="Verdana" w:cs="Arial"/>
          <w:b/>
          <w:bCs/>
          <w:color w:val="000000"/>
          <w:sz w:val="20"/>
          <w:szCs w:val="20"/>
        </w:rPr>
        <w:t xml:space="preserve"> are as follows</w:t>
      </w:r>
      <w:r w:rsidRPr="00DD2014">
        <w:rPr>
          <w:rFonts w:ascii="Verdana" w:hAnsi="Verdana" w:cs="Arial"/>
          <w:color w:val="000000"/>
          <w:sz w:val="20"/>
          <w:szCs w:val="20"/>
        </w:rPr>
        <w:t>:</w:t>
      </w:r>
    </w:p>
    <w:p w:rsidR="009C49E9" w:rsidRPr="00DD2014" w:rsidRDefault="009C49E9" w:rsidP="009C49E9">
      <w:pPr>
        <w:autoSpaceDE w:val="0"/>
        <w:autoSpaceDN w:val="0"/>
        <w:adjustRightInd w:val="0"/>
        <w:contextualSpacing/>
        <w:rPr>
          <w:rFonts w:ascii="Verdana" w:hAnsi="Verdana" w:cs="Arial"/>
          <w:color w:val="000000"/>
          <w:sz w:val="20"/>
          <w:szCs w:val="20"/>
        </w:rPr>
      </w:pPr>
    </w:p>
    <w:p w:rsidR="009C49E9" w:rsidRPr="001F487E" w:rsidRDefault="001F487E" w:rsidP="009C49E9">
      <w:pPr>
        <w:numPr>
          <w:ilvl w:val="0"/>
          <w:numId w:val="2"/>
        </w:numPr>
        <w:spacing w:after="0" w:line="240" w:lineRule="auto"/>
        <w:jc w:val="both"/>
        <w:rPr>
          <w:rFonts w:ascii="Verdana" w:hAnsi="Verdana" w:cs="Arial"/>
          <w:color w:val="000000" w:themeColor="text1"/>
          <w:sz w:val="20"/>
          <w:szCs w:val="20"/>
        </w:rPr>
      </w:pPr>
      <w:r>
        <w:rPr>
          <w:rFonts w:ascii="Verdana" w:hAnsi="Verdana" w:cs="Arial"/>
          <w:color w:val="000000"/>
          <w:sz w:val="20"/>
          <w:szCs w:val="20"/>
        </w:rPr>
        <w:t>Review Vietnamese national legal documents relating to engagement, and rights of ethnic minorities in land use planning, particularly in respect to the process of securing Free Prior Informed Consent (FPIC), as per the UN Declaration on the Rights of Indigenous Peoples (UNDRIP)</w:t>
      </w:r>
    </w:p>
    <w:p w:rsidR="001F487E" w:rsidRPr="001F487E" w:rsidRDefault="001F487E" w:rsidP="009C49E9">
      <w:pPr>
        <w:numPr>
          <w:ilvl w:val="0"/>
          <w:numId w:val="2"/>
        </w:numPr>
        <w:spacing w:after="0" w:line="240" w:lineRule="auto"/>
        <w:jc w:val="both"/>
        <w:rPr>
          <w:rFonts w:ascii="Verdana" w:hAnsi="Verdana" w:cs="Arial"/>
          <w:color w:val="000000" w:themeColor="text1"/>
          <w:sz w:val="20"/>
          <w:szCs w:val="20"/>
        </w:rPr>
      </w:pPr>
      <w:r>
        <w:rPr>
          <w:rFonts w:ascii="Verdana" w:hAnsi="Verdana" w:cs="Arial"/>
          <w:color w:val="000000"/>
          <w:sz w:val="20"/>
          <w:szCs w:val="20"/>
        </w:rPr>
        <w:t>Prepare a brief (2 pages) document, in English, summarizing the conclusions of the review</w:t>
      </w:r>
    </w:p>
    <w:p w:rsidR="001F487E" w:rsidRPr="001F487E" w:rsidRDefault="001F487E" w:rsidP="009C49E9">
      <w:pPr>
        <w:numPr>
          <w:ilvl w:val="0"/>
          <w:numId w:val="2"/>
        </w:numPr>
        <w:spacing w:after="0" w:line="240" w:lineRule="auto"/>
        <w:jc w:val="both"/>
        <w:rPr>
          <w:rFonts w:ascii="Verdana" w:hAnsi="Verdana" w:cs="Arial"/>
          <w:color w:val="000000" w:themeColor="text1"/>
          <w:sz w:val="20"/>
          <w:szCs w:val="20"/>
        </w:rPr>
      </w:pPr>
      <w:r>
        <w:rPr>
          <w:rFonts w:ascii="Verdana" w:hAnsi="Verdana" w:cs="Arial"/>
          <w:color w:val="000000"/>
          <w:sz w:val="20"/>
          <w:szCs w:val="20"/>
        </w:rPr>
        <w:t>Compile a document, consisting of all relevant legal instruments in Vietnamese</w:t>
      </w:r>
    </w:p>
    <w:p w:rsidR="001F487E" w:rsidRPr="001069D2" w:rsidRDefault="001F487E" w:rsidP="009C49E9">
      <w:pPr>
        <w:numPr>
          <w:ilvl w:val="0"/>
          <w:numId w:val="2"/>
        </w:numPr>
        <w:spacing w:after="0" w:line="240" w:lineRule="auto"/>
        <w:jc w:val="both"/>
        <w:rPr>
          <w:rFonts w:ascii="Verdana" w:hAnsi="Verdana" w:cs="Arial"/>
          <w:color w:val="000000" w:themeColor="text1"/>
          <w:sz w:val="20"/>
          <w:szCs w:val="20"/>
        </w:rPr>
      </w:pPr>
      <w:r>
        <w:rPr>
          <w:rFonts w:ascii="Verdana" w:hAnsi="Verdana" w:cs="Arial"/>
          <w:color w:val="000000"/>
          <w:sz w:val="20"/>
          <w:szCs w:val="20"/>
        </w:rPr>
        <w:t>Compile a document, consisting of English translations of all those relevant legal instruments which have been translated into English</w:t>
      </w:r>
    </w:p>
    <w:p w:rsidR="009C49E9" w:rsidRPr="001069D2" w:rsidRDefault="009C49E9" w:rsidP="009C49E9">
      <w:pPr>
        <w:jc w:val="both"/>
        <w:rPr>
          <w:rFonts w:ascii="Verdana" w:hAnsi="Verdana" w:cs="Arial"/>
          <w:color w:val="000000" w:themeColor="text1"/>
          <w:sz w:val="20"/>
          <w:szCs w:val="20"/>
        </w:rPr>
      </w:pPr>
    </w:p>
    <w:p w:rsidR="009C49E9" w:rsidRPr="00AC1E19" w:rsidRDefault="009C49E9" w:rsidP="009C49E9">
      <w:pPr>
        <w:autoSpaceDE w:val="0"/>
        <w:autoSpaceDN w:val="0"/>
        <w:adjustRightInd w:val="0"/>
        <w:contextualSpacing/>
        <w:rPr>
          <w:rFonts w:ascii="Verdana" w:hAnsi="Verdana" w:cs="Arial"/>
          <w:b/>
          <w:bCs/>
          <w:sz w:val="20"/>
          <w:szCs w:val="20"/>
        </w:rPr>
      </w:pPr>
      <w:r w:rsidRPr="00AC1E19">
        <w:rPr>
          <w:rFonts w:ascii="Verdana" w:hAnsi="Verdana" w:cs="Arial"/>
          <w:b/>
          <w:bCs/>
          <w:sz w:val="20"/>
          <w:szCs w:val="20"/>
        </w:rPr>
        <w:t xml:space="preserve">Qualifications, Experience </w:t>
      </w:r>
      <w:r>
        <w:rPr>
          <w:rFonts w:ascii="Verdana" w:hAnsi="Verdana" w:cs="Arial"/>
          <w:b/>
          <w:bCs/>
          <w:sz w:val="20"/>
          <w:szCs w:val="20"/>
        </w:rPr>
        <w:t>a</w:t>
      </w:r>
      <w:r w:rsidRPr="00AC1E19">
        <w:rPr>
          <w:rFonts w:ascii="Verdana" w:hAnsi="Verdana" w:cs="Arial"/>
          <w:b/>
          <w:bCs/>
          <w:sz w:val="20"/>
          <w:szCs w:val="20"/>
        </w:rPr>
        <w:t>nd Competencies</w:t>
      </w:r>
    </w:p>
    <w:p w:rsidR="009C49E9" w:rsidRPr="00AC1E19" w:rsidRDefault="009C49E9" w:rsidP="009C49E9">
      <w:pPr>
        <w:autoSpaceDE w:val="0"/>
        <w:autoSpaceDN w:val="0"/>
        <w:adjustRightInd w:val="0"/>
        <w:contextualSpacing/>
        <w:rPr>
          <w:rFonts w:ascii="Verdana" w:hAnsi="Verdana" w:cs="Arial"/>
          <w:b/>
          <w:bCs/>
          <w:sz w:val="20"/>
          <w:szCs w:val="20"/>
        </w:rPr>
      </w:pPr>
    </w:p>
    <w:p w:rsidR="009C49E9" w:rsidRPr="00AC1E19" w:rsidRDefault="009C49E9" w:rsidP="009C49E9">
      <w:pPr>
        <w:numPr>
          <w:ilvl w:val="0"/>
          <w:numId w:val="1"/>
        </w:numPr>
        <w:autoSpaceDE w:val="0"/>
        <w:autoSpaceDN w:val="0"/>
        <w:adjustRightInd w:val="0"/>
        <w:spacing w:after="0" w:line="240" w:lineRule="auto"/>
        <w:contextualSpacing/>
        <w:jc w:val="both"/>
        <w:rPr>
          <w:rFonts w:ascii="Verdana" w:hAnsi="Verdana" w:cs="Arial"/>
          <w:sz w:val="20"/>
          <w:szCs w:val="20"/>
        </w:rPr>
      </w:pPr>
      <w:r w:rsidRPr="00AC1E19">
        <w:rPr>
          <w:rFonts w:ascii="Verdana" w:hAnsi="Verdana" w:cs="Arial"/>
          <w:sz w:val="20"/>
          <w:szCs w:val="20"/>
        </w:rPr>
        <w:t xml:space="preserve">Post graduate degree in </w:t>
      </w:r>
      <w:r w:rsidR="001F487E">
        <w:rPr>
          <w:rFonts w:ascii="Verdana" w:hAnsi="Verdana" w:cs="Arial"/>
          <w:sz w:val="20"/>
          <w:szCs w:val="20"/>
        </w:rPr>
        <w:t>Law</w:t>
      </w:r>
      <w:r w:rsidRPr="00AC1E19">
        <w:rPr>
          <w:rFonts w:ascii="Verdana" w:hAnsi="Verdana" w:cs="Arial"/>
          <w:sz w:val="20"/>
          <w:szCs w:val="20"/>
        </w:rPr>
        <w:t xml:space="preserve">, </w:t>
      </w:r>
      <w:r w:rsidR="001F487E">
        <w:rPr>
          <w:rFonts w:ascii="Verdana" w:hAnsi="Verdana" w:cs="Arial"/>
          <w:sz w:val="20"/>
          <w:szCs w:val="20"/>
        </w:rPr>
        <w:t>Social Sciences</w:t>
      </w:r>
      <w:r w:rsidRPr="00AC1E19">
        <w:rPr>
          <w:rFonts w:ascii="Verdana" w:hAnsi="Verdana" w:cs="Arial"/>
          <w:sz w:val="20"/>
          <w:szCs w:val="20"/>
        </w:rPr>
        <w:t>, or similar.</w:t>
      </w:r>
    </w:p>
    <w:p w:rsidR="009C49E9" w:rsidRPr="00AC1E19" w:rsidRDefault="009C49E9" w:rsidP="009C49E9">
      <w:pPr>
        <w:numPr>
          <w:ilvl w:val="0"/>
          <w:numId w:val="1"/>
        </w:numPr>
        <w:autoSpaceDE w:val="0"/>
        <w:autoSpaceDN w:val="0"/>
        <w:adjustRightInd w:val="0"/>
        <w:spacing w:after="0" w:line="240" w:lineRule="auto"/>
        <w:contextualSpacing/>
        <w:jc w:val="both"/>
        <w:rPr>
          <w:rFonts w:ascii="Verdana" w:hAnsi="Verdana" w:cs="Arial"/>
          <w:sz w:val="20"/>
          <w:szCs w:val="20"/>
        </w:rPr>
      </w:pPr>
      <w:r w:rsidRPr="00AC1E19">
        <w:rPr>
          <w:rFonts w:ascii="Verdana" w:hAnsi="Verdana" w:cs="Arial"/>
          <w:sz w:val="20"/>
          <w:szCs w:val="20"/>
        </w:rPr>
        <w:t xml:space="preserve">At least </w:t>
      </w:r>
      <w:r w:rsidR="001F487E">
        <w:rPr>
          <w:rFonts w:ascii="Verdana" w:hAnsi="Verdana" w:cs="Arial"/>
          <w:sz w:val="20"/>
          <w:szCs w:val="20"/>
        </w:rPr>
        <w:t>1</w:t>
      </w:r>
      <w:r w:rsidRPr="00AC1E19">
        <w:rPr>
          <w:rFonts w:ascii="Verdana" w:hAnsi="Verdana" w:cs="Arial"/>
          <w:sz w:val="20"/>
          <w:szCs w:val="20"/>
        </w:rPr>
        <w:t xml:space="preserve">5 years of working experience on </w:t>
      </w:r>
      <w:r w:rsidR="001F487E">
        <w:rPr>
          <w:rFonts w:ascii="Verdana" w:hAnsi="Verdana" w:cs="Arial"/>
          <w:sz w:val="20"/>
          <w:szCs w:val="20"/>
        </w:rPr>
        <w:t xml:space="preserve">local </w:t>
      </w:r>
      <w:proofErr w:type="spellStart"/>
      <w:r w:rsidR="001F487E">
        <w:rPr>
          <w:rFonts w:ascii="Verdana" w:hAnsi="Verdana" w:cs="Arial"/>
          <w:sz w:val="20"/>
          <w:szCs w:val="20"/>
        </w:rPr>
        <w:t>peoples</w:t>
      </w:r>
      <w:proofErr w:type="spellEnd"/>
      <w:r w:rsidR="001F487E">
        <w:rPr>
          <w:rFonts w:ascii="Verdana" w:hAnsi="Verdana" w:cs="Arial"/>
          <w:sz w:val="20"/>
          <w:szCs w:val="20"/>
        </w:rPr>
        <w:t xml:space="preserve"> rights</w:t>
      </w:r>
      <w:r w:rsidRPr="00AC1E19">
        <w:rPr>
          <w:rFonts w:ascii="Verdana" w:hAnsi="Verdana" w:cs="Arial"/>
          <w:sz w:val="20"/>
          <w:szCs w:val="20"/>
        </w:rPr>
        <w:t xml:space="preserve"> in Vietnam.</w:t>
      </w:r>
    </w:p>
    <w:p w:rsidR="009C49E9" w:rsidRPr="00AC1E19" w:rsidRDefault="009C49E9" w:rsidP="009C49E9">
      <w:pPr>
        <w:numPr>
          <w:ilvl w:val="0"/>
          <w:numId w:val="1"/>
        </w:numPr>
        <w:autoSpaceDE w:val="0"/>
        <w:autoSpaceDN w:val="0"/>
        <w:adjustRightInd w:val="0"/>
        <w:spacing w:after="0" w:line="240" w:lineRule="auto"/>
        <w:contextualSpacing/>
        <w:jc w:val="both"/>
        <w:rPr>
          <w:rFonts w:ascii="Verdana" w:hAnsi="Verdana" w:cs="Arial"/>
          <w:sz w:val="20"/>
          <w:szCs w:val="20"/>
        </w:rPr>
      </w:pPr>
      <w:r w:rsidRPr="00AC1E19">
        <w:rPr>
          <w:rFonts w:ascii="Verdana" w:hAnsi="Verdana" w:cs="Arial"/>
          <w:sz w:val="20"/>
          <w:szCs w:val="20"/>
        </w:rPr>
        <w:t>Strong inter-personal skills, especially oral communication skills.</w:t>
      </w:r>
    </w:p>
    <w:p w:rsidR="009C49E9" w:rsidRPr="00AC1E19" w:rsidRDefault="009C49E9" w:rsidP="009C49E9">
      <w:pPr>
        <w:numPr>
          <w:ilvl w:val="0"/>
          <w:numId w:val="1"/>
        </w:numPr>
        <w:autoSpaceDE w:val="0"/>
        <w:autoSpaceDN w:val="0"/>
        <w:adjustRightInd w:val="0"/>
        <w:spacing w:after="0" w:line="240" w:lineRule="auto"/>
        <w:contextualSpacing/>
        <w:jc w:val="both"/>
        <w:rPr>
          <w:rFonts w:ascii="Verdana" w:hAnsi="Verdana" w:cs="Arial"/>
          <w:sz w:val="20"/>
          <w:szCs w:val="20"/>
        </w:rPr>
      </w:pPr>
      <w:r w:rsidRPr="00AC1E19">
        <w:rPr>
          <w:rFonts w:ascii="Verdana" w:hAnsi="Verdana" w:cs="Arial"/>
          <w:sz w:val="20"/>
          <w:szCs w:val="20"/>
        </w:rPr>
        <w:t>Proficiency in both spoken and written English.</w:t>
      </w:r>
    </w:p>
    <w:p w:rsidR="009C49E9" w:rsidRPr="00AC1E19" w:rsidRDefault="009C49E9" w:rsidP="009C49E9">
      <w:pPr>
        <w:numPr>
          <w:ilvl w:val="0"/>
          <w:numId w:val="1"/>
        </w:numPr>
        <w:autoSpaceDE w:val="0"/>
        <w:autoSpaceDN w:val="0"/>
        <w:adjustRightInd w:val="0"/>
        <w:spacing w:after="0" w:line="240" w:lineRule="auto"/>
        <w:contextualSpacing/>
        <w:jc w:val="both"/>
        <w:rPr>
          <w:rFonts w:ascii="Verdana" w:hAnsi="Verdana" w:cs="Arial"/>
          <w:sz w:val="20"/>
          <w:szCs w:val="20"/>
        </w:rPr>
      </w:pPr>
      <w:r w:rsidRPr="00AC1E19">
        <w:rPr>
          <w:rFonts w:ascii="Verdana" w:hAnsi="Verdana" w:cs="Arial"/>
          <w:sz w:val="20"/>
          <w:szCs w:val="20"/>
        </w:rPr>
        <w:t>Good computer literacy.</w:t>
      </w:r>
    </w:p>
    <w:p w:rsidR="006515E0" w:rsidRDefault="006515E0"/>
    <w:p w:rsidR="001F487E" w:rsidRDefault="001F487E">
      <w:pPr>
        <w:rPr>
          <w:b/>
        </w:rPr>
      </w:pPr>
      <w:r>
        <w:rPr>
          <w:b/>
        </w:rPr>
        <w:t>Reporting</w:t>
      </w:r>
    </w:p>
    <w:p w:rsidR="001F487E" w:rsidRPr="001F487E" w:rsidRDefault="001F487E">
      <w:r>
        <w:t xml:space="preserve">The Consultant will report to the National Programme Director of the UN-REDD Programme/Viet Nam.  </w:t>
      </w:r>
    </w:p>
    <w:sectPr w:rsidR="001F487E" w:rsidRPr="001F487E" w:rsidSect="006515E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3261C9"/>
    <w:multiLevelType w:val="hybridMultilevel"/>
    <w:tmpl w:val="CEA0804C"/>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12196E18"/>
    <w:multiLevelType w:val="hybridMultilevel"/>
    <w:tmpl w:val="AF943A52"/>
    <w:lvl w:ilvl="0" w:tplc="6D804BA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B561D79"/>
    <w:multiLevelType w:val="hybridMultilevel"/>
    <w:tmpl w:val="E916AAE0"/>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20"/>
  <w:characterSpacingControl w:val="doNotCompress"/>
  <w:compat/>
  <w:rsids>
    <w:rsidRoot w:val="009C49E9"/>
    <w:rsid w:val="001F487E"/>
    <w:rsid w:val="006515E0"/>
    <w:rsid w:val="009C49E9"/>
    <w:rsid w:val="00E311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9E9"/>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194</Words>
  <Characters>1110</Characters>
  <Application>Microsoft Office Word</Application>
  <DocSecurity>0</DocSecurity>
  <Lines>9</Lines>
  <Paragraphs>2</Paragraphs>
  <ScaleCrop>false</ScaleCrop>
  <Company>UNDP</Company>
  <LinksUpToDate>false</LinksUpToDate>
  <CharactersWithSpaces>1302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timothy.boyle</dc:creator>
  <cp:lastModifiedBy>timothy.boyle</cp:lastModifiedBy>
  <cp:revision>2</cp:revision>
  <dcterms:created xsi:type="dcterms:W3CDTF">2010-01-08T02:49:00Z</dcterms:created>
  <dcterms:modified xsi:type="dcterms:W3CDTF">2010-01-08T02:49:00Z</dcterms:modified>
</cp:coreProperties>
</file>