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6EA" w:rsidRDefault="00BC4FBC" w:rsidP="00BC4FBC">
      <w:pPr>
        <w:spacing w:after="0" w:line="240" w:lineRule="auto"/>
        <w:rPr>
          <w:b/>
          <w:sz w:val="24"/>
          <w:szCs w:val="24"/>
        </w:rPr>
      </w:pPr>
      <w:r w:rsidRPr="00BC4FBC">
        <w:rPr>
          <w:b/>
          <w:noProof/>
          <w:sz w:val="24"/>
          <w:szCs w:val="24"/>
        </w:rPr>
        <w:drawing>
          <wp:inline distT="0" distB="0" distL="0" distR="0">
            <wp:extent cx="1701800" cy="469265"/>
            <wp:effectExtent l="19050" t="0" r="0" b="0"/>
            <wp:docPr id="1" name="Picture 1" descr="File:UN-REDD-logo.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UN-REDD-logo.gif">
                      <a:hlinkClick r:id="rId7"/>
                    </pic:cNvPr>
                    <pic:cNvPicPr>
                      <a:picLocks noChangeAspect="1" noChangeArrowheads="1"/>
                    </pic:cNvPicPr>
                  </pic:nvPicPr>
                  <pic:blipFill>
                    <a:blip r:embed="rId8"/>
                    <a:srcRect/>
                    <a:stretch>
                      <a:fillRect/>
                    </a:stretch>
                  </pic:blipFill>
                  <pic:spPr bwMode="auto">
                    <a:xfrm>
                      <a:off x="0" y="0"/>
                      <a:ext cx="1701800" cy="469265"/>
                    </a:xfrm>
                    <a:prstGeom prst="rect">
                      <a:avLst/>
                    </a:prstGeom>
                    <a:noFill/>
                    <a:ln w="9525">
                      <a:noFill/>
                      <a:miter lim="800000"/>
                      <a:headEnd/>
                      <a:tailEnd/>
                    </a:ln>
                  </pic:spPr>
                </pic:pic>
              </a:graphicData>
            </a:graphic>
          </wp:inline>
        </w:drawing>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BC4FBC">
        <w:rPr>
          <w:b/>
          <w:noProof/>
          <w:sz w:val="24"/>
          <w:szCs w:val="24"/>
        </w:rPr>
        <w:drawing>
          <wp:inline distT="0" distB="0" distL="0" distR="0">
            <wp:extent cx="1621790" cy="95440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621790" cy="954405"/>
                    </a:xfrm>
                    <a:prstGeom prst="rect">
                      <a:avLst/>
                    </a:prstGeom>
                    <a:noFill/>
                    <a:ln w="9525">
                      <a:noFill/>
                      <a:miter lim="800000"/>
                      <a:headEnd/>
                      <a:tailEnd/>
                    </a:ln>
                  </pic:spPr>
                </pic:pic>
              </a:graphicData>
            </a:graphic>
          </wp:inline>
        </w:drawing>
      </w:r>
    </w:p>
    <w:p w:rsidR="00FA16EA" w:rsidRDefault="00FA16EA" w:rsidP="00FA16EA">
      <w:pPr>
        <w:spacing w:after="0" w:line="240" w:lineRule="auto"/>
        <w:jc w:val="center"/>
        <w:rPr>
          <w:b/>
          <w:sz w:val="24"/>
          <w:szCs w:val="24"/>
        </w:rPr>
      </w:pPr>
    </w:p>
    <w:p w:rsidR="00FA16EA" w:rsidRDefault="00FA16EA" w:rsidP="00FA16EA">
      <w:pPr>
        <w:spacing w:after="0" w:line="240" w:lineRule="auto"/>
        <w:jc w:val="center"/>
        <w:rPr>
          <w:b/>
          <w:sz w:val="24"/>
          <w:szCs w:val="24"/>
        </w:rPr>
      </w:pPr>
      <w:r w:rsidRPr="001F1B84">
        <w:rPr>
          <w:b/>
          <w:sz w:val="24"/>
          <w:szCs w:val="24"/>
        </w:rPr>
        <w:t>Participatory Governance Assessment for REDD+ in Viet Nam</w:t>
      </w:r>
    </w:p>
    <w:p w:rsidR="00FA16EA" w:rsidRDefault="00FA16EA" w:rsidP="00FA16EA">
      <w:pPr>
        <w:spacing w:after="0" w:line="240" w:lineRule="auto"/>
        <w:jc w:val="center"/>
        <w:rPr>
          <w:b/>
          <w:sz w:val="24"/>
          <w:szCs w:val="24"/>
        </w:rPr>
      </w:pPr>
      <w:r>
        <w:rPr>
          <w:b/>
          <w:sz w:val="24"/>
          <w:szCs w:val="24"/>
        </w:rPr>
        <w:t xml:space="preserve">A pilot proposal </w:t>
      </w:r>
    </w:p>
    <w:p w:rsidR="00FA16EA" w:rsidRPr="001F1B84" w:rsidRDefault="00FA16EA" w:rsidP="00FA16EA">
      <w:pPr>
        <w:spacing w:after="0" w:line="240" w:lineRule="auto"/>
        <w:jc w:val="center"/>
        <w:rPr>
          <w:b/>
          <w:sz w:val="24"/>
          <w:szCs w:val="24"/>
        </w:rPr>
      </w:pPr>
    </w:p>
    <w:p w:rsidR="00FA16EA" w:rsidRPr="00210D86" w:rsidRDefault="00FA16EA" w:rsidP="00FA16EA">
      <w:pPr>
        <w:pBdr>
          <w:bottom w:val="single" w:sz="4" w:space="1" w:color="auto"/>
        </w:pBdr>
        <w:spacing w:after="0" w:line="240" w:lineRule="auto"/>
        <w:jc w:val="center"/>
        <w:rPr>
          <w:b/>
          <w:sz w:val="24"/>
          <w:szCs w:val="24"/>
          <w:u w:val="single"/>
        </w:rPr>
      </w:pPr>
      <w:r>
        <w:rPr>
          <w:b/>
          <w:sz w:val="24"/>
          <w:szCs w:val="24"/>
          <w:u w:val="single"/>
        </w:rPr>
        <w:t>Concept</w:t>
      </w:r>
      <w:r w:rsidRPr="00210D86">
        <w:rPr>
          <w:b/>
          <w:sz w:val="24"/>
          <w:szCs w:val="24"/>
          <w:u w:val="single"/>
        </w:rPr>
        <w:t xml:space="preserve"> Note</w:t>
      </w:r>
      <w:r>
        <w:rPr>
          <w:b/>
          <w:sz w:val="24"/>
          <w:szCs w:val="24"/>
          <w:u w:val="single"/>
        </w:rPr>
        <w:t xml:space="preserve"> – Initial Phase</w:t>
      </w:r>
    </w:p>
    <w:p w:rsidR="00FA16EA" w:rsidRPr="00B12A36" w:rsidRDefault="00FA16EA" w:rsidP="00FA16EA">
      <w:pPr>
        <w:pBdr>
          <w:bottom w:val="single" w:sz="4" w:space="1" w:color="auto"/>
        </w:pBdr>
        <w:spacing w:after="0" w:line="240" w:lineRule="auto"/>
        <w:jc w:val="center"/>
        <w:rPr>
          <w:b/>
        </w:rPr>
      </w:pPr>
    </w:p>
    <w:p w:rsidR="00FA16EA" w:rsidRDefault="00FA16EA" w:rsidP="00FA16EA">
      <w:pPr>
        <w:spacing w:after="0" w:line="240" w:lineRule="auto"/>
        <w:rPr>
          <w:b/>
        </w:rPr>
      </w:pPr>
    </w:p>
    <w:p w:rsidR="00FA16EA" w:rsidRPr="00AC23EF" w:rsidRDefault="00FA16EA" w:rsidP="00FA16EA">
      <w:pPr>
        <w:spacing w:after="0" w:line="240" w:lineRule="auto"/>
        <w:jc w:val="both"/>
        <w:rPr>
          <w:b/>
          <w:i/>
        </w:rPr>
      </w:pPr>
      <w:r w:rsidRPr="00AC23EF">
        <w:rPr>
          <w:b/>
          <w:i/>
        </w:rPr>
        <w:t xml:space="preserve">This </w:t>
      </w:r>
      <w:r>
        <w:rPr>
          <w:b/>
          <w:i/>
        </w:rPr>
        <w:t xml:space="preserve">Concept </w:t>
      </w:r>
      <w:r w:rsidRPr="00AC23EF">
        <w:rPr>
          <w:b/>
          <w:i/>
        </w:rPr>
        <w:t xml:space="preserve">Note </w:t>
      </w:r>
      <w:r>
        <w:rPr>
          <w:b/>
          <w:i/>
        </w:rPr>
        <w:t>on the</w:t>
      </w:r>
      <w:r w:rsidR="00BC4FBC">
        <w:rPr>
          <w:b/>
          <w:i/>
        </w:rPr>
        <w:t xml:space="preserve"> </w:t>
      </w:r>
      <w:r>
        <w:rPr>
          <w:b/>
          <w:i/>
        </w:rPr>
        <w:t>Participatory Governance Assessment (</w:t>
      </w:r>
      <w:r w:rsidRPr="00AC23EF">
        <w:rPr>
          <w:b/>
          <w:i/>
        </w:rPr>
        <w:t>PGA</w:t>
      </w:r>
      <w:r>
        <w:rPr>
          <w:b/>
          <w:i/>
        </w:rPr>
        <w:t>)</w:t>
      </w:r>
      <w:r w:rsidR="00F13C12">
        <w:rPr>
          <w:b/>
          <w:i/>
        </w:rPr>
        <w:t xml:space="preserve"> for REDD+ in Viet Nam</w:t>
      </w:r>
      <w:r w:rsidRPr="00AC23EF">
        <w:rPr>
          <w:b/>
          <w:i/>
        </w:rPr>
        <w:t xml:space="preserve"> </w:t>
      </w:r>
      <w:r w:rsidR="00A320B1">
        <w:rPr>
          <w:b/>
          <w:i/>
        </w:rPr>
        <w:t>is</w:t>
      </w:r>
      <w:r w:rsidRPr="00AC23EF">
        <w:rPr>
          <w:b/>
          <w:i/>
        </w:rPr>
        <w:t xml:space="preserve"> a starting point for discussion on how a PGA </w:t>
      </w:r>
      <w:r>
        <w:rPr>
          <w:b/>
          <w:i/>
        </w:rPr>
        <w:t xml:space="preserve">can </w:t>
      </w:r>
      <w:r w:rsidRPr="00AC23EF">
        <w:rPr>
          <w:b/>
          <w:i/>
        </w:rPr>
        <w:t xml:space="preserve">add value to </w:t>
      </w:r>
      <w:r>
        <w:rPr>
          <w:b/>
          <w:i/>
        </w:rPr>
        <w:t xml:space="preserve">the </w:t>
      </w:r>
      <w:r w:rsidRPr="00AC23EF">
        <w:rPr>
          <w:b/>
          <w:i/>
        </w:rPr>
        <w:t>REDD+</w:t>
      </w:r>
      <w:r>
        <w:rPr>
          <w:b/>
          <w:i/>
        </w:rPr>
        <w:t xml:space="preserve"> process</w:t>
      </w:r>
      <w:r w:rsidRPr="00AC23EF">
        <w:rPr>
          <w:b/>
          <w:i/>
        </w:rPr>
        <w:t xml:space="preserve"> in Viet Nam. More specifically, it describes the general purpose of a PGA</w:t>
      </w:r>
      <w:r>
        <w:rPr>
          <w:b/>
          <w:i/>
        </w:rPr>
        <w:t xml:space="preserve">, </w:t>
      </w:r>
      <w:r w:rsidRPr="00AC23EF">
        <w:rPr>
          <w:b/>
          <w:i/>
        </w:rPr>
        <w:t>how it c</w:t>
      </w:r>
      <w:r w:rsidR="00A320B1">
        <w:rPr>
          <w:b/>
          <w:i/>
        </w:rPr>
        <w:t xml:space="preserve">an </w:t>
      </w:r>
      <w:r w:rsidRPr="00AC23EF">
        <w:rPr>
          <w:b/>
          <w:i/>
        </w:rPr>
        <w:t>fit into the REDD+ context in Viet Nam</w:t>
      </w:r>
      <w:r>
        <w:rPr>
          <w:b/>
          <w:i/>
        </w:rPr>
        <w:t>, the initial activities to ensure stakeholder participation and contributions, and possible coordination in the further PGA process beyond the initial phase</w:t>
      </w:r>
      <w:r w:rsidRPr="00AC23EF">
        <w:rPr>
          <w:b/>
          <w:i/>
        </w:rPr>
        <w:t>. Especially important is the alignment with FAO’s Forest Governance Monitoring project. No decisions regarding objectives, scope</w:t>
      </w:r>
      <w:r w:rsidR="00AD32EF">
        <w:rPr>
          <w:b/>
          <w:i/>
        </w:rPr>
        <w:t xml:space="preserve"> or</w:t>
      </w:r>
      <w:r w:rsidRPr="00AC23EF">
        <w:rPr>
          <w:b/>
          <w:i/>
        </w:rPr>
        <w:t xml:space="preserve"> implementation modalities have been made</w:t>
      </w:r>
      <w:r>
        <w:rPr>
          <w:b/>
          <w:i/>
        </w:rPr>
        <w:t xml:space="preserve"> as the intention is to work together with stakeholders to reach such agreements, after which a more detailed Project Document </w:t>
      </w:r>
      <w:r w:rsidRPr="00AC23EF">
        <w:rPr>
          <w:b/>
          <w:i/>
        </w:rPr>
        <w:t>will be prepared and presented</w:t>
      </w:r>
      <w:r>
        <w:rPr>
          <w:b/>
          <w:i/>
        </w:rPr>
        <w:t>.</w:t>
      </w:r>
    </w:p>
    <w:p w:rsidR="00FA16EA" w:rsidRDefault="00FA16EA" w:rsidP="00FA16EA">
      <w:pPr>
        <w:pBdr>
          <w:bottom w:val="single" w:sz="6" w:space="1" w:color="auto"/>
        </w:pBdr>
        <w:spacing w:after="0" w:line="240" w:lineRule="auto"/>
        <w:rPr>
          <w:b/>
        </w:rPr>
      </w:pPr>
    </w:p>
    <w:p w:rsidR="00FA16EA" w:rsidRDefault="00FA16EA" w:rsidP="00FA16EA">
      <w:pPr>
        <w:spacing w:after="0" w:line="240" w:lineRule="auto"/>
        <w:rPr>
          <w:b/>
        </w:rPr>
      </w:pPr>
    </w:p>
    <w:p w:rsidR="00FA16EA" w:rsidRDefault="00FA16EA" w:rsidP="00FA16EA">
      <w:pPr>
        <w:pStyle w:val="Heading3"/>
        <w:numPr>
          <w:ilvl w:val="0"/>
          <w:numId w:val="6"/>
        </w:numPr>
        <w:jc w:val="center"/>
      </w:pPr>
      <w:r>
        <w:t>PGA overview</w:t>
      </w:r>
    </w:p>
    <w:p w:rsidR="00FA16EA" w:rsidRDefault="00FA16EA" w:rsidP="00FA16EA">
      <w:pPr>
        <w:spacing w:after="0" w:line="240" w:lineRule="auto"/>
        <w:rPr>
          <w:b/>
        </w:rPr>
      </w:pPr>
    </w:p>
    <w:p w:rsidR="00FA16EA" w:rsidRDefault="00FA16EA" w:rsidP="00FA16EA">
      <w:pPr>
        <w:spacing w:after="0" w:line="240" w:lineRule="auto"/>
        <w:rPr>
          <w:b/>
        </w:rPr>
      </w:pPr>
      <w:r w:rsidRPr="00290D76">
        <w:rPr>
          <w:b/>
        </w:rPr>
        <w:t xml:space="preserve">What is the Participatory Governance Assessment (PGA)? </w:t>
      </w:r>
    </w:p>
    <w:p w:rsidR="00FA16EA" w:rsidRPr="00290D76" w:rsidRDefault="00FA16EA" w:rsidP="00FA16EA">
      <w:pPr>
        <w:spacing w:after="0" w:line="240" w:lineRule="auto"/>
        <w:rPr>
          <w:b/>
        </w:rPr>
      </w:pPr>
    </w:p>
    <w:p w:rsidR="00FA16EA" w:rsidRPr="00952F38" w:rsidRDefault="00FA16EA" w:rsidP="00FA16EA">
      <w:pPr>
        <w:spacing w:after="0" w:line="240" w:lineRule="auto"/>
        <w:jc w:val="both"/>
        <w:rPr>
          <w:rFonts w:cstheme="minorHAnsi"/>
        </w:rPr>
      </w:pPr>
      <w:bookmarkStart w:id="0" w:name="OLE_LINK3"/>
      <w:bookmarkStart w:id="1" w:name="OLE_LINK4"/>
      <w:r>
        <w:rPr>
          <w:rFonts w:cstheme="minorHAnsi"/>
        </w:rPr>
        <w:t xml:space="preserve">The Participatory Governance Assessment (PGA) is an approach that aims to establish a system of information on governance issues (governance data) through the development </w:t>
      </w:r>
      <w:r w:rsidR="00AD32EF">
        <w:rPr>
          <w:rFonts w:cstheme="minorHAnsi"/>
        </w:rPr>
        <w:t xml:space="preserve">of </w:t>
      </w:r>
      <w:r>
        <w:rPr>
          <w:rFonts w:cstheme="minorHAnsi"/>
        </w:rPr>
        <w:t xml:space="preserve">governance indicators which can be measured over a period of time. The process undertaken includes a diverse range of key stakeholders as owners of the process. The difference between a PGA and other more externally driven assessments is that it is fully </w:t>
      </w:r>
      <w:r w:rsidRPr="00952F38">
        <w:rPr>
          <w:rFonts w:cstheme="minorHAnsi"/>
        </w:rPr>
        <w:t>initiated, implemented, and sustained by national actors.  By</w:t>
      </w:r>
      <w:r>
        <w:rPr>
          <w:rFonts w:cstheme="minorHAnsi"/>
        </w:rPr>
        <w:t xml:space="preserve"> ensuring the inclusion and participation of all key national stakeholders in the design, choice o</w:t>
      </w:r>
      <w:r w:rsidR="00593A93">
        <w:rPr>
          <w:rFonts w:cstheme="minorHAnsi"/>
        </w:rPr>
        <w:t xml:space="preserve">f methodology, selection of </w:t>
      </w:r>
      <w:r>
        <w:rPr>
          <w:rFonts w:cstheme="minorHAnsi"/>
        </w:rPr>
        <w:t>framework to be measured, the indicators developed to</w:t>
      </w:r>
      <w:r w:rsidR="00593A93">
        <w:rPr>
          <w:rFonts w:cstheme="minorHAnsi"/>
        </w:rPr>
        <w:t xml:space="preserve"> measure or assess governance are</w:t>
      </w:r>
      <w:r>
        <w:rPr>
          <w:rFonts w:cstheme="minorHAnsi"/>
        </w:rPr>
        <w:t xml:space="preserve"> likely to be more reflective of the country context, thereby providing more legitimacy and relevance. The analysis of these indicators will lead to the establishment of a baseline, which will be then used to make an assessment of performance in subsequent times. </w:t>
      </w:r>
    </w:p>
    <w:p w:rsidR="00FA16EA" w:rsidRDefault="00FA16EA" w:rsidP="00FA16EA">
      <w:pPr>
        <w:spacing w:after="0" w:line="240" w:lineRule="auto"/>
        <w:rPr>
          <w:rFonts w:cstheme="minorHAnsi"/>
          <w:b/>
        </w:rPr>
      </w:pPr>
    </w:p>
    <w:p w:rsidR="00FA16EA" w:rsidRDefault="00FA16EA" w:rsidP="00FA16EA">
      <w:pPr>
        <w:pStyle w:val="Pa1"/>
        <w:jc w:val="both"/>
        <w:rPr>
          <w:rFonts w:asciiTheme="minorHAnsi" w:hAnsiTheme="minorHAnsi" w:cstheme="minorHAnsi"/>
          <w:sz w:val="22"/>
          <w:szCs w:val="22"/>
        </w:rPr>
      </w:pPr>
      <w:r w:rsidRPr="00F912FD">
        <w:rPr>
          <w:rFonts w:asciiTheme="minorHAnsi" w:hAnsiTheme="minorHAnsi" w:cstheme="minorHAnsi"/>
          <w:sz w:val="22"/>
          <w:szCs w:val="22"/>
        </w:rPr>
        <w:t xml:space="preserve">When conducted successfully, a nationally owned governance assessment </w:t>
      </w:r>
      <w:r>
        <w:rPr>
          <w:rFonts w:asciiTheme="minorHAnsi" w:hAnsiTheme="minorHAnsi" w:cstheme="minorHAnsi"/>
          <w:sz w:val="22"/>
          <w:szCs w:val="22"/>
        </w:rPr>
        <w:t xml:space="preserve">can </w:t>
      </w:r>
      <w:r w:rsidRPr="00F912FD">
        <w:rPr>
          <w:rFonts w:asciiTheme="minorHAnsi" w:hAnsiTheme="minorHAnsi" w:cstheme="minorHAnsi"/>
          <w:sz w:val="22"/>
          <w:szCs w:val="22"/>
        </w:rPr>
        <w:t xml:space="preserve">strengthen democratic governance </w:t>
      </w:r>
      <w:r>
        <w:rPr>
          <w:rFonts w:asciiTheme="minorHAnsi" w:hAnsiTheme="minorHAnsi" w:cstheme="minorHAnsi"/>
          <w:sz w:val="22"/>
          <w:szCs w:val="22"/>
        </w:rPr>
        <w:t xml:space="preserve">in a country, provide opportunities for state-citizen engagement, and ultimately serve as an accountability mechanism among different stakeholders. If the process becomes </w:t>
      </w:r>
      <w:r w:rsidR="00A320B1">
        <w:rPr>
          <w:rFonts w:asciiTheme="minorHAnsi" w:hAnsiTheme="minorHAnsi" w:cstheme="minorHAnsi"/>
          <w:sz w:val="22"/>
          <w:szCs w:val="22"/>
        </w:rPr>
        <w:t xml:space="preserve">institutionalized </w:t>
      </w:r>
      <w:r>
        <w:rPr>
          <w:rFonts w:asciiTheme="minorHAnsi" w:hAnsiTheme="minorHAnsi" w:cstheme="minorHAnsi"/>
          <w:sz w:val="22"/>
          <w:szCs w:val="22"/>
        </w:rPr>
        <w:t>and indicators are measured regularly, governance assessments also provide a reference for planning, monitoring and evaluation of governance performance</w:t>
      </w:r>
      <w:r w:rsidR="00AD32EF">
        <w:rPr>
          <w:rFonts w:asciiTheme="minorHAnsi" w:hAnsiTheme="minorHAnsi" w:cstheme="minorHAnsi"/>
          <w:sz w:val="22"/>
          <w:szCs w:val="22"/>
        </w:rPr>
        <w:t>.</w:t>
      </w:r>
    </w:p>
    <w:p w:rsidR="00FA16EA" w:rsidRDefault="00FA16EA" w:rsidP="00FA16EA">
      <w:pPr>
        <w:pStyle w:val="Default"/>
        <w:jc w:val="both"/>
      </w:pPr>
    </w:p>
    <w:p w:rsidR="00FA16EA" w:rsidRPr="00900181" w:rsidRDefault="00FA16EA" w:rsidP="00FA16EA">
      <w:pPr>
        <w:pStyle w:val="Default"/>
        <w:jc w:val="both"/>
        <w:rPr>
          <w:rFonts w:asciiTheme="minorHAnsi" w:hAnsiTheme="minorHAnsi" w:cstheme="minorHAnsi"/>
          <w:color w:val="auto"/>
          <w:sz w:val="22"/>
          <w:szCs w:val="22"/>
        </w:rPr>
      </w:pPr>
      <w:r w:rsidRPr="00900181">
        <w:rPr>
          <w:rFonts w:asciiTheme="minorHAnsi" w:hAnsiTheme="minorHAnsi" w:cstheme="minorHAnsi"/>
          <w:color w:val="auto"/>
          <w:sz w:val="22"/>
          <w:szCs w:val="22"/>
        </w:rPr>
        <w:t>There are four key principles</w:t>
      </w:r>
      <w:r>
        <w:rPr>
          <w:rFonts w:asciiTheme="minorHAnsi" w:hAnsiTheme="minorHAnsi" w:cstheme="minorHAnsi"/>
          <w:color w:val="auto"/>
          <w:sz w:val="22"/>
          <w:szCs w:val="22"/>
        </w:rPr>
        <w:t xml:space="preserve"> that</w:t>
      </w:r>
      <w:r w:rsidRPr="00900181">
        <w:rPr>
          <w:rFonts w:asciiTheme="minorHAnsi" w:hAnsiTheme="minorHAnsi" w:cstheme="minorHAnsi"/>
          <w:color w:val="auto"/>
          <w:sz w:val="22"/>
          <w:szCs w:val="22"/>
        </w:rPr>
        <w:t xml:space="preserve"> differentiate the value of a nationally led PGA, as opposed to external assessments:</w:t>
      </w:r>
    </w:p>
    <w:p w:rsidR="00FA16EA" w:rsidRDefault="00FA16EA" w:rsidP="00FA16EA">
      <w:pPr>
        <w:pStyle w:val="Default"/>
        <w:jc w:val="both"/>
      </w:pPr>
    </w:p>
    <w:p w:rsidR="00FA16EA" w:rsidRPr="00900181" w:rsidRDefault="00FA16EA" w:rsidP="00FA16EA">
      <w:pPr>
        <w:pStyle w:val="Default"/>
        <w:numPr>
          <w:ilvl w:val="0"/>
          <w:numId w:val="3"/>
        </w:numPr>
        <w:jc w:val="both"/>
        <w:rPr>
          <w:rFonts w:asciiTheme="minorHAnsi" w:hAnsiTheme="minorHAnsi" w:cstheme="minorHAnsi"/>
          <w:color w:val="auto"/>
          <w:sz w:val="22"/>
          <w:szCs w:val="22"/>
        </w:rPr>
      </w:pPr>
      <w:r w:rsidRPr="00900181">
        <w:rPr>
          <w:rFonts w:asciiTheme="minorHAnsi" w:hAnsiTheme="minorHAnsi" w:cstheme="minorHAnsi"/>
          <w:color w:val="auto"/>
          <w:sz w:val="22"/>
          <w:szCs w:val="22"/>
        </w:rPr>
        <w:t xml:space="preserve">Participation – a broad and representative range of national actors (government, civil society, academics) have opportunities to provide input to key stages of the assessment process </w:t>
      </w:r>
    </w:p>
    <w:p w:rsidR="00FA16EA" w:rsidRPr="00900181" w:rsidRDefault="00FA16EA" w:rsidP="00FA16EA">
      <w:pPr>
        <w:pStyle w:val="Default"/>
        <w:numPr>
          <w:ilvl w:val="0"/>
          <w:numId w:val="3"/>
        </w:numPr>
        <w:jc w:val="both"/>
        <w:rPr>
          <w:rFonts w:asciiTheme="minorHAnsi" w:hAnsiTheme="minorHAnsi" w:cstheme="minorHAnsi"/>
          <w:color w:val="auto"/>
          <w:sz w:val="22"/>
          <w:szCs w:val="22"/>
        </w:rPr>
      </w:pPr>
      <w:r w:rsidRPr="00900181">
        <w:rPr>
          <w:rFonts w:asciiTheme="minorHAnsi" w:hAnsiTheme="minorHAnsi" w:cstheme="minorHAnsi"/>
          <w:color w:val="auto"/>
          <w:sz w:val="22"/>
          <w:szCs w:val="22"/>
        </w:rPr>
        <w:t xml:space="preserve">Transparency – national actors have </w:t>
      </w:r>
      <w:r>
        <w:rPr>
          <w:rFonts w:asciiTheme="minorHAnsi" w:hAnsiTheme="minorHAnsi" w:cstheme="minorHAnsi"/>
          <w:color w:val="auto"/>
          <w:sz w:val="22"/>
          <w:szCs w:val="22"/>
        </w:rPr>
        <w:t>unrestricted</w:t>
      </w:r>
      <w:r w:rsidRPr="00900181">
        <w:rPr>
          <w:rFonts w:asciiTheme="minorHAnsi" w:hAnsiTheme="minorHAnsi" w:cstheme="minorHAnsi"/>
          <w:color w:val="auto"/>
          <w:sz w:val="22"/>
          <w:szCs w:val="22"/>
        </w:rPr>
        <w:t xml:space="preserve"> access to information on the assessment process, and the results of the assessment are made available to the public as a public good</w:t>
      </w:r>
    </w:p>
    <w:p w:rsidR="00FA16EA" w:rsidRPr="00900181" w:rsidRDefault="00FA16EA" w:rsidP="00FA16EA">
      <w:pPr>
        <w:pStyle w:val="Default"/>
        <w:numPr>
          <w:ilvl w:val="0"/>
          <w:numId w:val="3"/>
        </w:numPr>
        <w:jc w:val="both"/>
        <w:rPr>
          <w:rFonts w:asciiTheme="minorHAnsi" w:hAnsiTheme="minorHAnsi" w:cstheme="minorHAnsi"/>
          <w:color w:val="auto"/>
          <w:sz w:val="22"/>
          <w:szCs w:val="22"/>
        </w:rPr>
      </w:pPr>
      <w:r w:rsidRPr="00900181">
        <w:rPr>
          <w:rFonts w:asciiTheme="minorHAnsi" w:hAnsiTheme="minorHAnsi" w:cstheme="minorHAnsi"/>
          <w:color w:val="auto"/>
          <w:sz w:val="22"/>
          <w:szCs w:val="22"/>
        </w:rPr>
        <w:t>Accountability – country-led assessments act as critical accountability mechanism for local stakeholders with regard to governance performance</w:t>
      </w:r>
    </w:p>
    <w:p w:rsidR="00FA16EA" w:rsidRPr="00D46C99" w:rsidRDefault="00FA16EA" w:rsidP="00FA16EA">
      <w:pPr>
        <w:pStyle w:val="Default"/>
        <w:numPr>
          <w:ilvl w:val="0"/>
          <w:numId w:val="3"/>
        </w:numPr>
        <w:jc w:val="both"/>
        <w:rPr>
          <w:rFonts w:asciiTheme="minorHAnsi" w:hAnsiTheme="minorHAnsi" w:cstheme="minorHAnsi"/>
          <w:color w:val="auto"/>
          <w:sz w:val="22"/>
          <w:szCs w:val="22"/>
        </w:rPr>
      </w:pPr>
      <w:r w:rsidRPr="00900181">
        <w:rPr>
          <w:rFonts w:asciiTheme="minorHAnsi" w:hAnsiTheme="minorHAnsi" w:cstheme="minorHAnsi"/>
          <w:color w:val="auto"/>
          <w:sz w:val="22"/>
          <w:szCs w:val="22"/>
        </w:rPr>
        <w:t>Legitimacy – national actors agree that the assessment process and the findings are legitimate</w:t>
      </w:r>
    </w:p>
    <w:p w:rsidR="00FA16EA" w:rsidRPr="00F912FD" w:rsidRDefault="00FA16EA" w:rsidP="00FA16EA">
      <w:pPr>
        <w:pStyle w:val="Default"/>
        <w:rPr>
          <w:rFonts w:asciiTheme="minorHAnsi" w:hAnsiTheme="minorHAnsi" w:cstheme="minorHAnsi"/>
          <w:color w:val="auto"/>
          <w:sz w:val="22"/>
          <w:szCs w:val="22"/>
        </w:rPr>
      </w:pPr>
    </w:p>
    <w:p w:rsidR="00FA16EA" w:rsidRDefault="00FA16EA" w:rsidP="00FA16EA">
      <w:pPr>
        <w:spacing w:after="0" w:line="240" w:lineRule="auto"/>
      </w:pPr>
    </w:p>
    <w:p w:rsidR="00FA16EA" w:rsidRDefault="00FA16EA" w:rsidP="00593A93">
      <w:pPr>
        <w:spacing w:after="0" w:line="240" w:lineRule="auto"/>
        <w:jc w:val="both"/>
      </w:pPr>
      <w:r>
        <w:t xml:space="preserve">The PGA approach builds on existing approaches and expertise within the UN-REDD agencies </w:t>
      </w:r>
      <w:r w:rsidR="00593A93">
        <w:t>- both</w:t>
      </w:r>
      <w:r>
        <w:t xml:space="preserve"> on the UNDP/ Oslo Governance Centre’s knowledge and experience of supporting countries conduct demo</w:t>
      </w:r>
      <w:r w:rsidR="00593A93">
        <w:t xml:space="preserve">cratic governance assessments, </w:t>
      </w:r>
      <w:r>
        <w:t xml:space="preserve">as well as FAO’s experience in data collection and monitoring in the forest sector. A combination of this expertise will be applied as relevant to issues within REDD+.  </w:t>
      </w:r>
    </w:p>
    <w:p w:rsidR="00FA16EA" w:rsidRDefault="00FA16EA" w:rsidP="00FA16EA">
      <w:pPr>
        <w:spacing w:after="0" w:line="240" w:lineRule="auto"/>
      </w:pPr>
    </w:p>
    <w:bookmarkEnd w:id="0"/>
    <w:bookmarkEnd w:id="1"/>
    <w:p w:rsidR="00FA16EA" w:rsidRPr="003C6C24" w:rsidRDefault="00FA16EA" w:rsidP="00FA16EA">
      <w:pPr>
        <w:spacing w:after="0" w:line="240" w:lineRule="auto"/>
        <w:rPr>
          <w:b/>
        </w:rPr>
      </w:pPr>
      <w:r w:rsidRPr="003C6C24">
        <w:rPr>
          <w:b/>
        </w:rPr>
        <w:t xml:space="preserve">Why is the PGA relevant in the REDD + process? </w:t>
      </w:r>
    </w:p>
    <w:p w:rsidR="00FA16EA" w:rsidRDefault="00FA16EA" w:rsidP="00FA16EA">
      <w:pPr>
        <w:spacing w:after="0" w:line="240" w:lineRule="auto"/>
        <w:jc w:val="both"/>
      </w:pPr>
    </w:p>
    <w:p w:rsidR="00FA16EA" w:rsidRDefault="00FA16EA" w:rsidP="00FA16EA">
      <w:pPr>
        <w:spacing w:after="0" w:line="240" w:lineRule="auto"/>
        <w:jc w:val="both"/>
      </w:pPr>
      <w:r>
        <w:t xml:space="preserve">The success and sustainability of REDD+ policies will depend largely on the way it is able to address the multiple governance challenges and opportunities that are linked with it. As such, a REDD+ governance information system will be an important element of overall efforts. </w:t>
      </w:r>
      <w:r w:rsidR="00DB2F65">
        <w:t xml:space="preserve">Such a system can </w:t>
      </w:r>
      <w:r>
        <w:t>disseminate information on REDD+ funding received as well as revenue distribution, and other issues of interest, such as levels of perceived corruption, for instance. This information system can provide an accountability mechanism if the information generated is thought to be credible, scientifically sound, and if indicators are chosen so as to reflect and address citizens’ concerns and interests</w:t>
      </w:r>
      <w:r w:rsidR="00DB2F65">
        <w:t>, which is what the PGA aims to do</w:t>
      </w:r>
      <w:r w:rsidR="00593A93">
        <w:t>.</w:t>
      </w:r>
    </w:p>
    <w:p w:rsidR="00FA16EA" w:rsidRDefault="00FA16EA" w:rsidP="00FA16EA">
      <w:pPr>
        <w:spacing w:after="0" w:line="240" w:lineRule="auto"/>
        <w:jc w:val="both"/>
      </w:pPr>
    </w:p>
    <w:p w:rsidR="00FA16EA" w:rsidRDefault="00FA16EA" w:rsidP="00FA16EA">
      <w:pPr>
        <w:spacing w:after="0" w:line="240" w:lineRule="auto"/>
        <w:jc w:val="both"/>
      </w:pPr>
    </w:p>
    <w:p w:rsidR="00FA16EA" w:rsidRDefault="00FA16EA" w:rsidP="00FA16EA">
      <w:pPr>
        <w:spacing w:after="0" w:line="240" w:lineRule="auto"/>
        <w:jc w:val="both"/>
      </w:pPr>
      <w:r>
        <w:t xml:space="preserve">For instance, the Social and Environment Principles developed by the UN-REDD </w:t>
      </w:r>
      <w:r w:rsidR="00AD32EF">
        <w:t>P</w:t>
      </w:r>
      <w:r>
        <w:t>rogramme</w:t>
      </w:r>
      <w:r w:rsidR="00BC4FBC">
        <w:t xml:space="preserve"> </w:t>
      </w:r>
      <w:r w:rsidR="00AD32EF">
        <w:t>emphasize</w:t>
      </w:r>
      <w:r>
        <w:t xml:space="preserve"> the following: </w:t>
      </w:r>
    </w:p>
    <w:p w:rsidR="00FA16EA" w:rsidRDefault="00FA16EA" w:rsidP="00FA16EA">
      <w:pPr>
        <w:spacing w:after="0" w:line="240" w:lineRule="auto"/>
        <w:jc w:val="both"/>
      </w:pPr>
    </w:p>
    <w:p w:rsidR="00FA16EA" w:rsidRDefault="00FA16EA" w:rsidP="00FA16EA">
      <w:pPr>
        <w:spacing w:after="0" w:line="240" w:lineRule="auto"/>
        <w:jc w:val="both"/>
      </w:pPr>
      <w:r>
        <w:rPr>
          <w:b/>
          <w:bCs/>
          <w:i/>
          <w:iCs/>
        </w:rPr>
        <w:t>Principle 1 on Democratic Governance</w:t>
      </w:r>
      <w:r>
        <w:t xml:space="preserve"> states that the Programme should </w:t>
      </w:r>
      <w:r w:rsidR="00AD32EF">
        <w:t>“</w:t>
      </w:r>
      <w:r>
        <w:t>comply with standards of democratic governance”, and stresses the following three criteria:</w:t>
      </w:r>
    </w:p>
    <w:p w:rsidR="00FA16EA" w:rsidRDefault="00FA16EA" w:rsidP="00FA16EA">
      <w:pPr>
        <w:pStyle w:val="ListParagraph"/>
        <w:numPr>
          <w:ilvl w:val="0"/>
          <w:numId w:val="4"/>
        </w:numPr>
        <w:spacing w:after="0" w:line="240" w:lineRule="auto"/>
        <w:contextualSpacing w:val="0"/>
        <w:jc w:val="both"/>
      </w:pPr>
      <w:r>
        <w:t>Ensure integrity of fiduciary and fund management systems</w:t>
      </w:r>
    </w:p>
    <w:p w:rsidR="00FA16EA" w:rsidRDefault="00FA16EA" w:rsidP="00FA16EA">
      <w:pPr>
        <w:pStyle w:val="ListParagraph"/>
        <w:numPr>
          <w:ilvl w:val="0"/>
          <w:numId w:val="4"/>
        </w:numPr>
        <w:spacing w:after="0" w:line="240" w:lineRule="auto"/>
        <w:contextualSpacing w:val="0"/>
        <w:jc w:val="both"/>
      </w:pPr>
      <w:r>
        <w:t>Implement activities in a transparent and accountable manner</w:t>
      </w:r>
    </w:p>
    <w:p w:rsidR="00FA16EA" w:rsidRDefault="00FA16EA" w:rsidP="00FA16EA">
      <w:pPr>
        <w:pStyle w:val="ListParagraph"/>
        <w:numPr>
          <w:ilvl w:val="0"/>
          <w:numId w:val="4"/>
        </w:numPr>
        <w:spacing w:after="0" w:line="240" w:lineRule="auto"/>
        <w:contextualSpacing w:val="0"/>
        <w:jc w:val="both"/>
      </w:pPr>
      <w:r>
        <w:t>Ensure broad-based stakeholder participation</w:t>
      </w:r>
    </w:p>
    <w:p w:rsidR="00FA16EA" w:rsidRDefault="00FA16EA" w:rsidP="00FA16EA">
      <w:pPr>
        <w:spacing w:after="0" w:line="240" w:lineRule="auto"/>
        <w:jc w:val="both"/>
      </w:pPr>
    </w:p>
    <w:p w:rsidR="00FA16EA" w:rsidRDefault="00FA16EA" w:rsidP="00FA16EA">
      <w:pPr>
        <w:spacing w:after="0" w:line="240" w:lineRule="auto"/>
        <w:jc w:val="both"/>
      </w:pPr>
      <w:r>
        <w:t xml:space="preserve">Likewise, </w:t>
      </w:r>
      <w:r>
        <w:rPr>
          <w:b/>
          <w:bCs/>
          <w:i/>
          <w:iCs/>
        </w:rPr>
        <w:t>Principle 2 on Stakeholder Livelihoods</w:t>
      </w:r>
      <w:r>
        <w:t xml:space="preserve"> states that the Programme must “carefully assess potential adverse impact on stakeholders’ long-term livelihoods and mitigate effects where appropriate”, and stresses the following criteria:</w:t>
      </w:r>
    </w:p>
    <w:p w:rsidR="00FA16EA" w:rsidRDefault="00FA16EA" w:rsidP="00FA16EA">
      <w:pPr>
        <w:pStyle w:val="ListParagraph"/>
        <w:numPr>
          <w:ilvl w:val="0"/>
          <w:numId w:val="4"/>
        </w:numPr>
        <w:spacing w:after="0" w:line="240" w:lineRule="auto"/>
        <w:contextualSpacing w:val="0"/>
        <w:jc w:val="both"/>
      </w:pPr>
      <w:r>
        <w:t>Promote gender equality</w:t>
      </w:r>
    </w:p>
    <w:p w:rsidR="00FA16EA" w:rsidRDefault="00FA16EA" w:rsidP="00FA16EA">
      <w:pPr>
        <w:pStyle w:val="ListParagraph"/>
        <w:numPr>
          <w:ilvl w:val="0"/>
          <w:numId w:val="4"/>
        </w:numPr>
        <w:spacing w:after="0" w:line="240" w:lineRule="auto"/>
        <w:contextualSpacing w:val="0"/>
        <w:jc w:val="both"/>
      </w:pPr>
      <w:r>
        <w:t xml:space="preserve">Avoid involuntary resettlement </w:t>
      </w:r>
    </w:p>
    <w:p w:rsidR="00FA16EA" w:rsidRDefault="00FA16EA" w:rsidP="00FA16EA">
      <w:pPr>
        <w:pStyle w:val="ListParagraph"/>
        <w:numPr>
          <w:ilvl w:val="0"/>
          <w:numId w:val="4"/>
        </w:numPr>
        <w:spacing w:after="0" w:line="240" w:lineRule="auto"/>
        <w:contextualSpacing w:val="0"/>
        <w:jc w:val="both"/>
      </w:pPr>
      <w:r>
        <w:t xml:space="preserve">Respect traditional knowledge </w:t>
      </w:r>
    </w:p>
    <w:p w:rsidR="00FA16EA" w:rsidRDefault="00FA16EA" w:rsidP="00FA16EA">
      <w:pPr>
        <w:pStyle w:val="ListParagraph"/>
        <w:numPr>
          <w:ilvl w:val="0"/>
          <w:numId w:val="4"/>
        </w:numPr>
        <w:spacing w:after="0" w:line="240" w:lineRule="auto"/>
        <w:contextualSpacing w:val="0"/>
        <w:jc w:val="both"/>
      </w:pPr>
      <w:r>
        <w:t xml:space="preserve">Develop equitable benefit distribution systems </w:t>
      </w:r>
    </w:p>
    <w:p w:rsidR="00FA16EA" w:rsidRDefault="00FA16EA" w:rsidP="00FA16EA">
      <w:pPr>
        <w:spacing w:after="0" w:line="240" w:lineRule="auto"/>
        <w:jc w:val="both"/>
      </w:pPr>
    </w:p>
    <w:p w:rsidR="00FA16EA" w:rsidRDefault="00FA16EA" w:rsidP="00FA16EA">
      <w:pPr>
        <w:spacing w:after="0" w:line="240" w:lineRule="auto"/>
        <w:jc w:val="both"/>
      </w:pPr>
      <w:r>
        <w:t xml:space="preserve">The PGA for REDD+ can through consultative and inclusive processes contribute to </w:t>
      </w:r>
      <w:r w:rsidRPr="0019513F">
        <w:rPr>
          <w:i/>
        </w:rPr>
        <w:t>the development of national systems providing relevant information on how safeguards are promoted, addressed and respected</w:t>
      </w:r>
      <w:r>
        <w:t xml:space="preserve"> as recommended in the Cancun Agreement (paragraphs 60 and 71 d). </w:t>
      </w:r>
    </w:p>
    <w:p w:rsidR="00FA16EA" w:rsidRDefault="00FA16EA" w:rsidP="00FA16EA">
      <w:pPr>
        <w:spacing w:after="0" w:line="240" w:lineRule="auto"/>
        <w:jc w:val="both"/>
      </w:pPr>
    </w:p>
    <w:p w:rsidR="00FA16EA" w:rsidRDefault="00FA16EA" w:rsidP="00FA16EA">
      <w:pPr>
        <w:spacing w:after="0" w:line="240" w:lineRule="auto"/>
        <w:jc w:val="both"/>
      </w:pPr>
      <w:r>
        <w:lastRenderedPageBreak/>
        <w:t>Beyond the sharing of information for increased transparency, the PGA will also include capacity</w:t>
      </w:r>
      <w:r w:rsidR="00593A93">
        <w:t xml:space="preserve"> </w:t>
      </w:r>
      <w:r>
        <w:t>building and training for governments to provide relevant, reliable and timely information – as well as civil society to act upon the information provided.</w:t>
      </w:r>
    </w:p>
    <w:p w:rsidR="00FA16EA" w:rsidRDefault="00FA16EA" w:rsidP="00FA16EA">
      <w:pPr>
        <w:spacing w:after="0" w:line="240" w:lineRule="auto"/>
        <w:jc w:val="both"/>
      </w:pPr>
    </w:p>
    <w:p w:rsidR="00FA16EA" w:rsidRDefault="00FA16EA" w:rsidP="00FA16EA">
      <w:pPr>
        <w:spacing w:after="0" w:line="240" w:lineRule="auto"/>
        <w:jc w:val="both"/>
      </w:pPr>
      <w:r>
        <w:t xml:space="preserve">As seen from the above, these are only certain examples of the types of governance issues that are related to the successful implementation of REDD+. The PGA can address all, or only some of them – this is entirely dependent on the decision of national stakeholders. It has been illustrated through case studies that the success and usefulness of the PGA is more likely to occur if the focus area is more finite. This is the suggested approach for Viet Nam as well. </w:t>
      </w:r>
    </w:p>
    <w:p w:rsidR="00FA16EA" w:rsidRDefault="00FA16EA" w:rsidP="00FA16EA">
      <w:pPr>
        <w:spacing w:after="0" w:line="240" w:lineRule="auto"/>
        <w:jc w:val="both"/>
      </w:pPr>
    </w:p>
    <w:p w:rsidR="00FA16EA" w:rsidRDefault="00FA16EA" w:rsidP="00FA16EA">
      <w:pPr>
        <w:spacing w:after="0" w:line="240" w:lineRule="auto"/>
      </w:pPr>
    </w:p>
    <w:p w:rsidR="00FA16EA" w:rsidRPr="00735A4E" w:rsidRDefault="00FA16EA" w:rsidP="00FA16EA">
      <w:pPr>
        <w:spacing w:after="0" w:line="240" w:lineRule="auto"/>
        <w:rPr>
          <w:b/>
        </w:rPr>
      </w:pPr>
      <w:r w:rsidRPr="00735A4E">
        <w:rPr>
          <w:b/>
        </w:rPr>
        <w:t xml:space="preserve">What does a PGA process look like? </w:t>
      </w:r>
    </w:p>
    <w:p w:rsidR="00FA16EA" w:rsidRDefault="00FA16EA" w:rsidP="00FA16EA">
      <w:pPr>
        <w:spacing w:after="0" w:line="240" w:lineRule="auto"/>
      </w:pPr>
    </w:p>
    <w:p w:rsidR="00FA16EA" w:rsidRDefault="00FA16EA" w:rsidP="00FA16EA">
      <w:pPr>
        <w:spacing w:after="0" w:line="240" w:lineRule="auto"/>
      </w:pPr>
      <w:r>
        <w:t>Below is some information related to how PGAs can be applied in the context of REDD+. The purpose of this information is to present the array of issues that can come up</w:t>
      </w:r>
      <w:r w:rsidR="0045348E">
        <w:t xml:space="preserve"> (and have in other countries where pilots have been undertaken, such as Nigeria and Indonesia)</w:t>
      </w:r>
      <w:r>
        <w:t xml:space="preserve">. </w:t>
      </w:r>
      <w:r w:rsidR="00CC5BE7">
        <w:t xml:space="preserve">The list is not exhaustive, and one or more objectives could be selected. </w:t>
      </w:r>
    </w:p>
    <w:p w:rsidR="00FA16EA" w:rsidRDefault="00FA16EA" w:rsidP="00FA16EA">
      <w:pPr>
        <w:spacing w:after="0" w:line="240" w:lineRule="auto"/>
      </w:pPr>
    </w:p>
    <w:p w:rsidR="00FA16EA" w:rsidRDefault="00FA16EA" w:rsidP="00FA16EA">
      <w:pPr>
        <w:spacing w:after="0" w:line="240" w:lineRule="auto"/>
      </w:pPr>
    </w:p>
    <w:p w:rsidR="00FA16EA" w:rsidRDefault="00BC4FBC" w:rsidP="00FA16EA">
      <w:pPr>
        <w:spacing w:after="0" w:line="240" w:lineRule="auto"/>
        <w:rPr>
          <w:b/>
        </w:rPr>
      </w:pPr>
      <w:r>
        <w:rPr>
          <w:b/>
        </w:rPr>
        <w:t>Possible s</w:t>
      </w:r>
      <w:r w:rsidR="00FA16EA" w:rsidRPr="000332FE">
        <w:rPr>
          <w:b/>
        </w:rPr>
        <w:t xml:space="preserve">hort/medium term objectives </w:t>
      </w:r>
      <w:r w:rsidR="00593A93">
        <w:rPr>
          <w:b/>
        </w:rPr>
        <w:t>for the PGA</w:t>
      </w:r>
    </w:p>
    <w:p w:rsidR="00FA16EA" w:rsidRPr="000332FE" w:rsidRDefault="00FA16EA" w:rsidP="00FA16EA">
      <w:pPr>
        <w:spacing w:after="0" w:line="240" w:lineRule="auto"/>
        <w:rPr>
          <w:b/>
        </w:rPr>
      </w:pPr>
    </w:p>
    <w:p w:rsidR="00DD190D" w:rsidRPr="00BC4FBC" w:rsidRDefault="007F27BC" w:rsidP="00DD190D">
      <w:pPr>
        <w:pStyle w:val="ListParagraph"/>
        <w:numPr>
          <w:ilvl w:val="0"/>
          <w:numId w:val="7"/>
        </w:numPr>
        <w:spacing w:after="0" w:line="240" w:lineRule="auto"/>
        <w:jc w:val="both"/>
      </w:pPr>
      <w:r w:rsidRPr="00BC4FBC">
        <w:t>Identify and establish mechanisms for consultation and feedback from forest-dependent communities with regard to the implementation of REDD+</w:t>
      </w:r>
    </w:p>
    <w:p w:rsidR="00FA16EA" w:rsidRDefault="00FA16EA" w:rsidP="00FA16EA">
      <w:pPr>
        <w:pStyle w:val="ListParagraph"/>
        <w:numPr>
          <w:ilvl w:val="0"/>
          <w:numId w:val="7"/>
        </w:numPr>
        <w:spacing w:after="0" w:line="240" w:lineRule="auto"/>
        <w:jc w:val="both"/>
      </w:pPr>
      <w:r w:rsidRPr="00AE59B3">
        <w:t>Identify policies and legislation that are relevant in the forestry sector</w:t>
      </w:r>
      <w:r>
        <w:t xml:space="preserve"> and to forest dependent communities</w:t>
      </w:r>
      <w:r w:rsidRPr="00AE59B3">
        <w:t xml:space="preserve"> (</w:t>
      </w:r>
      <w:r>
        <w:t>also on regulations</w:t>
      </w:r>
      <w:r w:rsidRPr="00AE59B3">
        <w:t xml:space="preserve"> that may not be specific to the sector, but which could have an impact)</w:t>
      </w:r>
      <w:r>
        <w:t>, and how such information is</w:t>
      </w:r>
      <w:r w:rsidR="00593A93">
        <w:t xml:space="preserve"> made available to stakeholders</w:t>
      </w:r>
      <w:r>
        <w:t xml:space="preserve"> </w:t>
      </w:r>
    </w:p>
    <w:p w:rsidR="00FA16EA" w:rsidRDefault="00FA16EA" w:rsidP="00FA16EA">
      <w:pPr>
        <w:pStyle w:val="ListParagraph"/>
        <w:numPr>
          <w:ilvl w:val="0"/>
          <w:numId w:val="7"/>
        </w:numPr>
        <w:spacing w:after="0" w:line="240" w:lineRule="auto"/>
        <w:jc w:val="both"/>
      </w:pPr>
      <w:r w:rsidRPr="00AE59B3">
        <w:t>Assess the capacity of relevant institutions at national and sub-national levels to gauge their a</w:t>
      </w:r>
      <w:r>
        <w:t>bility to implement REDD</w:t>
      </w:r>
      <w:r w:rsidRPr="00AE59B3">
        <w:t>+ in an accountable and transparent manner</w:t>
      </w:r>
      <w:r>
        <w:t xml:space="preserve"> </w:t>
      </w:r>
    </w:p>
    <w:p w:rsidR="00FA16EA" w:rsidRDefault="00FA16EA" w:rsidP="00FA16EA">
      <w:pPr>
        <w:pStyle w:val="ListParagraph"/>
        <w:numPr>
          <w:ilvl w:val="0"/>
          <w:numId w:val="7"/>
        </w:numPr>
        <w:spacing w:after="0" w:line="240" w:lineRule="auto"/>
        <w:jc w:val="both"/>
      </w:pPr>
      <w:r>
        <w:t>Assess mechanisms available to make the Benefits Distribution System accountable and transparent</w:t>
      </w:r>
    </w:p>
    <w:p w:rsidR="00FA16EA" w:rsidRDefault="00FA16EA" w:rsidP="00FA16EA">
      <w:pPr>
        <w:pStyle w:val="ListParagraph"/>
        <w:numPr>
          <w:ilvl w:val="0"/>
          <w:numId w:val="7"/>
        </w:numPr>
        <w:spacing w:after="0" w:line="240" w:lineRule="auto"/>
        <w:jc w:val="both"/>
      </w:pPr>
      <w:r>
        <w:t>Identify anti-co</w:t>
      </w:r>
      <w:r w:rsidR="00593A93">
        <w:t>rruption mechanisms and strategies</w:t>
      </w:r>
      <w:r>
        <w:t xml:space="preserve"> </w:t>
      </w:r>
    </w:p>
    <w:p w:rsidR="00FA16EA" w:rsidRDefault="00FA16EA" w:rsidP="00FA16EA">
      <w:pPr>
        <w:pStyle w:val="ListParagraph"/>
        <w:spacing w:after="0" w:line="240" w:lineRule="auto"/>
        <w:ind w:left="0"/>
      </w:pPr>
    </w:p>
    <w:p w:rsidR="00FA16EA" w:rsidRDefault="00BC4FBC" w:rsidP="00FA16EA">
      <w:pPr>
        <w:spacing w:after="0" w:line="240" w:lineRule="auto"/>
        <w:jc w:val="both"/>
        <w:rPr>
          <w:b/>
        </w:rPr>
      </w:pPr>
      <w:r>
        <w:rPr>
          <w:b/>
        </w:rPr>
        <w:t>Possible l</w:t>
      </w:r>
      <w:r w:rsidR="00FA16EA" w:rsidRPr="00CC5E02">
        <w:rPr>
          <w:b/>
        </w:rPr>
        <w:t xml:space="preserve">ong term objectives </w:t>
      </w:r>
      <w:r w:rsidR="00593A93">
        <w:rPr>
          <w:b/>
        </w:rPr>
        <w:t>for the PGA</w:t>
      </w:r>
    </w:p>
    <w:p w:rsidR="00BC4FBC" w:rsidRPr="00CC5E02" w:rsidRDefault="00BC4FBC" w:rsidP="00FA16EA">
      <w:pPr>
        <w:spacing w:after="0" w:line="240" w:lineRule="auto"/>
        <w:jc w:val="both"/>
        <w:rPr>
          <w:rStyle w:val="CommentReference"/>
          <w:b/>
        </w:rPr>
      </w:pPr>
    </w:p>
    <w:p w:rsidR="00FA16EA" w:rsidRPr="0045348E" w:rsidRDefault="007F27BC" w:rsidP="00FA16EA">
      <w:pPr>
        <w:pStyle w:val="ListParagraph"/>
        <w:numPr>
          <w:ilvl w:val="0"/>
          <w:numId w:val="7"/>
        </w:numPr>
        <w:spacing w:after="0" w:line="240" w:lineRule="auto"/>
        <w:jc w:val="both"/>
      </w:pPr>
      <w:r w:rsidRPr="0045348E">
        <w:t>Increase efficiency of land administration and service delivery (land registration</w:t>
      </w:r>
      <w:r w:rsidR="000E1FD3">
        <w:t>,</w:t>
      </w:r>
      <w:r w:rsidRPr="0045348E">
        <w:t xml:space="preserve"> for example) </w:t>
      </w:r>
    </w:p>
    <w:p w:rsidR="00FA16EA" w:rsidRDefault="00FA16EA" w:rsidP="00FA16EA">
      <w:pPr>
        <w:pStyle w:val="ListParagraph"/>
        <w:numPr>
          <w:ilvl w:val="0"/>
          <w:numId w:val="7"/>
        </w:numPr>
        <w:spacing w:after="0" w:line="240" w:lineRule="auto"/>
        <w:jc w:val="both"/>
      </w:pPr>
      <w:r>
        <w:t>Enhanced coordination among agencies in different line ministries/institutions and central ministries/institutions</w:t>
      </w:r>
    </w:p>
    <w:p w:rsidR="00FA16EA" w:rsidRDefault="00FA16EA" w:rsidP="00FA16EA">
      <w:pPr>
        <w:pStyle w:val="ListParagraph"/>
        <w:numPr>
          <w:ilvl w:val="0"/>
          <w:numId w:val="7"/>
        </w:numPr>
        <w:spacing w:after="0" w:line="240" w:lineRule="auto"/>
        <w:jc w:val="both"/>
      </w:pPr>
      <w:r>
        <w:t>Capacity building to facilitate regular and relevant information sharing (supply side of accountability) as well as the active use of information for increased accountability (demand side of information)</w:t>
      </w:r>
    </w:p>
    <w:p w:rsidR="00FA16EA" w:rsidRDefault="00FA16EA" w:rsidP="00FA16EA">
      <w:pPr>
        <w:pStyle w:val="ListParagraph"/>
        <w:numPr>
          <w:ilvl w:val="0"/>
          <w:numId w:val="7"/>
        </w:numPr>
        <w:spacing w:after="0" w:line="240" w:lineRule="auto"/>
        <w:jc w:val="both"/>
      </w:pPr>
      <w:r>
        <w:t>Establish mechanisms through which forest dependent communities can voice their concerns</w:t>
      </w:r>
    </w:p>
    <w:p w:rsidR="00FA16EA" w:rsidRDefault="00FA16EA" w:rsidP="00FA16EA">
      <w:pPr>
        <w:spacing w:after="0" w:line="240" w:lineRule="auto"/>
      </w:pPr>
    </w:p>
    <w:p w:rsidR="00FA16EA" w:rsidRDefault="00FA16EA" w:rsidP="00FA16EA">
      <w:pPr>
        <w:pStyle w:val="Default"/>
        <w:rPr>
          <w:rFonts w:asciiTheme="minorHAnsi" w:hAnsiTheme="minorHAnsi" w:cstheme="minorHAnsi"/>
          <w:color w:val="auto"/>
          <w:sz w:val="22"/>
          <w:szCs w:val="22"/>
        </w:rPr>
      </w:pPr>
    </w:p>
    <w:p w:rsidR="00FA16EA" w:rsidRPr="00F912FD" w:rsidRDefault="00FA16EA" w:rsidP="00FA16EA">
      <w:pPr>
        <w:spacing w:after="0" w:line="240" w:lineRule="auto"/>
        <w:rPr>
          <w:rFonts w:cstheme="minorHAnsi"/>
          <w:b/>
        </w:rPr>
      </w:pPr>
      <w:r>
        <w:rPr>
          <w:rFonts w:cstheme="minorHAnsi"/>
          <w:b/>
        </w:rPr>
        <w:t>A typical set-up</w:t>
      </w:r>
    </w:p>
    <w:p w:rsidR="00FA16EA" w:rsidRPr="00F912FD" w:rsidRDefault="00FA16EA" w:rsidP="00FA16EA">
      <w:pPr>
        <w:spacing w:after="0" w:line="240" w:lineRule="auto"/>
        <w:rPr>
          <w:rFonts w:cstheme="minorHAnsi"/>
        </w:rPr>
      </w:pPr>
    </w:p>
    <w:p w:rsidR="00FA16EA" w:rsidRDefault="00FA16EA" w:rsidP="00FA16EA">
      <w:pPr>
        <w:numPr>
          <w:ilvl w:val="0"/>
          <w:numId w:val="5"/>
        </w:numPr>
        <w:spacing w:after="0" w:line="240" w:lineRule="auto"/>
        <w:jc w:val="both"/>
        <w:rPr>
          <w:rFonts w:cstheme="minorHAnsi"/>
        </w:rPr>
      </w:pPr>
      <w:bookmarkStart w:id="2" w:name="OLE_LINK1"/>
      <w:bookmarkStart w:id="3" w:name="OLE_LINK2"/>
      <w:r w:rsidRPr="00C55991">
        <w:rPr>
          <w:rFonts w:cstheme="minorHAnsi"/>
          <w:b/>
        </w:rPr>
        <w:t>Identify and convene relevant stakeholders</w:t>
      </w:r>
      <w:r>
        <w:rPr>
          <w:rFonts w:cstheme="minorHAnsi"/>
        </w:rPr>
        <w:t xml:space="preserve"> – the basis of a PGA is that it is inclusive and participatory in nature. Therefore, a first step will be to identify, consult and convene a group of key stakeholders that are involved, have an interest in, or are affected by the REDD+ initiative. </w:t>
      </w:r>
      <w:r>
        <w:rPr>
          <w:rFonts w:cstheme="minorHAnsi"/>
        </w:rPr>
        <w:lastRenderedPageBreak/>
        <w:t xml:space="preserve">Typically, this includes a mix of government representatives (from relevant agencies and sectors), civil society representatives, and academic institutions, and representatives of forest dependent communities. In addition to an </w:t>
      </w:r>
      <w:r w:rsidR="00561130">
        <w:rPr>
          <w:rFonts w:cstheme="minorHAnsi"/>
        </w:rPr>
        <w:t>Advisory Group</w:t>
      </w:r>
      <w:r>
        <w:rPr>
          <w:rFonts w:cstheme="minorHAnsi"/>
        </w:rPr>
        <w:t xml:space="preserve"> (made up of a combination of different stakeholders), a </w:t>
      </w:r>
      <w:r w:rsidR="00DD190D">
        <w:rPr>
          <w:rFonts w:cstheme="minorHAnsi"/>
        </w:rPr>
        <w:t>Research Team</w:t>
      </w:r>
      <w:r>
        <w:rPr>
          <w:rFonts w:cstheme="minorHAnsi"/>
        </w:rPr>
        <w:t xml:space="preserve"> is also set up separately, who, based on the </w:t>
      </w:r>
      <w:r w:rsidR="00DD190D">
        <w:rPr>
          <w:rFonts w:cstheme="minorHAnsi"/>
        </w:rPr>
        <w:t>advi</w:t>
      </w:r>
      <w:r w:rsidR="0012079B">
        <w:rPr>
          <w:rFonts w:cstheme="minorHAnsi"/>
        </w:rPr>
        <w:t>c</w:t>
      </w:r>
      <w:r w:rsidR="00DD190D">
        <w:rPr>
          <w:rFonts w:cstheme="minorHAnsi"/>
        </w:rPr>
        <w:t>e from</w:t>
      </w:r>
      <w:r>
        <w:rPr>
          <w:rFonts w:cstheme="minorHAnsi"/>
        </w:rPr>
        <w:t xml:space="preserve"> the </w:t>
      </w:r>
      <w:r w:rsidR="00561130">
        <w:rPr>
          <w:rFonts w:cstheme="minorHAnsi"/>
        </w:rPr>
        <w:t>Advisory Group</w:t>
      </w:r>
      <w:r w:rsidR="00CC5BE7">
        <w:rPr>
          <w:rFonts w:cstheme="minorHAnsi"/>
        </w:rPr>
        <w:t>,</w:t>
      </w:r>
      <w:r>
        <w:rPr>
          <w:rFonts w:cstheme="minorHAnsi"/>
        </w:rPr>
        <w:t xml:space="preserve"> implement</w:t>
      </w:r>
      <w:r w:rsidR="00CC5BE7">
        <w:rPr>
          <w:rFonts w:cstheme="minorHAnsi"/>
        </w:rPr>
        <w:t>s</w:t>
      </w:r>
      <w:r>
        <w:rPr>
          <w:rFonts w:cstheme="minorHAnsi"/>
        </w:rPr>
        <w:t xml:space="preserve"> the PGA. </w:t>
      </w:r>
    </w:p>
    <w:p w:rsidR="00561130" w:rsidRPr="00C55991" w:rsidRDefault="00561130" w:rsidP="00561130">
      <w:pPr>
        <w:spacing w:after="0" w:line="240" w:lineRule="auto"/>
        <w:ind w:left="720"/>
        <w:jc w:val="both"/>
        <w:rPr>
          <w:rFonts w:cstheme="minorHAnsi"/>
        </w:rPr>
      </w:pPr>
    </w:p>
    <w:p w:rsidR="00FA16EA" w:rsidRDefault="00FA16EA" w:rsidP="00FA16EA">
      <w:pPr>
        <w:numPr>
          <w:ilvl w:val="0"/>
          <w:numId w:val="5"/>
        </w:numPr>
        <w:spacing w:after="0" w:line="240" w:lineRule="auto"/>
        <w:jc w:val="both"/>
        <w:rPr>
          <w:rFonts w:cstheme="minorHAnsi"/>
        </w:rPr>
      </w:pPr>
      <w:r w:rsidRPr="00F912FD">
        <w:rPr>
          <w:rFonts w:cstheme="minorHAnsi"/>
          <w:b/>
        </w:rPr>
        <w:t xml:space="preserve">Identify the </w:t>
      </w:r>
      <w:r>
        <w:rPr>
          <w:rFonts w:cstheme="minorHAnsi"/>
          <w:b/>
        </w:rPr>
        <w:t xml:space="preserve">scope and framework </w:t>
      </w:r>
      <w:r w:rsidRPr="00F912FD">
        <w:rPr>
          <w:rFonts w:cstheme="minorHAnsi"/>
          <w:b/>
        </w:rPr>
        <w:t>of the assessment</w:t>
      </w:r>
      <w:r w:rsidR="00CC5BE7">
        <w:rPr>
          <w:rFonts w:cstheme="minorHAnsi"/>
        </w:rPr>
        <w:t xml:space="preserve"> – what is</w:t>
      </w:r>
      <w:r w:rsidRPr="00F912FD">
        <w:rPr>
          <w:rFonts w:cstheme="minorHAnsi"/>
        </w:rPr>
        <w:t xml:space="preserve"> the objective of t</w:t>
      </w:r>
      <w:r>
        <w:rPr>
          <w:rFonts w:cstheme="minorHAnsi"/>
        </w:rPr>
        <w:t xml:space="preserve">he </w:t>
      </w:r>
      <w:r w:rsidR="00CC5BE7">
        <w:rPr>
          <w:rFonts w:cstheme="minorHAnsi"/>
        </w:rPr>
        <w:t xml:space="preserve">assessment? </w:t>
      </w:r>
      <w:r>
        <w:rPr>
          <w:rFonts w:cstheme="minorHAnsi"/>
        </w:rPr>
        <w:t>(Examples include: I</w:t>
      </w:r>
      <w:r w:rsidRPr="00F912FD">
        <w:rPr>
          <w:rFonts w:cstheme="minorHAnsi"/>
        </w:rPr>
        <w:t xml:space="preserve">s it the </w:t>
      </w:r>
      <w:r w:rsidR="00DD190D">
        <w:rPr>
          <w:rFonts w:cstheme="minorHAnsi"/>
        </w:rPr>
        <w:t>G</w:t>
      </w:r>
      <w:r w:rsidRPr="00F912FD">
        <w:rPr>
          <w:rFonts w:cstheme="minorHAnsi"/>
        </w:rPr>
        <w:t>overnment</w:t>
      </w:r>
      <w:r w:rsidR="00561130">
        <w:rPr>
          <w:rFonts w:cstheme="minorHAnsi"/>
        </w:rPr>
        <w:t xml:space="preserve"> </w:t>
      </w:r>
      <w:r w:rsidRPr="00F912FD">
        <w:rPr>
          <w:rFonts w:cstheme="minorHAnsi"/>
        </w:rPr>
        <w:t>desire to understand the needs and feedback of citizens on</w:t>
      </w:r>
      <w:r>
        <w:rPr>
          <w:rFonts w:cstheme="minorHAnsi"/>
        </w:rPr>
        <w:t xml:space="preserve"> expectations from REDD+? </w:t>
      </w:r>
      <w:r w:rsidRPr="00F912FD">
        <w:rPr>
          <w:rFonts w:cstheme="minorHAnsi"/>
        </w:rPr>
        <w:t>Is it to better understand how services are being delivered at the local level, and where the bottlenecks are? Is to understand the state of governance generally</w:t>
      </w:r>
      <w:r w:rsidR="00CC5BE7">
        <w:rPr>
          <w:rFonts w:cstheme="minorHAnsi"/>
        </w:rPr>
        <w:t>?</w:t>
      </w:r>
      <w:r w:rsidRPr="00F912FD">
        <w:rPr>
          <w:rFonts w:cstheme="minorHAnsi"/>
        </w:rPr>
        <w:t>)</w:t>
      </w:r>
      <w:r>
        <w:rPr>
          <w:rFonts w:cstheme="minorHAnsi"/>
        </w:rPr>
        <w:t xml:space="preserve"> Based on this, a framework </w:t>
      </w:r>
      <w:r w:rsidR="00DD190D">
        <w:rPr>
          <w:rFonts w:cstheme="minorHAnsi"/>
        </w:rPr>
        <w:t>will be identified in</w:t>
      </w:r>
      <w:r>
        <w:rPr>
          <w:rFonts w:cstheme="minorHAnsi"/>
        </w:rPr>
        <w:t xml:space="preserve"> which indicators will be developed. </w:t>
      </w:r>
    </w:p>
    <w:p w:rsidR="00561130" w:rsidRPr="00F912FD" w:rsidRDefault="00561130" w:rsidP="00561130">
      <w:pPr>
        <w:spacing w:after="0" w:line="240" w:lineRule="auto"/>
        <w:jc w:val="both"/>
        <w:rPr>
          <w:rFonts w:cstheme="minorHAnsi"/>
        </w:rPr>
      </w:pPr>
    </w:p>
    <w:p w:rsidR="00FA16EA" w:rsidRDefault="00FA16EA" w:rsidP="00FA16EA">
      <w:pPr>
        <w:numPr>
          <w:ilvl w:val="0"/>
          <w:numId w:val="5"/>
        </w:numPr>
        <w:spacing w:after="0" w:line="240" w:lineRule="auto"/>
        <w:jc w:val="both"/>
        <w:rPr>
          <w:rFonts w:cstheme="minorHAnsi"/>
        </w:rPr>
      </w:pPr>
      <w:r w:rsidRPr="000E6CBC">
        <w:rPr>
          <w:rFonts w:cstheme="minorHAnsi"/>
          <w:b/>
        </w:rPr>
        <w:t xml:space="preserve">Agree on data identification and collection – </w:t>
      </w:r>
      <w:r w:rsidRPr="000E6CBC">
        <w:rPr>
          <w:rFonts w:cstheme="minorHAnsi"/>
        </w:rPr>
        <w:t>agree on the types of qualitative and quantitative data sources to be used. This can include administrative, archival and secondary data, as well as survey data. (In the case of Viet Nam, it may also include the FGM methodology of FAO</w:t>
      </w:r>
      <w:r w:rsidR="00DD190D">
        <w:rPr>
          <w:rFonts w:cstheme="minorHAnsi"/>
        </w:rPr>
        <w:t>)</w:t>
      </w:r>
      <w:r>
        <w:rPr>
          <w:rFonts w:cstheme="minorHAnsi"/>
        </w:rPr>
        <w:t xml:space="preserve">. It will also be necessary to reach an agreement on the data collection methods, such as whether to conduct desk reviews, surveys, target group </w:t>
      </w:r>
      <w:r w:rsidR="00DD190D">
        <w:rPr>
          <w:rFonts w:cstheme="minorHAnsi"/>
        </w:rPr>
        <w:t>discussions, or</w:t>
      </w:r>
      <w:r>
        <w:rPr>
          <w:rFonts w:cstheme="minorHAnsi"/>
        </w:rPr>
        <w:t xml:space="preserve"> a combination of these different elements. The methodologies selected will impact on the timing, as well as the required budget for the process. </w:t>
      </w:r>
    </w:p>
    <w:p w:rsidR="00561130" w:rsidRPr="0052162A" w:rsidRDefault="00561130" w:rsidP="00561130">
      <w:pPr>
        <w:spacing w:after="0" w:line="240" w:lineRule="auto"/>
        <w:jc w:val="both"/>
        <w:rPr>
          <w:rFonts w:cstheme="minorHAnsi"/>
        </w:rPr>
      </w:pPr>
    </w:p>
    <w:p w:rsidR="00FA16EA" w:rsidRDefault="00FA16EA" w:rsidP="00FA16EA">
      <w:pPr>
        <w:numPr>
          <w:ilvl w:val="0"/>
          <w:numId w:val="5"/>
        </w:numPr>
        <w:spacing w:after="0" w:line="240" w:lineRule="auto"/>
        <w:jc w:val="both"/>
        <w:rPr>
          <w:rFonts w:cstheme="minorHAnsi"/>
        </w:rPr>
      </w:pPr>
      <w:r w:rsidRPr="000E6CBC">
        <w:rPr>
          <w:rFonts w:cstheme="minorHAnsi"/>
          <w:b/>
        </w:rPr>
        <w:t>Data analysis –</w:t>
      </w:r>
      <w:r w:rsidRPr="000E6CBC">
        <w:rPr>
          <w:rFonts w:cstheme="minorHAnsi"/>
        </w:rPr>
        <w:t xml:space="preserve"> once the data is collected, it is necessary to use the information and raw data generate to turn into useful information, suggesting conclusions and making recommendations for future decision-making</w:t>
      </w:r>
      <w:r w:rsidR="00CC5BE7">
        <w:rPr>
          <w:rFonts w:cstheme="minorHAnsi"/>
        </w:rPr>
        <w:t>.</w:t>
      </w:r>
      <w:r w:rsidRPr="000E6CBC">
        <w:rPr>
          <w:rFonts w:cstheme="minorHAnsi"/>
        </w:rPr>
        <w:t xml:space="preserve"> It is important to get the procedures for the data analysis agreed upon at the start of the overall assessment process in order to avoid potential manipulation or politicization of the data later on. </w:t>
      </w:r>
    </w:p>
    <w:p w:rsidR="00561130" w:rsidRPr="000E6CBC" w:rsidRDefault="00561130" w:rsidP="00561130">
      <w:pPr>
        <w:spacing w:after="0" w:line="240" w:lineRule="auto"/>
        <w:jc w:val="both"/>
        <w:rPr>
          <w:rFonts w:cstheme="minorHAnsi"/>
        </w:rPr>
      </w:pPr>
    </w:p>
    <w:p w:rsidR="00FA16EA" w:rsidRPr="00F912FD" w:rsidRDefault="00FA16EA" w:rsidP="00FA16EA">
      <w:pPr>
        <w:numPr>
          <w:ilvl w:val="0"/>
          <w:numId w:val="5"/>
        </w:numPr>
        <w:spacing w:after="0" w:line="240" w:lineRule="auto"/>
        <w:jc w:val="both"/>
        <w:rPr>
          <w:rFonts w:cstheme="minorHAnsi"/>
        </w:rPr>
      </w:pPr>
      <w:r w:rsidRPr="00F912FD">
        <w:rPr>
          <w:rFonts w:cstheme="minorHAnsi"/>
          <w:b/>
        </w:rPr>
        <w:t>Data presentation and dissemination</w:t>
      </w:r>
      <w:r w:rsidRPr="00F912FD">
        <w:rPr>
          <w:rFonts w:cstheme="minorHAnsi"/>
        </w:rPr>
        <w:t xml:space="preserve"> – the accessibility and transparency of the information generated from the assessment is a critical component of the assessment process. Communicating the results of the assessment is in itself an element of strengthening the democratic process. There are many options to be considered for disseminating the information, including producing papers, launching a website, holding dialogues or workshops, public launch of the results etc. Once again, this depends very much in the priorities, purpose and intended outcome of the assessment process. </w:t>
      </w:r>
    </w:p>
    <w:bookmarkEnd w:id="2"/>
    <w:bookmarkEnd w:id="3"/>
    <w:p w:rsidR="00FA16EA" w:rsidRDefault="00FA16EA" w:rsidP="00FA16EA">
      <w:pPr>
        <w:rPr>
          <w:sz w:val="28"/>
        </w:rPr>
      </w:pPr>
    </w:p>
    <w:p w:rsidR="00FA16EA" w:rsidRDefault="00FA16EA" w:rsidP="00FA16EA">
      <w:pPr>
        <w:rPr>
          <w:sz w:val="28"/>
        </w:rPr>
      </w:pPr>
    </w:p>
    <w:p w:rsidR="00FA16EA" w:rsidRDefault="00FA16EA" w:rsidP="00FA16EA">
      <w:pPr>
        <w:pStyle w:val="Heading3"/>
        <w:numPr>
          <w:ilvl w:val="0"/>
          <w:numId w:val="6"/>
        </w:numPr>
        <w:jc w:val="center"/>
      </w:pPr>
      <w:r>
        <w:t>Possible application of PGA on REDD+ in Viet Nam</w:t>
      </w:r>
    </w:p>
    <w:p w:rsidR="00FA16EA" w:rsidRDefault="00FA16EA" w:rsidP="00FA16EA">
      <w:pPr>
        <w:rPr>
          <w:sz w:val="28"/>
        </w:rPr>
      </w:pPr>
    </w:p>
    <w:p w:rsidR="00FA16EA" w:rsidRPr="008412BF" w:rsidRDefault="00FA16EA" w:rsidP="00FA16EA">
      <w:pPr>
        <w:pStyle w:val="ListParagraph"/>
        <w:numPr>
          <w:ilvl w:val="0"/>
          <w:numId w:val="8"/>
        </w:numPr>
        <w:rPr>
          <w:b/>
          <w:sz w:val="24"/>
          <w:szCs w:val="24"/>
        </w:rPr>
      </w:pPr>
      <w:r w:rsidRPr="008412BF">
        <w:rPr>
          <w:b/>
          <w:sz w:val="24"/>
          <w:szCs w:val="24"/>
        </w:rPr>
        <w:t>Identifying the scope of the PGA</w:t>
      </w:r>
      <w:r>
        <w:rPr>
          <w:b/>
          <w:sz w:val="24"/>
          <w:szCs w:val="24"/>
        </w:rPr>
        <w:t xml:space="preserve"> in Viet Nam </w:t>
      </w:r>
    </w:p>
    <w:p w:rsidR="00FA16EA" w:rsidRPr="00E86ED0" w:rsidRDefault="00FA16EA" w:rsidP="00FA16EA">
      <w:pPr>
        <w:rPr>
          <w:i/>
          <w:sz w:val="20"/>
          <w:szCs w:val="20"/>
        </w:rPr>
      </w:pPr>
      <w:r>
        <w:rPr>
          <w:i/>
          <w:sz w:val="20"/>
          <w:szCs w:val="20"/>
        </w:rPr>
        <w:t xml:space="preserve">The thematic and geographical scope of the PGA will be identified by </w:t>
      </w:r>
      <w:r w:rsidR="00DD190D">
        <w:rPr>
          <w:i/>
          <w:sz w:val="20"/>
          <w:szCs w:val="20"/>
        </w:rPr>
        <w:t>a</w:t>
      </w:r>
      <w:r>
        <w:rPr>
          <w:i/>
          <w:sz w:val="20"/>
          <w:szCs w:val="20"/>
        </w:rPr>
        <w:t xml:space="preserve"> group of multiple stakeholders. However, in order to facilitate discussion at the workshop, the following points are being proposed as possible discussion points: </w:t>
      </w:r>
    </w:p>
    <w:p w:rsidR="00FA16EA" w:rsidRDefault="00FA16EA" w:rsidP="00FA16EA">
      <w:pPr>
        <w:spacing w:after="0" w:line="240" w:lineRule="auto"/>
        <w:rPr>
          <w:b/>
        </w:rPr>
      </w:pPr>
      <w:r w:rsidRPr="000F6855">
        <w:rPr>
          <w:b/>
        </w:rPr>
        <w:t xml:space="preserve">Thematic </w:t>
      </w:r>
      <w:r>
        <w:rPr>
          <w:b/>
        </w:rPr>
        <w:t>and geographical scope</w:t>
      </w:r>
    </w:p>
    <w:p w:rsidR="00FA16EA" w:rsidRPr="000F6855" w:rsidRDefault="00FA16EA" w:rsidP="00FA16EA">
      <w:pPr>
        <w:spacing w:after="0" w:line="240" w:lineRule="auto"/>
        <w:rPr>
          <w:b/>
        </w:rPr>
      </w:pPr>
    </w:p>
    <w:p w:rsidR="0053141C" w:rsidRPr="00561130" w:rsidRDefault="00FA16EA" w:rsidP="00561130">
      <w:pPr>
        <w:jc w:val="both"/>
        <w:rPr>
          <w:color w:val="292526"/>
        </w:rPr>
      </w:pPr>
      <w:r>
        <w:lastRenderedPageBreak/>
        <w:t xml:space="preserve">Most </w:t>
      </w:r>
      <w:r w:rsidR="00CC5BE7">
        <w:t xml:space="preserve">policy </w:t>
      </w:r>
      <w:r w:rsidRPr="00C7302B">
        <w:t xml:space="preserve">discussions on REDD+ happen </w:t>
      </w:r>
      <w:r>
        <w:t>far away from</w:t>
      </w:r>
      <w:r w:rsidR="00561130">
        <w:t xml:space="preserve"> </w:t>
      </w:r>
      <w:r>
        <w:t xml:space="preserve">forest-dependent </w:t>
      </w:r>
      <w:r w:rsidR="00DD190D">
        <w:t>communities</w:t>
      </w:r>
      <w:r w:rsidR="00D66FDC">
        <w:t xml:space="preserve">, of which many are </w:t>
      </w:r>
      <w:r>
        <w:t>Indigenous People</w:t>
      </w:r>
      <w:r w:rsidR="00561130">
        <w:t>.</w:t>
      </w:r>
      <w:r>
        <w:t xml:space="preserve"> It is important to state that IPs have rights, cultural and social affiliations to the land, and all stakeholders involved in the REDD+ process have an obligation to recognize and protect these rights. Given that the REDD+ implementation will impact </w:t>
      </w:r>
      <w:r w:rsidR="00D66FDC">
        <w:t xml:space="preserve">forest dependent communities </w:t>
      </w:r>
      <w:r>
        <w:t>the most, it may seem logical to focus on this group of stakeholder</w:t>
      </w:r>
      <w:r w:rsidR="00593A93">
        <w:t>s.</w:t>
      </w:r>
      <w:r>
        <w:t xml:space="preserve"> The internationally recognized principle of Free, Prior, and Informed Consent </w:t>
      </w:r>
      <w:r w:rsidR="0012079B">
        <w:t xml:space="preserve">is an entry point to address </w:t>
      </w:r>
      <w:r w:rsidR="00561130">
        <w:t>s</w:t>
      </w:r>
      <w:r w:rsidR="0012079B">
        <w:t>uch issues. For instance</w:t>
      </w:r>
      <w:r>
        <w:t>:  “</w:t>
      </w:r>
      <w:r w:rsidRPr="00561130">
        <w:rPr>
          <w:color w:val="292526"/>
        </w:rPr>
        <w:t>(i) information about and consultation on any proposed initiative and its likely impacts; (ii) meaningful participation of indigenous peoples; and, (iii) representative institutions.”</w:t>
      </w:r>
      <w:r>
        <w:rPr>
          <w:rStyle w:val="FootnoteReference"/>
          <w:color w:val="292526"/>
        </w:rPr>
        <w:footnoteReference w:id="2"/>
      </w:r>
      <w:r w:rsidR="00593A93">
        <w:rPr>
          <w:color w:val="292526"/>
        </w:rPr>
        <w:t xml:space="preserve"> </w:t>
      </w:r>
      <w:r w:rsidR="00C8577C" w:rsidRPr="00561130">
        <w:rPr>
          <w:color w:val="292526"/>
        </w:rPr>
        <w:t xml:space="preserve">Several stakeholders, both representing the Government of Vietnam and national NGOs, </w:t>
      </w:r>
      <w:r w:rsidR="00593A93" w:rsidRPr="00561130">
        <w:rPr>
          <w:color w:val="292526"/>
        </w:rPr>
        <w:t xml:space="preserve">expressed </w:t>
      </w:r>
      <w:r w:rsidR="00C8577C" w:rsidRPr="00561130">
        <w:rPr>
          <w:color w:val="292526"/>
        </w:rPr>
        <w:t xml:space="preserve">at a workshop organized through FAO and MARD’s project Forest Governance Monitoring in Hanoi 13 January 2012, the importance to focus on participation of forest dependent communities in local decision making processes, </w:t>
      </w:r>
      <w:r w:rsidR="00A5057F" w:rsidRPr="00561130">
        <w:rPr>
          <w:color w:val="292526"/>
        </w:rPr>
        <w:t>and</w:t>
      </w:r>
      <w:r w:rsidR="00593A93">
        <w:rPr>
          <w:color w:val="292526"/>
        </w:rPr>
        <w:t xml:space="preserve"> </w:t>
      </w:r>
      <w:r w:rsidR="00A5057F" w:rsidRPr="00561130">
        <w:rPr>
          <w:color w:val="292526"/>
        </w:rPr>
        <w:t>downward accountability. This topic should be strongly considered for the PGA.</w:t>
      </w:r>
    </w:p>
    <w:p w:rsidR="00FA16EA" w:rsidRPr="00CC5BE7" w:rsidRDefault="005D00B7" w:rsidP="00CC5BE7">
      <w:pPr>
        <w:jc w:val="both"/>
        <w:rPr>
          <w:rFonts w:cstheme="minorHAnsi"/>
          <w:lang w:val="en-GB"/>
        </w:rPr>
      </w:pPr>
      <w:r w:rsidRPr="00561130">
        <w:rPr>
          <w:rFonts w:cstheme="minorHAnsi"/>
          <w:color w:val="292526"/>
        </w:rPr>
        <w:t>Another potential area that the PGA coul</w:t>
      </w:r>
      <w:r w:rsidR="00AE2F36" w:rsidRPr="00561130">
        <w:rPr>
          <w:rFonts w:cstheme="minorHAnsi"/>
          <w:color w:val="292526"/>
        </w:rPr>
        <w:t xml:space="preserve">d address is whether there are </w:t>
      </w:r>
      <w:r w:rsidR="00AE2F36" w:rsidRPr="00561130">
        <w:rPr>
          <w:rFonts w:cstheme="minorHAnsi"/>
          <w:lang w:val="en-GB"/>
        </w:rPr>
        <w:t>opportunities</w:t>
      </w:r>
      <w:r w:rsidRPr="00561130">
        <w:rPr>
          <w:rFonts w:cstheme="minorHAnsi"/>
          <w:lang w:val="en-GB"/>
        </w:rPr>
        <w:t xml:space="preserve"> for civil society and forest-dependent communities to participate in decision-making processes related to REDD+. The assessment could examine the existence and effectiveness of mechanisms</w:t>
      </w:r>
      <w:r w:rsidR="00A5057F" w:rsidRPr="00561130">
        <w:rPr>
          <w:rFonts w:cstheme="minorHAnsi"/>
          <w:lang w:val="en-GB"/>
        </w:rPr>
        <w:t xml:space="preserve"> that are already in place for meaningful and broad stakeholder participation, or identify potential addit</w:t>
      </w:r>
      <w:r w:rsidR="00CC5BE7">
        <w:rPr>
          <w:rFonts w:cstheme="minorHAnsi"/>
          <w:lang w:val="en-GB"/>
        </w:rPr>
        <w:t>ions to make it more effective.</w:t>
      </w:r>
      <w:r w:rsidR="00AE2F36" w:rsidRPr="00561130">
        <w:rPr>
          <w:rFonts w:cstheme="minorHAnsi"/>
          <w:lang w:val="en-GB"/>
        </w:rPr>
        <w:t xml:space="preserve"> Some of the issues that could be explored here is the extent to which communities are organised and engage with their local representatives to express their thoughts on issues that impact them. Similarly, it may also be useful to look at the ways in which these are taken into account in policy and other decision-making processes. </w:t>
      </w:r>
    </w:p>
    <w:p w:rsidR="00FA16EA" w:rsidRDefault="00FA16EA" w:rsidP="00FA16EA">
      <w:pPr>
        <w:jc w:val="both"/>
      </w:pPr>
      <w:r w:rsidRPr="00C7302B">
        <w:t xml:space="preserve">Although inputs from a vast array of stakeholders will inform the decision on the site selection of the PGA, one possible option would be to look at </w:t>
      </w:r>
      <w:r w:rsidR="00561130">
        <w:t xml:space="preserve">one of </w:t>
      </w:r>
      <w:r w:rsidRPr="00C7302B">
        <w:t>the six pilot provinces (Bac</w:t>
      </w:r>
      <w:r w:rsidR="00561130">
        <w:t xml:space="preserve"> K</w:t>
      </w:r>
      <w:r w:rsidRPr="00C7302B">
        <w:t xml:space="preserve">an, Lao Cai, </w:t>
      </w:r>
      <w:r w:rsidR="00784E20">
        <w:t>Binh Tuan</w:t>
      </w:r>
      <w:r w:rsidRPr="00C7302B">
        <w:t xml:space="preserve">, </w:t>
      </w:r>
      <w:r w:rsidR="00784E20">
        <w:t>Ca Mau</w:t>
      </w:r>
      <w:r w:rsidRPr="00C7302B">
        <w:t xml:space="preserve">, Ha Tinh, and Lam Dong) for UN-REDD Phase 2. The Government of Viet Nam is currently looking to align all REDD+ initiatives and projects from different donors under the National REDD Programme (NRP). </w:t>
      </w:r>
      <w:r w:rsidR="00A240E4">
        <w:t>It would also be</w:t>
      </w:r>
      <w:r w:rsidR="00561130">
        <w:t xml:space="preserve"> important to consider </w:t>
      </w:r>
      <w:r w:rsidR="00A240E4">
        <w:t xml:space="preserve">the province </w:t>
      </w:r>
      <w:r w:rsidR="00561130">
        <w:t xml:space="preserve">in which </w:t>
      </w:r>
      <w:r w:rsidR="00A240E4">
        <w:t>province t</w:t>
      </w:r>
      <w:r w:rsidR="00561130">
        <w:t xml:space="preserve">he sub-contracted national NGO </w:t>
      </w:r>
      <w:r w:rsidR="00A240E4">
        <w:t xml:space="preserve">has a presence and established trust with REDD+ stakeholders. </w:t>
      </w:r>
      <w:r>
        <w:t xml:space="preserve">In </w:t>
      </w:r>
      <w:r w:rsidR="00784E20">
        <w:t xml:space="preserve">the </w:t>
      </w:r>
      <w:r>
        <w:t xml:space="preserve">first </w:t>
      </w:r>
      <w:r w:rsidR="00784E20">
        <w:t xml:space="preserve">preparatory </w:t>
      </w:r>
      <w:r>
        <w:t>phase</w:t>
      </w:r>
      <w:r w:rsidRPr="00C7302B">
        <w:t xml:space="preserve"> the PGA could look at </w:t>
      </w:r>
      <w:r w:rsidR="00784E20">
        <w:t>one</w:t>
      </w:r>
      <w:r w:rsidRPr="00C7302B">
        <w:t xml:space="preserve"> province</w:t>
      </w:r>
      <w:r>
        <w:t xml:space="preserve">, and then expand to </w:t>
      </w:r>
      <w:r w:rsidR="00784E20">
        <w:t>other</w:t>
      </w:r>
      <w:r>
        <w:t xml:space="preserve"> pilot provinces thereafter</w:t>
      </w:r>
      <w:r w:rsidRPr="00C7302B">
        <w:t xml:space="preserve">. </w:t>
      </w:r>
    </w:p>
    <w:p w:rsidR="00FA16EA" w:rsidRDefault="00FA16EA" w:rsidP="00FA16EA">
      <w:pPr>
        <w:spacing w:after="0" w:line="240" w:lineRule="auto"/>
      </w:pPr>
    </w:p>
    <w:p w:rsidR="00FA16EA" w:rsidRDefault="00FA16EA" w:rsidP="00FA16EA">
      <w:pPr>
        <w:spacing w:after="0" w:line="240" w:lineRule="auto"/>
      </w:pPr>
    </w:p>
    <w:p w:rsidR="00FA16EA" w:rsidRPr="008412BF" w:rsidRDefault="00FA16EA" w:rsidP="00FA16EA">
      <w:pPr>
        <w:pStyle w:val="ListParagraph"/>
        <w:numPr>
          <w:ilvl w:val="0"/>
          <w:numId w:val="8"/>
        </w:numPr>
        <w:rPr>
          <w:b/>
          <w:sz w:val="24"/>
          <w:szCs w:val="24"/>
        </w:rPr>
      </w:pPr>
      <w:r w:rsidRPr="008412BF">
        <w:rPr>
          <w:b/>
          <w:sz w:val="24"/>
          <w:szCs w:val="24"/>
        </w:rPr>
        <w:t>How could the PGA fit into Viet Nam’s relevant strategies on REDD+, already existing stakeholder fora and information sharing systems?</w:t>
      </w:r>
    </w:p>
    <w:p w:rsidR="00FA16EA" w:rsidRDefault="00FA16EA" w:rsidP="00FA16EA">
      <w:pPr>
        <w:rPr>
          <w:b/>
          <w:i/>
        </w:rPr>
      </w:pPr>
    </w:p>
    <w:p w:rsidR="00C921FF" w:rsidRPr="00297A81" w:rsidRDefault="00C921FF" w:rsidP="00C921FF">
      <w:pPr>
        <w:rPr>
          <w:b/>
        </w:rPr>
      </w:pPr>
      <w:r w:rsidRPr="00297A81">
        <w:rPr>
          <w:b/>
        </w:rPr>
        <w:t>National REDD+ Programme</w:t>
      </w:r>
    </w:p>
    <w:p w:rsidR="00C921FF" w:rsidRDefault="00C921FF" w:rsidP="00C921FF">
      <w:pPr>
        <w:pStyle w:val="ListParagraph"/>
        <w:ind w:left="0"/>
        <w:jc w:val="both"/>
      </w:pPr>
      <w:r>
        <w:lastRenderedPageBreak/>
        <w:t>The</w:t>
      </w:r>
      <w:r w:rsidRPr="00FF5A98">
        <w:t xml:space="preserve"> planned National REDD+ Programme</w:t>
      </w:r>
      <w:r>
        <w:t xml:space="preserve"> (NRP)</w:t>
      </w:r>
      <w:r w:rsidRPr="00FF5A98">
        <w:t xml:space="preserve"> serves as the key institutional instrument for integrating governance monitoring on REDD+. Although the NRP </w:t>
      </w:r>
      <w:r>
        <w:t xml:space="preserve">as per February 2012 </w:t>
      </w:r>
      <w:r w:rsidRPr="00FF5A98">
        <w:t xml:space="preserve">is still in the shaping phase, the PGA could play a key part in informing the Government of Viet Nam on which governance topics and challenges that stakeholders find to be most pressing. Once the NRP has been shared with the wider group of stakeholders it will be key to identify the specific entry points for a PGA into Viet Nam’s institutional REDD+ structure. REDD+ safeguards would need to be elaborated further in the NRP, and will help to inform the PGA on the institutionalizing of those safeguards in Viet Nam. </w:t>
      </w:r>
    </w:p>
    <w:p w:rsidR="00C921FF" w:rsidRDefault="00C921FF" w:rsidP="00C921FF">
      <w:pPr>
        <w:rPr>
          <w:b/>
          <w:bCs/>
          <w:i/>
          <w:iCs/>
        </w:rPr>
      </w:pPr>
    </w:p>
    <w:p w:rsidR="00C921FF" w:rsidRPr="00297A81" w:rsidRDefault="00C921FF" w:rsidP="00C921FF">
      <w:pPr>
        <w:rPr>
          <w:b/>
          <w:bCs/>
          <w:iCs/>
        </w:rPr>
      </w:pPr>
      <w:r w:rsidRPr="00297A81">
        <w:rPr>
          <w:b/>
          <w:bCs/>
          <w:iCs/>
        </w:rPr>
        <w:t>The National REDD Network</w:t>
      </w:r>
      <w:r>
        <w:rPr>
          <w:b/>
          <w:bCs/>
          <w:iCs/>
        </w:rPr>
        <w:t xml:space="preserve">’s sub-technical Working Group </w:t>
      </w:r>
      <w:r w:rsidRPr="00297A81">
        <w:rPr>
          <w:b/>
          <w:bCs/>
          <w:iCs/>
        </w:rPr>
        <w:t>on Governance</w:t>
      </w:r>
    </w:p>
    <w:p w:rsidR="00C921FF" w:rsidRPr="00FF5A98" w:rsidRDefault="00C921FF" w:rsidP="00C921FF">
      <w:pPr>
        <w:jc w:val="both"/>
      </w:pPr>
      <w:r w:rsidRPr="00FF5A98">
        <w:t xml:space="preserve">The National REDD Network is by definition an open group for all stakeholders interested in REDD+ </w:t>
      </w:r>
      <w:r>
        <w:t>in Viet Nam. The sub-technical working g</w:t>
      </w:r>
      <w:r w:rsidRPr="00FF5A98">
        <w:t xml:space="preserve">roups </w:t>
      </w:r>
      <w:r>
        <w:t xml:space="preserve">(STWG) </w:t>
      </w:r>
      <w:r w:rsidRPr="00FF5A98">
        <w:t xml:space="preserve">under the main body convene meetings on a more frequent basis, where stakeholders working under each topic, such as MRV, BDS and Local Implementation gather to discuss and share information. The STWG have also been used for national level consultations on elements in the National REDD+ Programme. A STWG on Governance was formally established in 2011. As precedence from the other STWG, the STWG on Governance is co-chaired by a Government representative and representative from civil society. </w:t>
      </w:r>
    </w:p>
    <w:p w:rsidR="00C921FF" w:rsidRDefault="00C921FF" w:rsidP="00FA16EA">
      <w:pPr>
        <w:rPr>
          <w:b/>
        </w:rPr>
      </w:pPr>
    </w:p>
    <w:p w:rsidR="00FA16EA" w:rsidRPr="00297A81" w:rsidRDefault="00FA16EA" w:rsidP="00FA16EA">
      <w:pPr>
        <w:rPr>
          <w:b/>
        </w:rPr>
      </w:pPr>
      <w:r w:rsidRPr="00297A81">
        <w:rPr>
          <w:b/>
        </w:rPr>
        <w:t>Forest Development Strategy</w:t>
      </w:r>
    </w:p>
    <w:p w:rsidR="00BC0C5B" w:rsidRDefault="00CC5BE7" w:rsidP="00A320B1">
      <w:pPr>
        <w:pStyle w:val="ListParagraph"/>
        <w:ind w:left="0"/>
        <w:jc w:val="both"/>
      </w:pPr>
      <w:r>
        <w:t>The</w:t>
      </w:r>
      <w:r w:rsidR="00FA16EA" w:rsidRPr="00FF5A98">
        <w:t xml:space="preserve"> Forest Development Strategy</w:t>
      </w:r>
      <w:r w:rsidR="00FA16EA">
        <w:t xml:space="preserve"> (FDS)</w:t>
      </w:r>
      <w:r w:rsidR="00FA16EA" w:rsidRPr="00FF5A98">
        <w:t xml:space="preserve"> </w:t>
      </w:r>
      <w:r>
        <w:t>out</w:t>
      </w:r>
      <w:r w:rsidR="00FA16EA" w:rsidRPr="00FF5A98">
        <w:t xml:space="preserve">lines a monitoring framework in which indicators for forest monitoring will be implemented and followed up. Although REDD+ is just one part of the bigger forestry </w:t>
      </w:r>
      <w:r w:rsidR="00FA16EA">
        <w:t xml:space="preserve">picture </w:t>
      </w:r>
      <w:r w:rsidR="00FA16EA" w:rsidRPr="00FF5A98">
        <w:t>in Viet Nam, there should be room to integrate REDD+ governance as one of the possible entry points in the monitoring framewo</w:t>
      </w:r>
      <w:r w:rsidR="00FA16EA">
        <w:t xml:space="preserve">rk. It </w:t>
      </w:r>
      <w:r>
        <w:t xml:space="preserve">would also matter what </w:t>
      </w:r>
      <w:r w:rsidR="00FA16EA">
        <w:t>FAO’s</w:t>
      </w:r>
      <w:r w:rsidR="00FA16EA" w:rsidRPr="00FF5A98">
        <w:t xml:space="preserve"> F</w:t>
      </w:r>
      <w:r w:rsidR="00FA16EA">
        <w:t xml:space="preserve">orest </w:t>
      </w:r>
      <w:r w:rsidR="00FA16EA" w:rsidRPr="00FF5A98">
        <w:t>G</w:t>
      </w:r>
      <w:r w:rsidR="00FA16EA">
        <w:t xml:space="preserve">overnance </w:t>
      </w:r>
      <w:r w:rsidR="00FA16EA" w:rsidRPr="00FF5A98">
        <w:t>M</w:t>
      </w:r>
      <w:r w:rsidR="00FA16EA">
        <w:t>onitoring</w:t>
      </w:r>
      <w:r w:rsidR="00FA16EA" w:rsidRPr="00FF5A98">
        <w:t xml:space="preserve"> initiative </w:t>
      </w:r>
      <w:r>
        <w:t xml:space="preserve">would chose as the </w:t>
      </w:r>
      <w:r w:rsidR="00FA16EA" w:rsidRPr="00FF5A98">
        <w:t>entry point for their capacity building activities on up</w:t>
      </w:r>
      <w:r w:rsidR="00FA16EA">
        <w:t>-</w:t>
      </w:r>
      <w:r w:rsidR="00FA16EA" w:rsidRPr="00FF5A98">
        <w:t>scaled forestry governance monitoring. The General Statistics Office (GSO) was tasked to establish the monitoring framework in close collaboration with MARD</w:t>
      </w:r>
      <w:r w:rsidR="00FA16EA">
        <w:rPr>
          <w:rStyle w:val="FootnoteReference"/>
        </w:rPr>
        <w:footnoteReference w:id="3"/>
      </w:r>
      <w:r w:rsidR="00FA16EA" w:rsidRPr="00FF5A98">
        <w:t xml:space="preserve"> and VNForest. </w:t>
      </w:r>
    </w:p>
    <w:p w:rsidR="00FA16EA" w:rsidRDefault="00FA16EA" w:rsidP="00FA16EA">
      <w:pPr>
        <w:pStyle w:val="ListParagraph"/>
      </w:pPr>
    </w:p>
    <w:p w:rsidR="00FA16EA" w:rsidRPr="00297A81" w:rsidRDefault="00FA16EA" w:rsidP="00FA16EA">
      <w:pPr>
        <w:rPr>
          <w:b/>
          <w:bCs/>
          <w:iCs/>
        </w:rPr>
      </w:pPr>
      <w:r w:rsidRPr="00297A81">
        <w:rPr>
          <w:b/>
          <w:bCs/>
          <w:iCs/>
        </w:rPr>
        <w:t>Forest Sector Support Partnership</w:t>
      </w:r>
    </w:p>
    <w:p w:rsidR="00FA16EA" w:rsidRDefault="00FA16EA" w:rsidP="00FA16EA">
      <w:pPr>
        <w:jc w:val="both"/>
      </w:pPr>
      <w:r w:rsidRPr="00FF5A98">
        <w:t>The main stakeholder forum on forestry issues is the Forest Sector Support Partnership (FSSP). The FSSP is also the national stakeholder forum that MARD and VNForest look to when discussing elements in the Forest Dev</w:t>
      </w:r>
      <w:r w:rsidR="00A240E4">
        <w:t xml:space="preserve">elopment Strategy. </w:t>
      </w:r>
      <w:r w:rsidR="00BD453F">
        <w:t>FSSP is a good</w:t>
      </w:r>
      <w:r w:rsidRPr="00FF5A98">
        <w:t xml:space="preserve"> alternative to the STWG on Governance</w:t>
      </w:r>
      <w:r>
        <w:t xml:space="preserve"> to secure</w:t>
      </w:r>
      <w:r w:rsidRPr="00FF5A98">
        <w:t xml:space="preserve"> stakeholder ownership of the PGA. It should be noted that both the FSSP and the STWG on Governance as they are described above, are stakeholder forums </w:t>
      </w:r>
      <w:r w:rsidR="00AE2F36">
        <w:t>at</w:t>
      </w:r>
      <w:bookmarkStart w:id="4" w:name="_GoBack"/>
      <w:bookmarkEnd w:id="4"/>
      <w:r w:rsidR="00BD453F">
        <w:t xml:space="preserve"> national level</w:t>
      </w:r>
      <w:r w:rsidRPr="00FF5A98">
        <w:t xml:space="preserve">. </w:t>
      </w:r>
    </w:p>
    <w:p w:rsidR="00FA16EA" w:rsidRPr="001B1C2E" w:rsidRDefault="00FA16EA" w:rsidP="00FA16EA">
      <w:pPr>
        <w:jc w:val="both"/>
        <w:rPr>
          <w:b/>
        </w:rPr>
      </w:pPr>
    </w:p>
    <w:p w:rsidR="00FA16EA" w:rsidRPr="001C39A6" w:rsidRDefault="00FA16EA" w:rsidP="00FA16EA">
      <w:pPr>
        <w:jc w:val="both"/>
        <w:rPr>
          <w:b/>
        </w:rPr>
      </w:pPr>
      <w:r>
        <w:rPr>
          <w:b/>
        </w:rPr>
        <w:lastRenderedPageBreak/>
        <w:t>Alignment with</w:t>
      </w:r>
      <w:r w:rsidRPr="001C39A6">
        <w:rPr>
          <w:b/>
        </w:rPr>
        <w:t xml:space="preserve"> existing information sharing systems</w:t>
      </w:r>
    </w:p>
    <w:p w:rsidR="00FA16EA" w:rsidRDefault="00FA16EA" w:rsidP="00FA16EA">
      <w:pPr>
        <w:jc w:val="both"/>
        <w:rPr>
          <w:lang w:val="fi-FI"/>
        </w:rPr>
      </w:pPr>
      <w:r>
        <w:t>As mentioned, an idea worth considering is for the PGA to link up with the existing monitoring system under the Vietnam Forest Development Strategy. Furthermore, it is worth considering how to utilize the information sharing system that the Finland and TFF (Trust Fund for Forest) – funded FORMIS (Forest Management Information System) project is developing. Specifically, the FORMIS project aims to establish a “</w:t>
      </w:r>
      <w:r w:rsidRPr="00796B9C">
        <w:rPr>
          <w:lang w:val="fi-FI"/>
        </w:rPr>
        <w:t>modern information system from central to local level in order to provide accurate information for making decisions in forestry”.</w:t>
      </w:r>
      <w:r>
        <w:rPr>
          <w:lang w:val="fi-FI"/>
        </w:rPr>
        <w:t xml:space="preserve"> Should the UN-REDD Phase 2 materialize the PGA would also need to take into account the establishement of a National REDD Information System.</w:t>
      </w:r>
    </w:p>
    <w:p w:rsidR="00BD453F" w:rsidRPr="0052162A" w:rsidRDefault="00BD453F" w:rsidP="00BD453F">
      <w:pPr>
        <w:tabs>
          <w:tab w:val="left" w:pos="7300"/>
        </w:tabs>
        <w:rPr>
          <w:b/>
          <w:bCs/>
        </w:rPr>
      </w:pPr>
      <w:r>
        <w:rPr>
          <w:b/>
        </w:rPr>
        <w:t>Who could</w:t>
      </w:r>
      <w:r w:rsidRPr="0052162A">
        <w:rPr>
          <w:b/>
        </w:rPr>
        <w:t xml:space="preserve"> be responsible for assuring government ownership</w:t>
      </w:r>
      <w:r>
        <w:rPr>
          <w:b/>
        </w:rPr>
        <w:t>?</w:t>
      </w:r>
      <w:r w:rsidRPr="0052162A">
        <w:rPr>
          <w:b/>
        </w:rPr>
        <w:tab/>
      </w:r>
    </w:p>
    <w:p w:rsidR="00FA16EA" w:rsidRPr="00171036" w:rsidRDefault="00BD453F" w:rsidP="00FA16EA">
      <w:pPr>
        <w:jc w:val="both"/>
      </w:pPr>
      <w:r>
        <w:t>T</w:t>
      </w:r>
      <w:r w:rsidRPr="00A52A65">
        <w:t xml:space="preserve">he Forest Protection Department (FPD) under MARD </w:t>
      </w:r>
      <w:r>
        <w:t>has already expressed strong interest to take lead from the g</w:t>
      </w:r>
      <w:r w:rsidRPr="00A52A65">
        <w:t>overn</w:t>
      </w:r>
      <w:r>
        <w:t>ment’s</w:t>
      </w:r>
      <w:r w:rsidRPr="00A52A65">
        <w:t xml:space="preserve"> side. FPD is also co-chairing the STWG on Governance as well as leading the Working Group of the Timber Legality Assurance System (TLAS) under FLEGT, which would </w:t>
      </w:r>
      <w:r>
        <w:t xml:space="preserve">ensure </w:t>
      </w:r>
      <w:r w:rsidRPr="00A52A65">
        <w:t>secure coordination.</w:t>
      </w:r>
      <w:r>
        <w:t xml:space="preserve"> Operationally, FPD could constitute one of the members in the Advisory Group.</w:t>
      </w:r>
    </w:p>
    <w:p w:rsidR="00FA16EA" w:rsidRPr="0012079B" w:rsidRDefault="007F27BC" w:rsidP="00FA16EA">
      <w:pPr>
        <w:rPr>
          <w:b/>
        </w:rPr>
      </w:pPr>
      <w:r w:rsidRPr="0012079B">
        <w:rPr>
          <w:b/>
        </w:rPr>
        <w:t>Management and Implementation Arrangements</w:t>
      </w:r>
    </w:p>
    <w:p w:rsidR="00FA16EA" w:rsidRDefault="00FA16EA" w:rsidP="00FA16EA">
      <w:pPr>
        <w:jc w:val="both"/>
      </w:pPr>
      <w:r>
        <w:t xml:space="preserve">After the scope of the PGA has been decided, a formal structure would need to be in place. </w:t>
      </w:r>
      <w:r w:rsidR="00BD453F">
        <w:t>Following models from the PGA in Indonesia as well as the Provincial Governance and Public Administration Index (PAPI) project in Vietnam, the management structure could look the following way</w:t>
      </w:r>
      <w:r>
        <w:t>:</w:t>
      </w:r>
    </w:p>
    <w:p w:rsidR="00A240E4" w:rsidRDefault="00A240E4" w:rsidP="00A240E4">
      <w:pPr>
        <w:jc w:val="both"/>
        <w:rPr>
          <w:bCs/>
        </w:rPr>
      </w:pPr>
      <w:r w:rsidRPr="00951C46">
        <w:rPr>
          <w:b/>
          <w:bCs/>
          <w:u w:val="single"/>
        </w:rPr>
        <w:t>Research Team</w:t>
      </w:r>
      <w:r>
        <w:rPr>
          <w:b/>
          <w:bCs/>
        </w:rPr>
        <w:t xml:space="preserve"> </w:t>
      </w:r>
      <w:r w:rsidRPr="0012079B">
        <w:rPr>
          <w:bCs/>
        </w:rPr>
        <w:t>–</w:t>
      </w:r>
      <w:r>
        <w:rPr>
          <w:bCs/>
        </w:rPr>
        <w:t xml:space="preserve"> </w:t>
      </w:r>
      <w:r w:rsidRPr="0012079B">
        <w:rPr>
          <w:bCs/>
        </w:rPr>
        <w:t>responsible for the implementation of the PGA on a day-to-day basis</w:t>
      </w:r>
      <w:r>
        <w:rPr>
          <w:bCs/>
        </w:rPr>
        <w:t>.</w:t>
      </w:r>
      <w:r w:rsidRPr="0012079B">
        <w:rPr>
          <w:bCs/>
        </w:rPr>
        <w:t xml:space="preserve"> </w:t>
      </w:r>
      <w:r>
        <w:rPr>
          <w:bCs/>
        </w:rPr>
        <w:t>Will consists</w:t>
      </w:r>
      <w:r w:rsidRPr="0012079B">
        <w:rPr>
          <w:bCs/>
        </w:rPr>
        <w:t xml:space="preserve"> of a</w:t>
      </w:r>
      <w:r>
        <w:rPr>
          <w:bCs/>
        </w:rPr>
        <w:t xml:space="preserve"> sub-contracted </w:t>
      </w:r>
      <w:r w:rsidRPr="0012079B">
        <w:rPr>
          <w:bCs/>
        </w:rPr>
        <w:t>national NGO to drive the PGA process in the pilot province</w:t>
      </w:r>
      <w:r>
        <w:rPr>
          <w:bCs/>
        </w:rPr>
        <w:t xml:space="preserve"> together with UNDP/FAO focal points and UN-REDD PMU Project Coordinator for PGA. </w:t>
      </w:r>
      <w:r>
        <w:t xml:space="preserve">The </w:t>
      </w:r>
      <w:r w:rsidR="00BD453F">
        <w:t>Research T</w:t>
      </w:r>
      <w:r>
        <w:t xml:space="preserve">eam, with strong knowledge on the assessment issues, will be responsible for reviewing and improving the overall design of the assessment, finalizing the instrument/methodologies, conducting data analysis, formulating findings and developing recommendations. If possible, an actor such as the IPSARD could also add much value to the Research team. </w:t>
      </w:r>
    </w:p>
    <w:p w:rsidR="00D607B7" w:rsidRPr="00951C46" w:rsidRDefault="00951C46" w:rsidP="00D607B7">
      <w:pPr>
        <w:jc w:val="both"/>
        <w:rPr>
          <w:lang w:val="en-GB"/>
        </w:rPr>
      </w:pPr>
      <w:r w:rsidRPr="00951C46">
        <w:rPr>
          <w:b/>
          <w:bCs/>
          <w:u w:val="single"/>
        </w:rPr>
        <w:t>A</w:t>
      </w:r>
      <w:r w:rsidRPr="00951C46">
        <w:rPr>
          <w:b/>
          <w:bCs/>
          <w:u w:val="single"/>
          <w:lang w:val="en-GB"/>
        </w:rPr>
        <w:t>dvisory G</w:t>
      </w:r>
      <w:r w:rsidR="0012079B" w:rsidRPr="00951C46">
        <w:rPr>
          <w:b/>
          <w:bCs/>
          <w:u w:val="single"/>
          <w:lang w:val="en-GB"/>
        </w:rPr>
        <w:t>roup</w:t>
      </w:r>
      <w:r w:rsidR="0012079B">
        <w:rPr>
          <w:b/>
          <w:bCs/>
          <w:lang w:val="en-GB"/>
        </w:rPr>
        <w:t xml:space="preserve"> – </w:t>
      </w:r>
      <w:r w:rsidR="0012079B">
        <w:rPr>
          <w:lang w:val="en-GB"/>
        </w:rPr>
        <w:t xml:space="preserve">small group to facilitate decision-making composed of representative from government and civil society from national and provincial level. This group will endorse the process, as well as the findings. It will provide advice to the </w:t>
      </w:r>
      <w:r>
        <w:rPr>
          <w:lang w:val="en-GB"/>
        </w:rPr>
        <w:t xml:space="preserve">Research Team </w:t>
      </w:r>
      <w:r w:rsidR="0012079B">
        <w:rPr>
          <w:lang w:val="en-GB"/>
        </w:rPr>
        <w:t xml:space="preserve">to strengthen the assessment design based on actual experiences. </w:t>
      </w:r>
      <w:r>
        <w:rPr>
          <w:lang w:val="en-GB"/>
        </w:rPr>
        <w:t>The VNForest co-chair of the STWG on Governance would preferably be member of this group.</w:t>
      </w:r>
      <w:r w:rsidR="0012079B">
        <w:rPr>
          <w:lang w:val="en-GB"/>
        </w:rPr>
        <w:t xml:space="preserve">  </w:t>
      </w:r>
    </w:p>
    <w:p w:rsidR="00D607B7" w:rsidRDefault="00D607B7" w:rsidP="00D607B7">
      <w:pPr>
        <w:jc w:val="both"/>
      </w:pPr>
      <w:r w:rsidRPr="00951C46">
        <w:rPr>
          <w:b/>
          <w:bCs/>
          <w:u w:val="single"/>
        </w:rPr>
        <w:t>Provincial Working Group</w:t>
      </w:r>
      <w:r w:rsidR="00951C46">
        <w:rPr>
          <w:b/>
          <w:bCs/>
        </w:rPr>
        <w:t xml:space="preserve"> </w:t>
      </w:r>
      <w:r>
        <w:t>– multi-stakeholder group responsible for providing input on the improvement of the assessment design, facilitati</w:t>
      </w:r>
      <w:r w:rsidR="00951C46">
        <w:t>ng data collection in the field</w:t>
      </w:r>
      <w:r>
        <w:t xml:space="preserve">, verify the findings and recommendations formulated by the </w:t>
      </w:r>
      <w:r w:rsidR="00951C46">
        <w:t>Research Team</w:t>
      </w:r>
      <w:r>
        <w:t>, and facilitating the implementa</w:t>
      </w:r>
      <w:r w:rsidR="00951C46">
        <w:t>tion of action plans for follow-</w:t>
      </w:r>
      <w:r>
        <w:t>up activities based on the recommendations.</w:t>
      </w:r>
    </w:p>
    <w:p w:rsidR="00951C46" w:rsidRPr="00D607B7" w:rsidRDefault="00951C46" w:rsidP="00D607B7">
      <w:pPr>
        <w:jc w:val="both"/>
      </w:pPr>
    </w:p>
    <w:p w:rsidR="00C8577C" w:rsidRDefault="00C8577C" w:rsidP="00C8577C">
      <w:pPr>
        <w:jc w:val="both"/>
      </w:pPr>
      <w:r>
        <w:lastRenderedPageBreak/>
        <w:t xml:space="preserve">The PGA </w:t>
      </w:r>
      <w:r w:rsidR="00BD453F">
        <w:t>will be</w:t>
      </w:r>
      <w:r w:rsidRPr="004148E5">
        <w:t xml:space="preserve"> incorporated into the existing UN-REDD Viet Nam Programme</w:t>
      </w:r>
      <w:r w:rsidR="00BD453F">
        <w:t>,</w:t>
      </w:r>
      <w:r w:rsidRPr="004148E5">
        <w:t xml:space="preserve"> </w:t>
      </w:r>
      <w:r w:rsidR="00BD453F">
        <w:t>which</w:t>
      </w:r>
      <w:r w:rsidRPr="004148E5">
        <w:t xml:space="preserve"> has been under implementation since 2009</w:t>
      </w:r>
      <w:r>
        <w:t>.</w:t>
      </w:r>
      <w:r w:rsidR="00951C46">
        <w:t xml:space="preserve"> </w:t>
      </w:r>
      <w:r w:rsidRPr="00C7302B">
        <w:t>A</w:t>
      </w:r>
      <w:r>
        <w:t>n initial</w:t>
      </w:r>
      <w:r w:rsidRPr="00C7302B">
        <w:t xml:space="preserve"> phase of the PGA </w:t>
      </w:r>
      <w:r w:rsidR="00951C46">
        <w:t>will</w:t>
      </w:r>
      <w:r>
        <w:t xml:space="preserve"> be operated for about 12 </w:t>
      </w:r>
      <w:r w:rsidRPr="00C7302B">
        <w:t>months</w:t>
      </w:r>
      <w:r>
        <w:t>, from Jan – Dec 2012</w:t>
      </w:r>
      <w:r w:rsidRPr="00C7302B">
        <w:t xml:space="preserve">. </w:t>
      </w:r>
      <w:r w:rsidR="00951C46">
        <w:t>Provided funding will be available, a</w:t>
      </w:r>
      <w:r>
        <w:t xml:space="preserve"> second phase could then expand into more provinces </w:t>
      </w:r>
      <w:r w:rsidR="00951C46">
        <w:t xml:space="preserve">guided by the advice of </w:t>
      </w:r>
      <w:r>
        <w:t xml:space="preserve">REDD+ stakeholders. </w:t>
      </w:r>
    </w:p>
    <w:p w:rsidR="00951C46" w:rsidRPr="00951C46" w:rsidRDefault="00951C46" w:rsidP="00C8577C">
      <w:pPr>
        <w:jc w:val="both"/>
      </w:pPr>
    </w:p>
    <w:p w:rsidR="00FA16EA" w:rsidRPr="00315B2C" w:rsidRDefault="00FA16EA" w:rsidP="00FA16EA">
      <w:pPr>
        <w:jc w:val="both"/>
        <w:rPr>
          <w:b/>
        </w:rPr>
      </w:pPr>
    </w:p>
    <w:p w:rsidR="00FA16EA" w:rsidRDefault="00FA16EA" w:rsidP="00FA16EA">
      <w:pPr>
        <w:spacing w:after="0" w:line="240" w:lineRule="auto"/>
        <w:rPr>
          <w:b/>
        </w:rPr>
      </w:pPr>
    </w:p>
    <w:p w:rsidR="0006043F" w:rsidRDefault="0006043F">
      <w:pPr>
        <w:rPr>
          <w:rFonts w:asciiTheme="majorHAnsi" w:eastAsiaTheme="majorEastAsia" w:hAnsiTheme="majorHAnsi" w:cstheme="majorBidi"/>
          <w:b/>
          <w:bCs/>
          <w:color w:val="4F81BD" w:themeColor="accent1"/>
        </w:rPr>
      </w:pPr>
      <w:r>
        <w:br w:type="page"/>
      </w:r>
    </w:p>
    <w:p w:rsidR="00682429" w:rsidRPr="00682429" w:rsidRDefault="0006043F" w:rsidP="00682429">
      <w:pPr>
        <w:pStyle w:val="Heading3"/>
        <w:numPr>
          <w:ilvl w:val="0"/>
          <w:numId w:val="8"/>
        </w:numPr>
        <w:jc w:val="center"/>
      </w:pPr>
      <w:r>
        <w:lastRenderedPageBreak/>
        <w:t>Timeline, activities and b</w:t>
      </w:r>
      <w:r w:rsidR="00FA16EA" w:rsidRPr="00951C46">
        <w:t>udget</w:t>
      </w:r>
    </w:p>
    <w:p w:rsidR="0006043F" w:rsidRPr="0006043F" w:rsidRDefault="00F22810" w:rsidP="0006043F">
      <w:r>
        <w:t xml:space="preserve">For the initial phase it will be important to establish the management and implementation structures of the PGA through stakeholders’ input and participation, in addition to undertake more thorough mappings of both stakeholders and existing forest governance initiatives. Possibly, depending on stakeholders views on the scope of the PGA, more provincial and district consultations could be held first two quarters of 2012. </w:t>
      </w:r>
    </w:p>
    <w:tbl>
      <w:tblPr>
        <w:tblStyle w:val="TableGrid"/>
        <w:tblpPr w:leftFromText="180" w:rightFromText="180" w:vertAnchor="page" w:horzAnchor="margin" w:tblpY="3842"/>
        <w:tblW w:w="0" w:type="auto"/>
        <w:tblLook w:val="00A0"/>
      </w:tblPr>
      <w:tblGrid>
        <w:gridCol w:w="2393"/>
        <w:gridCol w:w="2571"/>
        <w:gridCol w:w="2096"/>
        <w:gridCol w:w="2516"/>
      </w:tblGrid>
      <w:tr w:rsidR="00F22810" w:rsidRPr="00AC6EE5" w:rsidTr="00060F09">
        <w:trPr>
          <w:tblHeader/>
        </w:trPr>
        <w:tc>
          <w:tcPr>
            <w:tcW w:w="2393" w:type="dxa"/>
            <w:shd w:val="clear" w:color="auto" w:fill="EEECE1" w:themeFill="background2"/>
          </w:tcPr>
          <w:p w:rsidR="00F22810" w:rsidRPr="00AC6EE5" w:rsidRDefault="00F22810" w:rsidP="00060F09">
            <w:pPr>
              <w:jc w:val="center"/>
              <w:rPr>
                <w:sz w:val="18"/>
              </w:rPr>
            </w:pPr>
            <w:r>
              <w:rPr>
                <w:sz w:val="18"/>
              </w:rPr>
              <w:t>Timeline</w:t>
            </w:r>
          </w:p>
        </w:tc>
        <w:tc>
          <w:tcPr>
            <w:tcW w:w="2571" w:type="dxa"/>
            <w:shd w:val="clear" w:color="auto" w:fill="EEECE1" w:themeFill="background2"/>
          </w:tcPr>
          <w:p w:rsidR="00F22810" w:rsidRPr="00AC6EE5" w:rsidRDefault="00F22810" w:rsidP="00060F09">
            <w:pPr>
              <w:jc w:val="center"/>
              <w:rPr>
                <w:sz w:val="18"/>
              </w:rPr>
            </w:pPr>
            <w:r>
              <w:rPr>
                <w:sz w:val="18"/>
              </w:rPr>
              <w:t>Task</w:t>
            </w:r>
          </w:p>
        </w:tc>
        <w:tc>
          <w:tcPr>
            <w:tcW w:w="2096" w:type="dxa"/>
            <w:shd w:val="clear" w:color="auto" w:fill="EEECE1" w:themeFill="background2"/>
          </w:tcPr>
          <w:p w:rsidR="00F22810" w:rsidRDefault="00F22810" w:rsidP="00060F09">
            <w:pPr>
              <w:jc w:val="center"/>
              <w:rPr>
                <w:sz w:val="18"/>
              </w:rPr>
            </w:pPr>
            <w:r>
              <w:rPr>
                <w:sz w:val="18"/>
              </w:rPr>
              <w:t>Objectives</w:t>
            </w:r>
          </w:p>
        </w:tc>
        <w:tc>
          <w:tcPr>
            <w:tcW w:w="2516" w:type="dxa"/>
            <w:shd w:val="clear" w:color="auto" w:fill="EEECE1" w:themeFill="background2"/>
          </w:tcPr>
          <w:p w:rsidR="00F22810" w:rsidRDefault="00F22810" w:rsidP="00060F09">
            <w:pPr>
              <w:jc w:val="center"/>
              <w:rPr>
                <w:sz w:val="18"/>
              </w:rPr>
            </w:pPr>
            <w:r>
              <w:rPr>
                <w:sz w:val="18"/>
              </w:rPr>
              <w:t>Key actors</w:t>
            </w:r>
          </w:p>
        </w:tc>
      </w:tr>
      <w:tr w:rsidR="00F22810" w:rsidRPr="00AC6EE5" w:rsidTr="00F22810">
        <w:tc>
          <w:tcPr>
            <w:tcW w:w="2393" w:type="dxa"/>
          </w:tcPr>
          <w:p w:rsidR="00F22810" w:rsidRPr="00AC6EE5" w:rsidRDefault="00F22810" w:rsidP="00F22810">
            <w:pPr>
              <w:jc w:val="center"/>
              <w:rPr>
                <w:sz w:val="18"/>
              </w:rPr>
            </w:pPr>
            <w:r w:rsidRPr="00AC6EE5">
              <w:rPr>
                <w:sz w:val="18"/>
              </w:rPr>
              <w:t>December</w:t>
            </w:r>
            <w:r>
              <w:rPr>
                <w:sz w:val="18"/>
              </w:rPr>
              <w:t xml:space="preserve"> 2011</w:t>
            </w:r>
            <w:r w:rsidRPr="00AC6EE5">
              <w:rPr>
                <w:sz w:val="18"/>
              </w:rPr>
              <w:t xml:space="preserve"> </w:t>
            </w:r>
            <w:r>
              <w:rPr>
                <w:sz w:val="18"/>
              </w:rPr>
              <w:t>– January 2012</w:t>
            </w:r>
          </w:p>
        </w:tc>
        <w:tc>
          <w:tcPr>
            <w:tcW w:w="2571" w:type="dxa"/>
          </w:tcPr>
          <w:p w:rsidR="00F22810" w:rsidRPr="00AC6EE5" w:rsidRDefault="00F22810" w:rsidP="00F22810">
            <w:pPr>
              <w:rPr>
                <w:sz w:val="18"/>
              </w:rPr>
            </w:pPr>
            <w:r>
              <w:rPr>
                <w:sz w:val="18"/>
              </w:rPr>
              <w:t>Engage in</w:t>
            </w:r>
            <w:r w:rsidRPr="00AC6EE5">
              <w:rPr>
                <w:sz w:val="18"/>
              </w:rPr>
              <w:t xml:space="preserve"> two stakeholder consultations at national level</w:t>
            </w:r>
            <w:r>
              <w:rPr>
                <w:sz w:val="18"/>
              </w:rPr>
              <w:t>.</w:t>
            </w:r>
            <w:r w:rsidRPr="00AC6EE5">
              <w:rPr>
                <w:sz w:val="18"/>
              </w:rPr>
              <w:t xml:space="preserve"> </w:t>
            </w:r>
          </w:p>
          <w:p w:rsidR="00F22810" w:rsidRPr="00AC6EE5" w:rsidRDefault="00F22810" w:rsidP="00F22810">
            <w:pPr>
              <w:rPr>
                <w:sz w:val="18"/>
              </w:rPr>
            </w:pPr>
          </w:p>
        </w:tc>
        <w:tc>
          <w:tcPr>
            <w:tcW w:w="2096" w:type="dxa"/>
          </w:tcPr>
          <w:p w:rsidR="00F22810" w:rsidRDefault="00F22810" w:rsidP="00F22810">
            <w:pPr>
              <w:rPr>
                <w:sz w:val="18"/>
              </w:rPr>
            </w:pPr>
            <w:r>
              <w:rPr>
                <w:sz w:val="18"/>
              </w:rPr>
              <w:t>P</w:t>
            </w:r>
            <w:r w:rsidRPr="00AC6EE5">
              <w:rPr>
                <w:sz w:val="18"/>
              </w:rPr>
              <w:t xml:space="preserve">resent the PGA format </w:t>
            </w:r>
            <w:r>
              <w:rPr>
                <w:sz w:val="18"/>
              </w:rPr>
              <w:t xml:space="preserve">to relevant stakeholders </w:t>
            </w:r>
            <w:r w:rsidRPr="00AC6EE5">
              <w:rPr>
                <w:sz w:val="18"/>
              </w:rPr>
              <w:t>and get initial directions of the scope</w:t>
            </w:r>
            <w:r>
              <w:rPr>
                <w:sz w:val="18"/>
              </w:rPr>
              <w:t xml:space="preserve"> of the PGA</w:t>
            </w:r>
          </w:p>
        </w:tc>
        <w:tc>
          <w:tcPr>
            <w:tcW w:w="2516" w:type="dxa"/>
          </w:tcPr>
          <w:p w:rsidR="00F22810" w:rsidRPr="00AC6EE5" w:rsidRDefault="00F22810" w:rsidP="00F22810">
            <w:pPr>
              <w:rPr>
                <w:sz w:val="18"/>
              </w:rPr>
            </w:pPr>
            <w:r>
              <w:rPr>
                <w:sz w:val="18"/>
              </w:rPr>
              <w:t>Sub-t</w:t>
            </w:r>
            <w:r w:rsidRPr="00AC6EE5">
              <w:rPr>
                <w:sz w:val="18"/>
              </w:rPr>
              <w:t>echnical Working Group on Governance (21 November), Forest Sector and Support Partnership (</w:t>
            </w:r>
            <w:r>
              <w:rPr>
                <w:sz w:val="18"/>
              </w:rPr>
              <w:t>12-13</w:t>
            </w:r>
            <w:r w:rsidRPr="00AC6EE5">
              <w:rPr>
                <w:sz w:val="18"/>
              </w:rPr>
              <w:t xml:space="preserve"> </w:t>
            </w:r>
            <w:r>
              <w:rPr>
                <w:sz w:val="18"/>
              </w:rPr>
              <w:t>January</w:t>
            </w:r>
            <w:r w:rsidRPr="00AC6EE5">
              <w:rPr>
                <w:sz w:val="18"/>
              </w:rPr>
              <w:t>)</w:t>
            </w:r>
          </w:p>
        </w:tc>
      </w:tr>
      <w:tr w:rsidR="00F22810" w:rsidRPr="00AC6EE5" w:rsidTr="00F22810">
        <w:trPr>
          <w:cantSplit/>
        </w:trPr>
        <w:tc>
          <w:tcPr>
            <w:tcW w:w="2393" w:type="dxa"/>
          </w:tcPr>
          <w:p w:rsidR="00F22810" w:rsidRPr="00AC6EE5" w:rsidRDefault="00F22810" w:rsidP="00F22810">
            <w:pPr>
              <w:jc w:val="center"/>
              <w:rPr>
                <w:sz w:val="18"/>
              </w:rPr>
            </w:pPr>
            <w:r w:rsidRPr="00AC6EE5">
              <w:rPr>
                <w:sz w:val="18"/>
              </w:rPr>
              <w:t>February</w:t>
            </w:r>
            <w:r>
              <w:rPr>
                <w:sz w:val="18"/>
              </w:rPr>
              <w:t xml:space="preserve"> - March 2012</w:t>
            </w:r>
          </w:p>
        </w:tc>
        <w:tc>
          <w:tcPr>
            <w:tcW w:w="2571" w:type="dxa"/>
          </w:tcPr>
          <w:p w:rsidR="00F22810" w:rsidRPr="00AC6EE5" w:rsidRDefault="00F22810" w:rsidP="00F22810">
            <w:pPr>
              <w:rPr>
                <w:sz w:val="18"/>
              </w:rPr>
            </w:pPr>
            <w:r w:rsidRPr="00AC6EE5">
              <w:rPr>
                <w:sz w:val="18"/>
              </w:rPr>
              <w:t xml:space="preserve">Advertise and contract a PGA </w:t>
            </w:r>
            <w:r>
              <w:rPr>
                <w:sz w:val="18"/>
              </w:rPr>
              <w:t>Project C</w:t>
            </w:r>
            <w:r w:rsidRPr="00AC6EE5">
              <w:rPr>
                <w:sz w:val="18"/>
              </w:rPr>
              <w:t>oordinator</w:t>
            </w:r>
          </w:p>
        </w:tc>
        <w:tc>
          <w:tcPr>
            <w:tcW w:w="2096" w:type="dxa"/>
          </w:tcPr>
          <w:p w:rsidR="00F22810" w:rsidRPr="00AC6EE5" w:rsidRDefault="00F22810" w:rsidP="00F22810">
            <w:pPr>
              <w:rPr>
                <w:sz w:val="18"/>
              </w:rPr>
            </w:pPr>
            <w:r>
              <w:rPr>
                <w:sz w:val="18"/>
              </w:rPr>
              <w:t>A resource person in the PMU to assist the process</w:t>
            </w:r>
          </w:p>
        </w:tc>
        <w:tc>
          <w:tcPr>
            <w:tcW w:w="2516" w:type="dxa"/>
          </w:tcPr>
          <w:p w:rsidR="00F22810" w:rsidRPr="00AC6EE5" w:rsidRDefault="00F22810" w:rsidP="00F22810">
            <w:pPr>
              <w:rPr>
                <w:sz w:val="18"/>
              </w:rPr>
            </w:pPr>
            <w:r w:rsidRPr="00AC6EE5">
              <w:rPr>
                <w:sz w:val="18"/>
              </w:rPr>
              <w:t>UN-REDD Programme</w:t>
            </w:r>
          </w:p>
        </w:tc>
      </w:tr>
      <w:tr w:rsidR="00F22810" w:rsidRPr="00AC6EE5" w:rsidTr="00F22810">
        <w:trPr>
          <w:cantSplit/>
        </w:trPr>
        <w:tc>
          <w:tcPr>
            <w:tcW w:w="2393" w:type="dxa"/>
          </w:tcPr>
          <w:p w:rsidR="00F22810" w:rsidRPr="00AC6EE5" w:rsidRDefault="00F22810" w:rsidP="00F22810">
            <w:pPr>
              <w:jc w:val="center"/>
              <w:rPr>
                <w:sz w:val="18"/>
              </w:rPr>
            </w:pPr>
            <w:r>
              <w:rPr>
                <w:sz w:val="18"/>
              </w:rPr>
              <w:t>6 March 2012</w:t>
            </w:r>
          </w:p>
        </w:tc>
        <w:tc>
          <w:tcPr>
            <w:tcW w:w="2571" w:type="dxa"/>
          </w:tcPr>
          <w:p w:rsidR="00F22810" w:rsidRPr="00AC6EE5" w:rsidRDefault="00F22810" w:rsidP="00F22810">
            <w:pPr>
              <w:rPr>
                <w:sz w:val="18"/>
                <w:u w:val="single"/>
              </w:rPr>
            </w:pPr>
            <w:r w:rsidRPr="00AC6EE5">
              <w:rPr>
                <w:sz w:val="18"/>
                <w:u w:val="single"/>
              </w:rPr>
              <w:t>Workshop 1</w:t>
            </w:r>
          </w:p>
          <w:p w:rsidR="00F22810" w:rsidRPr="00CF4BE6" w:rsidRDefault="00F22810" w:rsidP="00F22810">
            <w:pPr>
              <w:rPr>
                <w:sz w:val="18"/>
              </w:rPr>
            </w:pPr>
            <w:r w:rsidRPr="00AC6EE5">
              <w:rPr>
                <w:sz w:val="18"/>
              </w:rPr>
              <w:t xml:space="preserve">Have a first kick-off meeting for stakeholders in </w:t>
            </w:r>
            <w:r>
              <w:rPr>
                <w:sz w:val="18"/>
              </w:rPr>
              <w:t>Hanoi</w:t>
            </w:r>
          </w:p>
        </w:tc>
        <w:tc>
          <w:tcPr>
            <w:tcW w:w="2096" w:type="dxa"/>
          </w:tcPr>
          <w:p w:rsidR="00F22810" w:rsidRPr="00AC6EE5" w:rsidRDefault="00F22810" w:rsidP="00F22810">
            <w:pPr>
              <w:rPr>
                <w:sz w:val="18"/>
              </w:rPr>
            </w:pPr>
            <w:r>
              <w:rPr>
                <w:sz w:val="18"/>
                <w:szCs w:val="18"/>
              </w:rPr>
              <w:t>Get consent from PGA stakeholders on the scope of the exercise.</w:t>
            </w:r>
          </w:p>
        </w:tc>
        <w:tc>
          <w:tcPr>
            <w:tcW w:w="2516" w:type="dxa"/>
          </w:tcPr>
          <w:p w:rsidR="00F22810" w:rsidRPr="00AC6EE5" w:rsidRDefault="00F22810" w:rsidP="00F22810">
            <w:pPr>
              <w:rPr>
                <w:sz w:val="18"/>
              </w:rPr>
            </w:pPr>
            <w:r w:rsidRPr="00AC6EE5">
              <w:rPr>
                <w:sz w:val="18"/>
              </w:rPr>
              <w:t>Open meeting for all interested stakeholders</w:t>
            </w:r>
          </w:p>
        </w:tc>
      </w:tr>
      <w:tr w:rsidR="00F22810" w:rsidRPr="00AC6EE5" w:rsidTr="00F22810">
        <w:trPr>
          <w:cantSplit/>
        </w:trPr>
        <w:tc>
          <w:tcPr>
            <w:tcW w:w="2393" w:type="dxa"/>
          </w:tcPr>
          <w:p w:rsidR="00F22810" w:rsidRPr="00AC6EE5" w:rsidRDefault="00F22810" w:rsidP="00F22810">
            <w:pPr>
              <w:jc w:val="center"/>
              <w:rPr>
                <w:sz w:val="18"/>
              </w:rPr>
            </w:pPr>
            <w:r>
              <w:rPr>
                <w:sz w:val="18"/>
              </w:rPr>
              <w:t xml:space="preserve">January </w:t>
            </w:r>
            <w:r w:rsidRPr="00AC6EE5">
              <w:rPr>
                <w:sz w:val="18"/>
              </w:rPr>
              <w:t>– March</w:t>
            </w:r>
            <w:r>
              <w:rPr>
                <w:sz w:val="18"/>
              </w:rPr>
              <w:t xml:space="preserve"> 2012</w:t>
            </w:r>
          </w:p>
        </w:tc>
        <w:tc>
          <w:tcPr>
            <w:tcW w:w="2571" w:type="dxa"/>
          </w:tcPr>
          <w:p w:rsidR="00F22810" w:rsidRPr="00AC6EE5" w:rsidRDefault="00F22810" w:rsidP="00F22810">
            <w:pPr>
              <w:rPr>
                <w:sz w:val="18"/>
              </w:rPr>
            </w:pPr>
            <w:r>
              <w:rPr>
                <w:sz w:val="18"/>
              </w:rPr>
              <w:t>Identify a national NGO to lead the Research Team. Identify</w:t>
            </w:r>
            <w:r w:rsidRPr="00AC6EE5">
              <w:rPr>
                <w:sz w:val="18"/>
              </w:rPr>
              <w:t xml:space="preserve"> membe</w:t>
            </w:r>
            <w:r>
              <w:rPr>
                <w:sz w:val="18"/>
              </w:rPr>
              <w:t>rs for the</w:t>
            </w:r>
            <w:r w:rsidRPr="00AC6EE5">
              <w:rPr>
                <w:sz w:val="18"/>
              </w:rPr>
              <w:t xml:space="preserve"> Advisory Group</w:t>
            </w:r>
          </w:p>
        </w:tc>
        <w:tc>
          <w:tcPr>
            <w:tcW w:w="2096" w:type="dxa"/>
          </w:tcPr>
          <w:p w:rsidR="00F22810" w:rsidRPr="00AC6EE5" w:rsidRDefault="00F22810" w:rsidP="00F22810">
            <w:pPr>
              <w:rPr>
                <w:sz w:val="18"/>
              </w:rPr>
            </w:pPr>
            <w:r>
              <w:rPr>
                <w:sz w:val="18"/>
              </w:rPr>
              <w:t>The PGA will be more effective if run by key REDD+ stakeholders with knowledge of the field</w:t>
            </w:r>
          </w:p>
        </w:tc>
        <w:tc>
          <w:tcPr>
            <w:tcW w:w="2516" w:type="dxa"/>
          </w:tcPr>
          <w:p w:rsidR="00F22810" w:rsidRPr="00AC6EE5" w:rsidRDefault="00F22810" w:rsidP="00F22810">
            <w:pPr>
              <w:rPr>
                <w:sz w:val="18"/>
              </w:rPr>
            </w:pPr>
            <w:r w:rsidRPr="00AC6EE5">
              <w:rPr>
                <w:sz w:val="18"/>
              </w:rPr>
              <w:t>UN-REDD Programme</w:t>
            </w:r>
          </w:p>
        </w:tc>
      </w:tr>
      <w:tr w:rsidR="00F22810" w:rsidRPr="00AC6EE5" w:rsidTr="00F22810">
        <w:trPr>
          <w:cantSplit/>
        </w:trPr>
        <w:tc>
          <w:tcPr>
            <w:tcW w:w="2393" w:type="dxa"/>
          </w:tcPr>
          <w:p w:rsidR="00F22810" w:rsidRPr="00AC6EE5" w:rsidRDefault="00F22810" w:rsidP="00F22810">
            <w:pPr>
              <w:jc w:val="center"/>
              <w:rPr>
                <w:sz w:val="18"/>
              </w:rPr>
            </w:pPr>
            <w:r>
              <w:rPr>
                <w:sz w:val="18"/>
              </w:rPr>
              <w:t>March</w:t>
            </w:r>
            <w:r w:rsidRPr="00AC6EE5">
              <w:rPr>
                <w:sz w:val="18"/>
              </w:rPr>
              <w:t xml:space="preserve"> – April</w:t>
            </w:r>
            <w:r>
              <w:rPr>
                <w:sz w:val="18"/>
              </w:rPr>
              <w:t xml:space="preserve"> 2012</w:t>
            </w:r>
          </w:p>
        </w:tc>
        <w:tc>
          <w:tcPr>
            <w:tcW w:w="2571" w:type="dxa"/>
          </w:tcPr>
          <w:p w:rsidR="00F22810" w:rsidRPr="00CF4BE6" w:rsidRDefault="00F22810" w:rsidP="00F22810">
            <w:pPr>
              <w:jc w:val="both"/>
              <w:rPr>
                <w:sz w:val="18"/>
              </w:rPr>
            </w:pPr>
            <w:r w:rsidRPr="00AC6EE5">
              <w:rPr>
                <w:sz w:val="18"/>
              </w:rPr>
              <w:t xml:space="preserve">Mapping of governance issues </w:t>
            </w:r>
            <w:r>
              <w:rPr>
                <w:sz w:val="18"/>
              </w:rPr>
              <w:t xml:space="preserve">and stakeholders </w:t>
            </w:r>
            <w:r w:rsidRPr="00AC6EE5">
              <w:rPr>
                <w:sz w:val="18"/>
              </w:rPr>
              <w:t>of relevance to REDD+ in the pilot province</w:t>
            </w:r>
            <w:r w:rsidRPr="00CF4BE6">
              <w:rPr>
                <w:sz w:val="18"/>
              </w:rPr>
              <w:t xml:space="preserve"> </w:t>
            </w:r>
          </w:p>
        </w:tc>
        <w:tc>
          <w:tcPr>
            <w:tcW w:w="2096" w:type="dxa"/>
          </w:tcPr>
          <w:p w:rsidR="00F22810" w:rsidRPr="00B10D0C" w:rsidRDefault="00F22810" w:rsidP="00F22810">
            <w:pPr>
              <w:rPr>
                <w:sz w:val="18"/>
                <w:szCs w:val="18"/>
              </w:rPr>
            </w:pPr>
            <w:r>
              <w:rPr>
                <w:sz w:val="18"/>
                <w:szCs w:val="18"/>
              </w:rPr>
              <w:t xml:space="preserve">REDD+ mapping exercises in the </w:t>
            </w:r>
            <w:r w:rsidRPr="00B10D0C">
              <w:rPr>
                <w:sz w:val="18"/>
                <w:szCs w:val="18"/>
              </w:rPr>
              <w:t>pilot province:</w:t>
            </w:r>
          </w:p>
          <w:p w:rsidR="00F22810" w:rsidRPr="006B6D79" w:rsidRDefault="00F22810" w:rsidP="00F22810">
            <w:pPr>
              <w:pStyle w:val="ListParagraph"/>
              <w:numPr>
                <w:ilvl w:val="0"/>
                <w:numId w:val="15"/>
              </w:numPr>
              <w:rPr>
                <w:sz w:val="18"/>
                <w:szCs w:val="18"/>
              </w:rPr>
            </w:pPr>
            <w:r w:rsidRPr="006B6D79">
              <w:rPr>
                <w:sz w:val="18"/>
                <w:szCs w:val="18"/>
              </w:rPr>
              <w:t>REDD+ stakeholder analysis;</w:t>
            </w:r>
          </w:p>
          <w:p w:rsidR="00F22810" w:rsidRPr="006B6D79" w:rsidRDefault="00F22810" w:rsidP="00F22810">
            <w:pPr>
              <w:pStyle w:val="ListParagraph"/>
              <w:numPr>
                <w:ilvl w:val="0"/>
                <w:numId w:val="15"/>
              </w:numPr>
              <w:rPr>
                <w:sz w:val="18"/>
                <w:szCs w:val="18"/>
              </w:rPr>
            </w:pPr>
            <w:r w:rsidRPr="006B6D79">
              <w:rPr>
                <w:sz w:val="18"/>
                <w:szCs w:val="18"/>
              </w:rPr>
              <w:t>Identification of key governance issues and risks;</w:t>
            </w:r>
          </w:p>
          <w:p w:rsidR="00F22810" w:rsidRPr="006B6D79" w:rsidRDefault="00F22810" w:rsidP="00F22810">
            <w:pPr>
              <w:pStyle w:val="ListParagraph"/>
              <w:numPr>
                <w:ilvl w:val="0"/>
                <w:numId w:val="15"/>
              </w:numPr>
              <w:rPr>
                <w:sz w:val="18"/>
                <w:szCs w:val="18"/>
              </w:rPr>
            </w:pPr>
            <w:r w:rsidRPr="006B6D79">
              <w:rPr>
                <w:sz w:val="18"/>
                <w:szCs w:val="18"/>
              </w:rPr>
              <w:t>Assessment of other forest governance initiatives ongoing;</w:t>
            </w:r>
          </w:p>
          <w:p w:rsidR="00F22810" w:rsidRPr="006B6D79" w:rsidRDefault="00F22810" w:rsidP="00F22810">
            <w:pPr>
              <w:pStyle w:val="ListParagraph"/>
              <w:numPr>
                <w:ilvl w:val="0"/>
                <w:numId w:val="15"/>
              </w:numPr>
              <w:rPr>
                <w:sz w:val="18"/>
                <w:szCs w:val="18"/>
              </w:rPr>
            </w:pPr>
            <w:r w:rsidRPr="006B6D79">
              <w:rPr>
                <w:sz w:val="18"/>
                <w:szCs w:val="18"/>
              </w:rPr>
              <w:t>Existing capacity levels, challenges and opportunities of indigenous peoples and other forest-dependent communities with regards to their par</w:t>
            </w:r>
            <w:r>
              <w:rPr>
                <w:sz w:val="18"/>
                <w:szCs w:val="18"/>
              </w:rPr>
              <w:t>ticipation in REDD+ governance</w:t>
            </w:r>
          </w:p>
          <w:p w:rsidR="00F22810" w:rsidRPr="006B6D79" w:rsidRDefault="00F22810" w:rsidP="00F22810">
            <w:pPr>
              <w:rPr>
                <w:sz w:val="18"/>
                <w:szCs w:val="18"/>
              </w:rPr>
            </w:pPr>
          </w:p>
        </w:tc>
        <w:tc>
          <w:tcPr>
            <w:tcW w:w="2516" w:type="dxa"/>
          </w:tcPr>
          <w:p w:rsidR="00F22810" w:rsidRDefault="00F22810" w:rsidP="00F22810">
            <w:pPr>
              <w:rPr>
                <w:sz w:val="18"/>
              </w:rPr>
            </w:pPr>
            <w:r>
              <w:rPr>
                <w:sz w:val="18"/>
              </w:rPr>
              <w:t>Research Team</w:t>
            </w:r>
          </w:p>
          <w:p w:rsidR="00F22810" w:rsidRPr="00AC6EE5" w:rsidRDefault="00F22810" w:rsidP="00F22810">
            <w:pPr>
              <w:rPr>
                <w:sz w:val="18"/>
              </w:rPr>
            </w:pPr>
          </w:p>
        </w:tc>
      </w:tr>
      <w:tr w:rsidR="00F22810" w:rsidRPr="00AC6EE5" w:rsidTr="00F22810">
        <w:trPr>
          <w:cantSplit/>
        </w:trPr>
        <w:tc>
          <w:tcPr>
            <w:tcW w:w="2393" w:type="dxa"/>
          </w:tcPr>
          <w:p w:rsidR="00F22810" w:rsidRPr="00AC6EE5" w:rsidRDefault="00F22810" w:rsidP="00F22810">
            <w:pPr>
              <w:jc w:val="center"/>
              <w:rPr>
                <w:sz w:val="18"/>
              </w:rPr>
            </w:pPr>
            <w:r>
              <w:rPr>
                <w:sz w:val="18"/>
              </w:rPr>
              <w:t>17-18 April 2012</w:t>
            </w:r>
          </w:p>
        </w:tc>
        <w:tc>
          <w:tcPr>
            <w:tcW w:w="2571" w:type="dxa"/>
          </w:tcPr>
          <w:p w:rsidR="00F22810" w:rsidRDefault="00F22810" w:rsidP="00F22810">
            <w:pPr>
              <w:rPr>
                <w:sz w:val="18"/>
                <w:u w:val="single"/>
              </w:rPr>
            </w:pPr>
            <w:r>
              <w:rPr>
                <w:sz w:val="18"/>
                <w:u w:val="single"/>
              </w:rPr>
              <w:t>South-South Lessons Learned  Exchange</w:t>
            </w:r>
          </w:p>
        </w:tc>
        <w:tc>
          <w:tcPr>
            <w:tcW w:w="2096" w:type="dxa"/>
          </w:tcPr>
          <w:p w:rsidR="00F22810" w:rsidRPr="00B10D0C" w:rsidRDefault="00F22810" w:rsidP="00F22810">
            <w:pPr>
              <w:pStyle w:val="ListParagraph"/>
              <w:numPr>
                <w:ilvl w:val="0"/>
                <w:numId w:val="13"/>
              </w:numPr>
              <w:rPr>
                <w:sz w:val="18"/>
                <w:szCs w:val="18"/>
              </w:rPr>
            </w:pPr>
            <w:r>
              <w:rPr>
                <w:sz w:val="18"/>
                <w:szCs w:val="18"/>
              </w:rPr>
              <w:t>Learn from the other 3 PGA pilots in the UN-REDD programme</w:t>
            </w:r>
          </w:p>
        </w:tc>
        <w:tc>
          <w:tcPr>
            <w:tcW w:w="2516" w:type="dxa"/>
          </w:tcPr>
          <w:p w:rsidR="00F22810" w:rsidRDefault="00F22810" w:rsidP="00F22810">
            <w:pPr>
              <w:rPr>
                <w:sz w:val="18"/>
              </w:rPr>
            </w:pPr>
            <w:r>
              <w:rPr>
                <w:sz w:val="18"/>
              </w:rPr>
              <w:t>PGA Project coordinator, Research Team, UNDP focal points</w:t>
            </w:r>
          </w:p>
        </w:tc>
      </w:tr>
      <w:tr w:rsidR="00F22810" w:rsidRPr="00AC6EE5" w:rsidTr="00F22810">
        <w:trPr>
          <w:cantSplit/>
        </w:trPr>
        <w:tc>
          <w:tcPr>
            <w:tcW w:w="2393" w:type="dxa"/>
          </w:tcPr>
          <w:p w:rsidR="00F22810" w:rsidRPr="00AC6EE5" w:rsidRDefault="00F22810" w:rsidP="00F22810">
            <w:pPr>
              <w:jc w:val="center"/>
              <w:rPr>
                <w:sz w:val="18"/>
              </w:rPr>
            </w:pPr>
            <w:r w:rsidRPr="00AC6EE5">
              <w:rPr>
                <w:sz w:val="18"/>
              </w:rPr>
              <w:lastRenderedPageBreak/>
              <w:t>End of April</w:t>
            </w:r>
            <w:r>
              <w:rPr>
                <w:sz w:val="18"/>
              </w:rPr>
              <w:t xml:space="preserve"> 2012</w:t>
            </w:r>
          </w:p>
        </w:tc>
        <w:tc>
          <w:tcPr>
            <w:tcW w:w="2571" w:type="dxa"/>
          </w:tcPr>
          <w:p w:rsidR="00F22810" w:rsidRPr="00AC6EE5" w:rsidRDefault="00F22810" w:rsidP="00F22810">
            <w:pPr>
              <w:rPr>
                <w:sz w:val="18"/>
                <w:u w:val="single"/>
              </w:rPr>
            </w:pPr>
            <w:r>
              <w:rPr>
                <w:sz w:val="18"/>
                <w:u w:val="single"/>
              </w:rPr>
              <w:t>Workshop 2</w:t>
            </w:r>
          </w:p>
          <w:p w:rsidR="00F22810" w:rsidRPr="00CF4BE6" w:rsidRDefault="00F22810" w:rsidP="00F22810">
            <w:pPr>
              <w:rPr>
                <w:sz w:val="18"/>
              </w:rPr>
            </w:pPr>
            <w:r>
              <w:rPr>
                <w:sz w:val="18"/>
              </w:rPr>
              <w:t>Stakeholder workshop to present the PGA approach for provincial/district stakeholders in the selected pilot province</w:t>
            </w:r>
          </w:p>
        </w:tc>
        <w:tc>
          <w:tcPr>
            <w:tcW w:w="2096" w:type="dxa"/>
          </w:tcPr>
          <w:p w:rsidR="00F22810" w:rsidRDefault="00F22810" w:rsidP="00F22810">
            <w:pPr>
              <w:pStyle w:val="ListParagraph"/>
              <w:numPr>
                <w:ilvl w:val="0"/>
                <w:numId w:val="13"/>
              </w:numPr>
              <w:rPr>
                <w:sz w:val="18"/>
                <w:szCs w:val="18"/>
              </w:rPr>
            </w:pPr>
            <w:r w:rsidRPr="00B10D0C">
              <w:rPr>
                <w:sz w:val="18"/>
                <w:szCs w:val="18"/>
              </w:rPr>
              <w:t>To secure understanding and interest for the PGA across stakeholders</w:t>
            </w:r>
          </w:p>
          <w:p w:rsidR="00F22810" w:rsidRDefault="00F22810" w:rsidP="00F22810">
            <w:pPr>
              <w:pStyle w:val="ListParagraph"/>
              <w:numPr>
                <w:ilvl w:val="0"/>
                <w:numId w:val="13"/>
              </w:numPr>
              <w:rPr>
                <w:sz w:val="18"/>
                <w:szCs w:val="18"/>
              </w:rPr>
            </w:pPr>
            <w:r>
              <w:rPr>
                <w:sz w:val="18"/>
                <w:szCs w:val="18"/>
              </w:rPr>
              <w:t>Initial awareness rising on REDD+</w:t>
            </w:r>
          </w:p>
          <w:p w:rsidR="00F22810" w:rsidRDefault="00F22810" w:rsidP="00F22810">
            <w:pPr>
              <w:pStyle w:val="ListParagraph"/>
              <w:numPr>
                <w:ilvl w:val="0"/>
                <w:numId w:val="12"/>
              </w:numPr>
              <w:rPr>
                <w:sz w:val="18"/>
                <w:szCs w:val="18"/>
              </w:rPr>
            </w:pPr>
            <w:r w:rsidRPr="00B10D0C">
              <w:rPr>
                <w:sz w:val="18"/>
                <w:szCs w:val="18"/>
              </w:rPr>
              <w:t>To debrief on, and review the mapping</w:t>
            </w:r>
            <w:r>
              <w:rPr>
                <w:sz w:val="18"/>
                <w:szCs w:val="18"/>
              </w:rPr>
              <w:t xml:space="preserve"> exercises</w:t>
            </w:r>
          </w:p>
          <w:p w:rsidR="00F22810" w:rsidRDefault="00F22810" w:rsidP="00F22810">
            <w:pPr>
              <w:pStyle w:val="ListParagraph"/>
              <w:numPr>
                <w:ilvl w:val="0"/>
                <w:numId w:val="12"/>
              </w:numPr>
              <w:rPr>
                <w:sz w:val="18"/>
                <w:szCs w:val="18"/>
              </w:rPr>
            </w:pPr>
            <w:r w:rsidRPr="00B10D0C">
              <w:rPr>
                <w:sz w:val="18"/>
                <w:szCs w:val="18"/>
              </w:rPr>
              <w:t>To learn about relevant assessment methodologies</w:t>
            </w:r>
          </w:p>
          <w:p w:rsidR="00F22810" w:rsidRDefault="00F22810" w:rsidP="00F22810">
            <w:pPr>
              <w:pStyle w:val="ListParagraph"/>
              <w:numPr>
                <w:ilvl w:val="0"/>
                <w:numId w:val="12"/>
              </w:numPr>
              <w:rPr>
                <w:sz w:val="18"/>
                <w:szCs w:val="18"/>
              </w:rPr>
            </w:pPr>
            <w:r w:rsidRPr="00344D95">
              <w:rPr>
                <w:sz w:val="18"/>
                <w:szCs w:val="18"/>
              </w:rPr>
              <w:t>To reach a consensus on critical issues to be assessed in the PGA</w:t>
            </w:r>
          </w:p>
          <w:p w:rsidR="00F22810" w:rsidRPr="00B10D0C" w:rsidRDefault="00F22810" w:rsidP="00F22810">
            <w:pPr>
              <w:pStyle w:val="ListParagraph"/>
              <w:numPr>
                <w:ilvl w:val="0"/>
                <w:numId w:val="12"/>
              </w:numPr>
              <w:rPr>
                <w:sz w:val="18"/>
                <w:szCs w:val="18"/>
              </w:rPr>
            </w:pPr>
            <w:r>
              <w:rPr>
                <w:sz w:val="18"/>
                <w:szCs w:val="18"/>
              </w:rPr>
              <w:t>Agree o</w:t>
            </w:r>
            <w:r w:rsidRPr="00344D95">
              <w:rPr>
                <w:sz w:val="18"/>
                <w:szCs w:val="18"/>
              </w:rPr>
              <w:t>n a first cut of possible indicators</w:t>
            </w:r>
          </w:p>
          <w:p w:rsidR="00F22810" w:rsidRDefault="00F22810" w:rsidP="00F22810">
            <w:pPr>
              <w:rPr>
                <w:sz w:val="18"/>
              </w:rPr>
            </w:pPr>
          </w:p>
        </w:tc>
        <w:tc>
          <w:tcPr>
            <w:tcW w:w="2516" w:type="dxa"/>
          </w:tcPr>
          <w:p w:rsidR="00F22810" w:rsidRPr="00AC6EE5" w:rsidRDefault="00F22810" w:rsidP="00F22810">
            <w:pPr>
              <w:rPr>
                <w:sz w:val="18"/>
              </w:rPr>
            </w:pPr>
            <w:r>
              <w:rPr>
                <w:sz w:val="18"/>
              </w:rPr>
              <w:t>Research Team</w:t>
            </w:r>
          </w:p>
        </w:tc>
      </w:tr>
      <w:tr w:rsidR="00F22810" w:rsidRPr="00AC6EE5" w:rsidTr="00F22810">
        <w:trPr>
          <w:cantSplit/>
        </w:trPr>
        <w:tc>
          <w:tcPr>
            <w:tcW w:w="2393" w:type="dxa"/>
          </w:tcPr>
          <w:p w:rsidR="00F22810" w:rsidRPr="00AC6EE5" w:rsidRDefault="00F22810" w:rsidP="00F22810">
            <w:pPr>
              <w:jc w:val="center"/>
              <w:rPr>
                <w:sz w:val="18"/>
              </w:rPr>
            </w:pPr>
            <w:r w:rsidRPr="00AC6EE5">
              <w:rPr>
                <w:sz w:val="18"/>
              </w:rPr>
              <w:t>May-June</w:t>
            </w:r>
            <w:r>
              <w:rPr>
                <w:sz w:val="18"/>
              </w:rPr>
              <w:t xml:space="preserve"> 2012</w:t>
            </w:r>
          </w:p>
        </w:tc>
        <w:tc>
          <w:tcPr>
            <w:tcW w:w="2571" w:type="dxa"/>
          </w:tcPr>
          <w:p w:rsidR="00F22810" w:rsidRPr="00AC6EE5" w:rsidRDefault="00F22810" w:rsidP="00F22810">
            <w:pPr>
              <w:rPr>
                <w:sz w:val="18"/>
              </w:rPr>
            </w:pPr>
            <w:r>
              <w:rPr>
                <w:sz w:val="18"/>
              </w:rPr>
              <w:t>Drafting of monitoring framework as a basis for the PGA data sampling</w:t>
            </w:r>
          </w:p>
        </w:tc>
        <w:tc>
          <w:tcPr>
            <w:tcW w:w="2096" w:type="dxa"/>
          </w:tcPr>
          <w:p w:rsidR="00F22810" w:rsidRPr="00AC6EE5" w:rsidRDefault="00F22810" w:rsidP="00F22810">
            <w:pPr>
              <w:rPr>
                <w:sz w:val="18"/>
              </w:rPr>
            </w:pPr>
          </w:p>
        </w:tc>
        <w:tc>
          <w:tcPr>
            <w:tcW w:w="2516" w:type="dxa"/>
          </w:tcPr>
          <w:p w:rsidR="00F22810" w:rsidRPr="00AC6EE5" w:rsidRDefault="00F22810" w:rsidP="00F22810">
            <w:pPr>
              <w:rPr>
                <w:sz w:val="18"/>
              </w:rPr>
            </w:pPr>
            <w:r w:rsidRPr="00AC6EE5">
              <w:rPr>
                <w:sz w:val="18"/>
              </w:rPr>
              <w:t xml:space="preserve">Research Team </w:t>
            </w:r>
          </w:p>
        </w:tc>
      </w:tr>
      <w:tr w:rsidR="00F22810" w:rsidRPr="00AC6EE5" w:rsidTr="00F22810">
        <w:trPr>
          <w:cantSplit/>
        </w:trPr>
        <w:tc>
          <w:tcPr>
            <w:tcW w:w="2393" w:type="dxa"/>
          </w:tcPr>
          <w:p w:rsidR="00F22810" w:rsidRPr="00AC6EE5" w:rsidRDefault="00F22810" w:rsidP="00F22810">
            <w:pPr>
              <w:jc w:val="center"/>
              <w:rPr>
                <w:sz w:val="18"/>
              </w:rPr>
            </w:pPr>
            <w:r w:rsidRPr="00AC6EE5">
              <w:rPr>
                <w:sz w:val="18"/>
              </w:rPr>
              <w:t>July</w:t>
            </w:r>
            <w:r>
              <w:rPr>
                <w:sz w:val="18"/>
              </w:rPr>
              <w:t xml:space="preserve"> 2012</w:t>
            </w:r>
          </w:p>
        </w:tc>
        <w:tc>
          <w:tcPr>
            <w:tcW w:w="2571" w:type="dxa"/>
          </w:tcPr>
          <w:p w:rsidR="00F22810" w:rsidRPr="00AC6EE5" w:rsidRDefault="00F22810" w:rsidP="00F22810">
            <w:pPr>
              <w:rPr>
                <w:sz w:val="18"/>
                <w:u w:val="single"/>
              </w:rPr>
            </w:pPr>
            <w:r>
              <w:rPr>
                <w:sz w:val="18"/>
                <w:u w:val="single"/>
              </w:rPr>
              <w:t>Workshop 3</w:t>
            </w:r>
          </w:p>
          <w:p w:rsidR="00F22810" w:rsidRPr="00335F96" w:rsidRDefault="00F22810" w:rsidP="00F22810">
            <w:pPr>
              <w:rPr>
                <w:sz w:val="18"/>
              </w:rPr>
            </w:pPr>
            <w:r w:rsidRPr="00AC6EE5">
              <w:rPr>
                <w:sz w:val="18"/>
              </w:rPr>
              <w:t xml:space="preserve">Stakeholder consultation </w:t>
            </w:r>
            <w:r>
              <w:rPr>
                <w:sz w:val="18"/>
              </w:rPr>
              <w:t>in the pilot province</w:t>
            </w:r>
          </w:p>
          <w:p w:rsidR="00F22810" w:rsidRPr="00AC6EE5" w:rsidRDefault="00F22810" w:rsidP="00F22810">
            <w:pPr>
              <w:rPr>
                <w:sz w:val="18"/>
                <w:u w:val="single"/>
              </w:rPr>
            </w:pPr>
          </w:p>
        </w:tc>
        <w:tc>
          <w:tcPr>
            <w:tcW w:w="2096" w:type="dxa"/>
          </w:tcPr>
          <w:p w:rsidR="00F22810" w:rsidRPr="00AC6EE5" w:rsidRDefault="00F22810" w:rsidP="00F22810">
            <w:pPr>
              <w:rPr>
                <w:sz w:val="18"/>
              </w:rPr>
            </w:pPr>
            <w:r>
              <w:rPr>
                <w:sz w:val="18"/>
              </w:rPr>
              <w:t>G</w:t>
            </w:r>
            <w:r w:rsidRPr="00AC6EE5">
              <w:rPr>
                <w:sz w:val="18"/>
              </w:rPr>
              <w:t xml:space="preserve">et feedback </w:t>
            </w:r>
            <w:r>
              <w:rPr>
                <w:sz w:val="18"/>
              </w:rPr>
              <w:t xml:space="preserve">and endorsement </w:t>
            </w:r>
            <w:r w:rsidRPr="00AC6EE5">
              <w:rPr>
                <w:sz w:val="18"/>
              </w:rPr>
              <w:t xml:space="preserve">on the draft </w:t>
            </w:r>
            <w:r>
              <w:rPr>
                <w:sz w:val="18"/>
              </w:rPr>
              <w:t xml:space="preserve">monitoring framework and the </w:t>
            </w:r>
            <w:r w:rsidRPr="00AC6EE5">
              <w:rPr>
                <w:sz w:val="18"/>
              </w:rPr>
              <w:t>indicator set</w:t>
            </w:r>
          </w:p>
        </w:tc>
        <w:tc>
          <w:tcPr>
            <w:tcW w:w="2516" w:type="dxa"/>
          </w:tcPr>
          <w:p w:rsidR="00F22810" w:rsidRPr="00AC6EE5" w:rsidRDefault="00F22810" w:rsidP="00F22810">
            <w:pPr>
              <w:rPr>
                <w:sz w:val="18"/>
              </w:rPr>
            </w:pPr>
            <w:r w:rsidRPr="00AC6EE5">
              <w:rPr>
                <w:sz w:val="18"/>
              </w:rPr>
              <w:t>Research Team</w:t>
            </w:r>
          </w:p>
        </w:tc>
      </w:tr>
      <w:tr w:rsidR="00F22810" w:rsidRPr="00AC6EE5" w:rsidTr="00F22810">
        <w:trPr>
          <w:cantSplit/>
        </w:trPr>
        <w:tc>
          <w:tcPr>
            <w:tcW w:w="2393" w:type="dxa"/>
          </w:tcPr>
          <w:p w:rsidR="00F22810" w:rsidRPr="00AC6EE5" w:rsidRDefault="00F22810" w:rsidP="00F22810">
            <w:pPr>
              <w:jc w:val="center"/>
              <w:rPr>
                <w:sz w:val="18"/>
              </w:rPr>
            </w:pPr>
            <w:r>
              <w:rPr>
                <w:sz w:val="18"/>
              </w:rPr>
              <w:t>July – August 2012</w:t>
            </w:r>
          </w:p>
        </w:tc>
        <w:tc>
          <w:tcPr>
            <w:tcW w:w="2571" w:type="dxa"/>
          </w:tcPr>
          <w:p w:rsidR="00F22810" w:rsidRDefault="00F22810" w:rsidP="00F22810">
            <w:pPr>
              <w:rPr>
                <w:sz w:val="18"/>
                <w:u w:val="single"/>
              </w:rPr>
            </w:pPr>
            <w:r>
              <w:rPr>
                <w:sz w:val="18"/>
                <w:u w:val="single"/>
              </w:rPr>
              <w:t>STWG on Governance</w:t>
            </w:r>
          </w:p>
        </w:tc>
        <w:tc>
          <w:tcPr>
            <w:tcW w:w="2096" w:type="dxa"/>
          </w:tcPr>
          <w:p w:rsidR="00F22810" w:rsidRDefault="00F22810" w:rsidP="00F22810">
            <w:pPr>
              <w:rPr>
                <w:sz w:val="18"/>
              </w:rPr>
            </w:pPr>
            <w:r>
              <w:rPr>
                <w:sz w:val="18"/>
              </w:rPr>
              <w:t>Present the findings from the PGA for the STWG on Governance in Hanoi</w:t>
            </w:r>
          </w:p>
        </w:tc>
        <w:tc>
          <w:tcPr>
            <w:tcW w:w="2516" w:type="dxa"/>
          </w:tcPr>
          <w:p w:rsidR="00F22810" w:rsidRPr="00AC6EE5" w:rsidRDefault="00F22810" w:rsidP="00F22810">
            <w:pPr>
              <w:rPr>
                <w:sz w:val="18"/>
              </w:rPr>
            </w:pPr>
            <w:r>
              <w:rPr>
                <w:sz w:val="18"/>
              </w:rPr>
              <w:t>Research Team; STWG; UNDP; UN-REDD Programme</w:t>
            </w:r>
          </w:p>
        </w:tc>
      </w:tr>
      <w:tr w:rsidR="00F22810" w:rsidRPr="00AC6EE5" w:rsidTr="00F22810">
        <w:trPr>
          <w:cantSplit/>
        </w:trPr>
        <w:tc>
          <w:tcPr>
            <w:tcW w:w="2393" w:type="dxa"/>
          </w:tcPr>
          <w:p w:rsidR="00F22810" w:rsidRPr="00AC6EE5" w:rsidRDefault="00F22810" w:rsidP="00F22810">
            <w:pPr>
              <w:jc w:val="center"/>
              <w:rPr>
                <w:sz w:val="18"/>
              </w:rPr>
            </w:pPr>
            <w:r w:rsidRPr="00AC6EE5">
              <w:rPr>
                <w:sz w:val="18"/>
              </w:rPr>
              <w:t>July – August</w:t>
            </w:r>
            <w:r>
              <w:rPr>
                <w:sz w:val="18"/>
              </w:rPr>
              <w:t xml:space="preserve"> 2012</w:t>
            </w:r>
          </w:p>
        </w:tc>
        <w:tc>
          <w:tcPr>
            <w:tcW w:w="2571" w:type="dxa"/>
          </w:tcPr>
          <w:p w:rsidR="00F22810" w:rsidRPr="00CF4BE6" w:rsidRDefault="00F22810" w:rsidP="00F22810">
            <w:pPr>
              <w:pStyle w:val="ListParagraph"/>
              <w:numPr>
                <w:ilvl w:val="0"/>
                <w:numId w:val="14"/>
              </w:numPr>
              <w:rPr>
                <w:sz w:val="18"/>
              </w:rPr>
            </w:pPr>
            <w:r w:rsidRPr="00CF4BE6">
              <w:rPr>
                <w:sz w:val="18"/>
              </w:rPr>
              <w:t>Developing data collection instruments</w:t>
            </w:r>
          </w:p>
          <w:p w:rsidR="00F22810" w:rsidRPr="00CF4BE6" w:rsidRDefault="00F22810" w:rsidP="00F22810">
            <w:pPr>
              <w:pStyle w:val="ListParagraph"/>
              <w:numPr>
                <w:ilvl w:val="0"/>
                <w:numId w:val="14"/>
              </w:numPr>
              <w:rPr>
                <w:sz w:val="18"/>
              </w:rPr>
            </w:pPr>
            <w:r w:rsidRPr="00CF4BE6">
              <w:rPr>
                <w:sz w:val="18"/>
              </w:rPr>
              <w:t xml:space="preserve">Field testing of data collection instruments in pilot province </w:t>
            </w:r>
          </w:p>
          <w:p w:rsidR="00F22810" w:rsidRPr="00CF4BE6" w:rsidRDefault="00F22810" w:rsidP="00F22810">
            <w:pPr>
              <w:pStyle w:val="ListParagraph"/>
              <w:numPr>
                <w:ilvl w:val="0"/>
                <w:numId w:val="14"/>
              </w:numPr>
              <w:rPr>
                <w:sz w:val="18"/>
              </w:rPr>
            </w:pPr>
            <w:r w:rsidRPr="00CF4BE6">
              <w:rPr>
                <w:sz w:val="18"/>
              </w:rPr>
              <w:t>Assessments of training needs of data collectors</w:t>
            </w:r>
          </w:p>
        </w:tc>
        <w:tc>
          <w:tcPr>
            <w:tcW w:w="2096" w:type="dxa"/>
          </w:tcPr>
          <w:p w:rsidR="00F22810" w:rsidRPr="00AC6EE5" w:rsidRDefault="00F22810" w:rsidP="00F22810">
            <w:pPr>
              <w:rPr>
                <w:sz w:val="18"/>
              </w:rPr>
            </w:pPr>
          </w:p>
        </w:tc>
        <w:tc>
          <w:tcPr>
            <w:tcW w:w="2516" w:type="dxa"/>
          </w:tcPr>
          <w:p w:rsidR="00F22810" w:rsidRPr="00AC6EE5" w:rsidRDefault="00F22810" w:rsidP="00F22810">
            <w:pPr>
              <w:rPr>
                <w:sz w:val="18"/>
              </w:rPr>
            </w:pPr>
            <w:r>
              <w:rPr>
                <w:sz w:val="18"/>
              </w:rPr>
              <w:t>TBD</w:t>
            </w:r>
          </w:p>
        </w:tc>
      </w:tr>
      <w:tr w:rsidR="00F22810" w:rsidRPr="00AC6EE5" w:rsidTr="00F22810">
        <w:trPr>
          <w:cantSplit/>
        </w:trPr>
        <w:tc>
          <w:tcPr>
            <w:tcW w:w="2393" w:type="dxa"/>
          </w:tcPr>
          <w:p w:rsidR="00F22810" w:rsidRPr="00AC6EE5" w:rsidRDefault="00F22810" w:rsidP="00F22810">
            <w:pPr>
              <w:jc w:val="center"/>
              <w:rPr>
                <w:sz w:val="18"/>
              </w:rPr>
            </w:pPr>
            <w:r>
              <w:rPr>
                <w:sz w:val="18"/>
              </w:rPr>
              <w:t>September 2012</w:t>
            </w:r>
          </w:p>
        </w:tc>
        <w:tc>
          <w:tcPr>
            <w:tcW w:w="2571" w:type="dxa"/>
          </w:tcPr>
          <w:p w:rsidR="00F22810" w:rsidRPr="00335F96" w:rsidRDefault="00F22810" w:rsidP="00F22810">
            <w:pPr>
              <w:rPr>
                <w:sz w:val="18"/>
              </w:rPr>
            </w:pPr>
            <w:r>
              <w:rPr>
                <w:sz w:val="18"/>
              </w:rPr>
              <w:t xml:space="preserve">Data collection </w:t>
            </w:r>
          </w:p>
        </w:tc>
        <w:tc>
          <w:tcPr>
            <w:tcW w:w="2096" w:type="dxa"/>
          </w:tcPr>
          <w:p w:rsidR="00F22810" w:rsidRDefault="00F22810" w:rsidP="00F22810">
            <w:pPr>
              <w:rPr>
                <w:sz w:val="18"/>
              </w:rPr>
            </w:pPr>
          </w:p>
        </w:tc>
        <w:tc>
          <w:tcPr>
            <w:tcW w:w="2516" w:type="dxa"/>
          </w:tcPr>
          <w:p w:rsidR="00F22810" w:rsidRPr="00AC6EE5" w:rsidRDefault="00F22810" w:rsidP="00F22810">
            <w:pPr>
              <w:rPr>
                <w:sz w:val="18"/>
              </w:rPr>
            </w:pPr>
            <w:r>
              <w:rPr>
                <w:sz w:val="18"/>
              </w:rPr>
              <w:t>TBD</w:t>
            </w:r>
          </w:p>
        </w:tc>
      </w:tr>
      <w:tr w:rsidR="00F22810" w:rsidRPr="00AC6EE5" w:rsidTr="00F22810">
        <w:trPr>
          <w:cantSplit/>
        </w:trPr>
        <w:tc>
          <w:tcPr>
            <w:tcW w:w="2393" w:type="dxa"/>
          </w:tcPr>
          <w:p w:rsidR="00F22810" w:rsidRPr="00AC6EE5" w:rsidRDefault="00F22810" w:rsidP="00F22810">
            <w:pPr>
              <w:jc w:val="center"/>
              <w:rPr>
                <w:sz w:val="18"/>
              </w:rPr>
            </w:pPr>
            <w:r>
              <w:rPr>
                <w:sz w:val="18"/>
              </w:rPr>
              <w:t>October 2012</w:t>
            </w:r>
          </w:p>
        </w:tc>
        <w:tc>
          <w:tcPr>
            <w:tcW w:w="2571" w:type="dxa"/>
          </w:tcPr>
          <w:p w:rsidR="00F22810" w:rsidRPr="00C57AD3" w:rsidRDefault="00F22810" w:rsidP="00F22810">
            <w:pPr>
              <w:rPr>
                <w:sz w:val="18"/>
              </w:rPr>
            </w:pPr>
            <w:r w:rsidRPr="00C57AD3">
              <w:rPr>
                <w:sz w:val="18"/>
              </w:rPr>
              <w:t xml:space="preserve">South-South exchange </w:t>
            </w:r>
          </w:p>
        </w:tc>
        <w:tc>
          <w:tcPr>
            <w:tcW w:w="2096" w:type="dxa"/>
          </w:tcPr>
          <w:p w:rsidR="00F22810" w:rsidRDefault="00F22810" w:rsidP="00F22810">
            <w:pPr>
              <w:rPr>
                <w:sz w:val="18"/>
              </w:rPr>
            </w:pPr>
            <w:r>
              <w:rPr>
                <w:sz w:val="18"/>
              </w:rPr>
              <w:t>D</w:t>
            </w:r>
            <w:r w:rsidRPr="00C57AD3">
              <w:rPr>
                <w:sz w:val="18"/>
              </w:rPr>
              <w:t>elegation from Indonesia to visit Viet Nam to share experiences from their REDD+ PGA</w:t>
            </w:r>
          </w:p>
        </w:tc>
        <w:tc>
          <w:tcPr>
            <w:tcW w:w="2516" w:type="dxa"/>
          </w:tcPr>
          <w:p w:rsidR="00F22810" w:rsidRPr="00AC6EE5" w:rsidRDefault="00F22810" w:rsidP="00F22810">
            <w:pPr>
              <w:rPr>
                <w:sz w:val="18"/>
              </w:rPr>
            </w:pPr>
            <w:r>
              <w:rPr>
                <w:sz w:val="18"/>
              </w:rPr>
              <w:t>Members of the Expert Panel and/or UNDP/PMU representatives in Indonesia.</w:t>
            </w:r>
          </w:p>
        </w:tc>
      </w:tr>
      <w:tr w:rsidR="00F22810" w:rsidRPr="00AC6EE5" w:rsidTr="00F22810">
        <w:trPr>
          <w:cantSplit/>
        </w:trPr>
        <w:tc>
          <w:tcPr>
            <w:tcW w:w="2393" w:type="dxa"/>
          </w:tcPr>
          <w:p w:rsidR="00F22810" w:rsidRPr="00AC6EE5" w:rsidRDefault="00F22810" w:rsidP="00F22810">
            <w:pPr>
              <w:jc w:val="center"/>
              <w:rPr>
                <w:sz w:val="18"/>
              </w:rPr>
            </w:pPr>
            <w:r>
              <w:rPr>
                <w:sz w:val="18"/>
              </w:rPr>
              <w:t>October – December 2012</w:t>
            </w:r>
          </w:p>
        </w:tc>
        <w:tc>
          <w:tcPr>
            <w:tcW w:w="2571" w:type="dxa"/>
          </w:tcPr>
          <w:p w:rsidR="00F22810" w:rsidRPr="00335F96" w:rsidRDefault="00F22810" w:rsidP="00F22810">
            <w:pPr>
              <w:rPr>
                <w:sz w:val="18"/>
              </w:rPr>
            </w:pPr>
            <w:r>
              <w:rPr>
                <w:sz w:val="18"/>
              </w:rPr>
              <w:t>Data analysis and dissemination</w:t>
            </w:r>
          </w:p>
        </w:tc>
        <w:tc>
          <w:tcPr>
            <w:tcW w:w="2096" w:type="dxa"/>
          </w:tcPr>
          <w:p w:rsidR="00F22810" w:rsidRDefault="00F22810" w:rsidP="00F22810">
            <w:pPr>
              <w:rPr>
                <w:sz w:val="18"/>
              </w:rPr>
            </w:pPr>
          </w:p>
        </w:tc>
        <w:tc>
          <w:tcPr>
            <w:tcW w:w="2516" w:type="dxa"/>
          </w:tcPr>
          <w:p w:rsidR="00F22810" w:rsidRPr="00AC6EE5" w:rsidRDefault="00F22810" w:rsidP="00F22810">
            <w:pPr>
              <w:rPr>
                <w:sz w:val="18"/>
              </w:rPr>
            </w:pPr>
            <w:r>
              <w:rPr>
                <w:sz w:val="18"/>
              </w:rPr>
              <w:t>TBD</w:t>
            </w:r>
          </w:p>
        </w:tc>
      </w:tr>
    </w:tbl>
    <w:p w:rsidR="00AB1D40" w:rsidRDefault="00AB1D40" w:rsidP="00FA16EA">
      <w:pPr>
        <w:jc w:val="both"/>
      </w:pPr>
      <w:r>
        <w:br w:type="page"/>
      </w:r>
    </w:p>
    <w:tbl>
      <w:tblPr>
        <w:tblW w:w="10580" w:type="dxa"/>
        <w:tblInd w:w="108" w:type="dxa"/>
        <w:tblLook w:val="04A0"/>
      </w:tblPr>
      <w:tblGrid>
        <w:gridCol w:w="4998"/>
        <w:gridCol w:w="3417"/>
        <w:gridCol w:w="1456"/>
        <w:gridCol w:w="709"/>
      </w:tblGrid>
      <w:tr w:rsidR="00E64335" w:rsidRPr="00BD453F" w:rsidTr="00E64335">
        <w:trPr>
          <w:gridAfter w:val="1"/>
          <w:wAfter w:w="709" w:type="dxa"/>
          <w:trHeight w:val="360"/>
        </w:trPr>
        <w:tc>
          <w:tcPr>
            <w:tcW w:w="8415" w:type="dxa"/>
            <w:gridSpan w:val="2"/>
            <w:tcBorders>
              <w:top w:val="nil"/>
              <w:left w:val="nil"/>
              <w:bottom w:val="nil"/>
              <w:right w:val="nil"/>
            </w:tcBorders>
            <w:shd w:val="clear" w:color="FFFFCC" w:fill="FFFFFF"/>
            <w:noWrap/>
            <w:hideMark/>
          </w:tcPr>
          <w:p w:rsidR="00E64335" w:rsidRPr="00BD453F" w:rsidRDefault="00E64335" w:rsidP="00E64335">
            <w:pPr>
              <w:spacing w:after="0" w:line="240" w:lineRule="auto"/>
              <w:jc w:val="center"/>
              <w:rPr>
                <w:rFonts w:eastAsia="Times New Roman" w:cstheme="minorHAnsi"/>
                <w:b/>
                <w:bCs/>
                <w:sz w:val="28"/>
                <w:szCs w:val="28"/>
              </w:rPr>
            </w:pPr>
            <w:r w:rsidRPr="00BD453F">
              <w:rPr>
                <w:rFonts w:eastAsia="Times New Roman" w:cstheme="minorHAnsi"/>
                <w:b/>
                <w:bCs/>
                <w:sz w:val="28"/>
                <w:szCs w:val="28"/>
              </w:rPr>
              <w:lastRenderedPageBreak/>
              <w:t>2012 ANNUAL BUDGET PGA</w:t>
            </w:r>
          </w:p>
        </w:tc>
        <w:tc>
          <w:tcPr>
            <w:tcW w:w="1456" w:type="dxa"/>
            <w:tcBorders>
              <w:top w:val="nil"/>
              <w:left w:val="nil"/>
              <w:bottom w:val="nil"/>
              <w:right w:val="nil"/>
            </w:tcBorders>
            <w:shd w:val="clear" w:color="FFFFCC" w:fill="FFFFFF"/>
            <w:noWrap/>
            <w:hideMark/>
          </w:tcPr>
          <w:p w:rsidR="00E64335" w:rsidRPr="00BD453F" w:rsidRDefault="00E64335" w:rsidP="00E64335">
            <w:pPr>
              <w:spacing w:after="0" w:line="240" w:lineRule="auto"/>
              <w:jc w:val="center"/>
              <w:rPr>
                <w:rFonts w:eastAsia="Times New Roman" w:cstheme="minorHAnsi"/>
                <w:b/>
                <w:bCs/>
                <w:sz w:val="28"/>
                <w:szCs w:val="28"/>
              </w:rPr>
            </w:pPr>
            <w:r w:rsidRPr="00BD453F">
              <w:rPr>
                <w:rFonts w:eastAsia="Times New Roman" w:cstheme="minorHAnsi"/>
                <w:b/>
                <w:bCs/>
                <w:sz w:val="28"/>
                <w:szCs w:val="28"/>
              </w:rPr>
              <w:t> </w:t>
            </w:r>
          </w:p>
        </w:tc>
      </w:tr>
      <w:tr w:rsidR="00E64335" w:rsidRPr="00BD453F" w:rsidTr="00E86F16">
        <w:trPr>
          <w:gridAfter w:val="1"/>
          <w:wAfter w:w="709" w:type="dxa"/>
          <w:trHeight w:val="360"/>
        </w:trPr>
        <w:tc>
          <w:tcPr>
            <w:tcW w:w="8415" w:type="dxa"/>
            <w:gridSpan w:val="2"/>
            <w:tcBorders>
              <w:top w:val="nil"/>
              <w:left w:val="nil"/>
              <w:bottom w:val="double" w:sz="6" w:space="0" w:color="auto"/>
              <w:right w:val="nil"/>
            </w:tcBorders>
            <w:shd w:val="clear" w:color="FFFFCC" w:fill="FFFFFF"/>
            <w:noWrap/>
            <w:hideMark/>
          </w:tcPr>
          <w:p w:rsidR="00E64335" w:rsidRDefault="00E64335" w:rsidP="00E64335">
            <w:pPr>
              <w:spacing w:after="0" w:line="240" w:lineRule="auto"/>
              <w:jc w:val="center"/>
              <w:rPr>
                <w:rFonts w:eastAsia="Times New Roman" w:cstheme="minorHAnsi"/>
                <w:i/>
                <w:iCs/>
                <w:sz w:val="20"/>
                <w:szCs w:val="20"/>
              </w:rPr>
            </w:pPr>
            <w:r w:rsidRPr="00BD453F">
              <w:rPr>
                <w:rFonts w:eastAsia="Times New Roman" w:cstheme="minorHAnsi"/>
                <w:i/>
                <w:iCs/>
                <w:sz w:val="20"/>
                <w:szCs w:val="20"/>
              </w:rPr>
              <w:t>(From 1/1/2012 - 31/12/2012)</w:t>
            </w:r>
          </w:p>
          <w:p w:rsidR="00BD453F" w:rsidRPr="00BD453F" w:rsidRDefault="00BD453F" w:rsidP="00E64335">
            <w:pPr>
              <w:spacing w:after="0" w:line="240" w:lineRule="auto"/>
              <w:jc w:val="center"/>
              <w:rPr>
                <w:rFonts w:eastAsia="Times New Roman" w:cstheme="minorHAnsi"/>
                <w:i/>
                <w:iCs/>
                <w:sz w:val="20"/>
                <w:szCs w:val="20"/>
              </w:rPr>
            </w:pPr>
          </w:p>
        </w:tc>
        <w:tc>
          <w:tcPr>
            <w:tcW w:w="1456" w:type="dxa"/>
            <w:tcBorders>
              <w:top w:val="nil"/>
              <w:left w:val="nil"/>
              <w:bottom w:val="double" w:sz="6" w:space="0" w:color="auto"/>
              <w:right w:val="nil"/>
            </w:tcBorders>
            <w:shd w:val="clear" w:color="FFFFCC" w:fill="FFFFFF"/>
            <w:noWrap/>
            <w:hideMark/>
          </w:tcPr>
          <w:p w:rsidR="00E64335" w:rsidRPr="00BD453F" w:rsidRDefault="00E64335" w:rsidP="00E64335">
            <w:pPr>
              <w:spacing w:after="0" w:line="240" w:lineRule="auto"/>
              <w:jc w:val="center"/>
              <w:rPr>
                <w:rFonts w:eastAsia="Times New Roman" w:cstheme="minorHAnsi"/>
                <w:i/>
                <w:iCs/>
                <w:sz w:val="20"/>
                <w:szCs w:val="20"/>
              </w:rPr>
            </w:pPr>
            <w:r w:rsidRPr="00BD453F">
              <w:rPr>
                <w:rFonts w:eastAsia="Times New Roman" w:cstheme="minorHAnsi"/>
                <w:i/>
                <w:iCs/>
                <w:sz w:val="20"/>
                <w:szCs w:val="20"/>
              </w:rPr>
              <w:t> </w:t>
            </w:r>
          </w:p>
        </w:tc>
      </w:tr>
      <w:tr w:rsidR="00E64335" w:rsidRPr="00BD453F" w:rsidTr="00E86F16">
        <w:trPr>
          <w:gridAfter w:val="1"/>
          <w:wAfter w:w="709" w:type="dxa"/>
          <w:trHeight w:val="645"/>
        </w:trPr>
        <w:tc>
          <w:tcPr>
            <w:tcW w:w="4998" w:type="dxa"/>
            <w:tcBorders>
              <w:top w:val="double" w:sz="6" w:space="0" w:color="auto"/>
              <w:left w:val="single" w:sz="4" w:space="0" w:color="auto"/>
              <w:bottom w:val="single" w:sz="4" w:space="0" w:color="auto"/>
              <w:right w:val="single" w:sz="4" w:space="0" w:color="auto"/>
            </w:tcBorders>
            <w:shd w:val="clear" w:color="FFFFCC" w:fill="D8D8D8"/>
            <w:vAlign w:val="center"/>
            <w:hideMark/>
          </w:tcPr>
          <w:p w:rsidR="00E64335" w:rsidRPr="00BD453F" w:rsidRDefault="00E64335" w:rsidP="00E64335">
            <w:pPr>
              <w:spacing w:after="0" w:line="240" w:lineRule="auto"/>
              <w:jc w:val="center"/>
              <w:rPr>
                <w:rFonts w:eastAsia="Times New Roman" w:cstheme="minorHAnsi"/>
                <w:b/>
                <w:bCs/>
                <w:sz w:val="18"/>
                <w:szCs w:val="18"/>
              </w:rPr>
            </w:pPr>
            <w:r w:rsidRPr="00BD453F">
              <w:rPr>
                <w:rFonts w:eastAsia="Times New Roman" w:cstheme="minorHAnsi"/>
                <w:b/>
                <w:bCs/>
                <w:sz w:val="18"/>
                <w:szCs w:val="18"/>
              </w:rPr>
              <w:t>Key Activities</w:t>
            </w:r>
          </w:p>
        </w:tc>
        <w:tc>
          <w:tcPr>
            <w:tcW w:w="3417" w:type="dxa"/>
            <w:tcBorders>
              <w:top w:val="double" w:sz="6" w:space="0" w:color="auto"/>
              <w:left w:val="nil"/>
              <w:bottom w:val="single" w:sz="4" w:space="0" w:color="auto"/>
              <w:right w:val="single" w:sz="4" w:space="0" w:color="auto"/>
            </w:tcBorders>
            <w:shd w:val="clear" w:color="FFFFCC" w:fill="D8D8D8"/>
            <w:vAlign w:val="center"/>
            <w:hideMark/>
          </w:tcPr>
          <w:p w:rsidR="00E64335" w:rsidRPr="00BD453F" w:rsidRDefault="00E64335" w:rsidP="00E64335">
            <w:pPr>
              <w:spacing w:after="0" w:line="240" w:lineRule="auto"/>
              <w:jc w:val="center"/>
              <w:rPr>
                <w:rFonts w:eastAsia="Times New Roman" w:cstheme="minorHAnsi"/>
                <w:b/>
                <w:bCs/>
                <w:sz w:val="18"/>
                <w:szCs w:val="18"/>
              </w:rPr>
            </w:pPr>
            <w:r w:rsidRPr="00BD453F">
              <w:rPr>
                <w:rFonts w:eastAsia="Times New Roman" w:cstheme="minorHAnsi"/>
                <w:b/>
                <w:bCs/>
                <w:sz w:val="18"/>
                <w:szCs w:val="18"/>
              </w:rPr>
              <w:t>Objectives</w:t>
            </w:r>
          </w:p>
        </w:tc>
        <w:tc>
          <w:tcPr>
            <w:tcW w:w="1456" w:type="dxa"/>
            <w:tcBorders>
              <w:top w:val="double" w:sz="6" w:space="0" w:color="auto"/>
              <w:left w:val="nil"/>
              <w:bottom w:val="single" w:sz="4" w:space="0" w:color="auto"/>
              <w:right w:val="single" w:sz="4" w:space="0" w:color="auto"/>
            </w:tcBorders>
            <w:shd w:val="clear" w:color="FFFFCC" w:fill="D8D8D8"/>
            <w:vAlign w:val="center"/>
            <w:hideMark/>
          </w:tcPr>
          <w:p w:rsidR="00E64335" w:rsidRPr="00BD453F" w:rsidRDefault="00E64335" w:rsidP="00E64335">
            <w:pPr>
              <w:spacing w:after="0" w:line="240" w:lineRule="auto"/>
              <w:jc w:val="center"/>
              <w:rPr>
                <w:rFonts w:eastAsia="Times New Roman" w:cstheme="minorHAnsi"/>
                <w:b/>
                <w:bCs/>
                <w:sz w:val="18"/>
                <w:szCs w:val="18"/>
              </w:rPr>
            </w:pPr>
            <w:r w:rsidRPr="00BD453F">
              <w:rPr>
                <w:rFonts w:eastAsia="Times New Roman" w:cstheme="minorHAnsi"/>
                <w:b/>
                <w:bCs/>
                <w:sz w:val="18"/>
                <w:szCs w:val="18"/>
              </w:rPr>
              <w:t>Budget in USD</w:t>
            </w:r>
          </w:p>
        </w:tc>
      </w:tr>
      <w:tr w:rsidR="00E64335" w:rsidRPr="00BD453F" w:rsidTr="00BD453F">
        <w:trPr>
          <w:gridAfter w:val="1"/>
          <w:wAfter w:w="709" w:type="dxa"/>
          <w:trHeight w:val="692"/>
        </w:trPr>
        <w:tc>
          <w:tcPr>
            <w:tcW w:w="4998" w:type="dxa"/>
            <w:tcBorders>
              <w:top w:val="single" w:sz="4" w:space="0" w:color="auto"/>
              <w:left w:val="single" w:sz="4" w:space="0" w:color="auto"/>
              <w:bottom w:val="single" w:sz="4" w:space="0" w:color="auto"/>
              <w:right w:val="single" w:sz="4" w:space="0" w:color="auto"/>
            </w:tcBorders>
            <w:shd w:val="clear" w:color="FFFFCC" w:fill="FFFFFF"/>
            <w:hideMark/>
          </w:tcPr>
          <w:p w:rsidR="00E64335" w:rsidRPr="00BD453F" w:rsidRDefault="00E64335" w:rsidP="00E64335">
            <w:pPr>
              <w:spacing w:after="0" w:line="240" w:lineRule="auto"/>
              <w:rPr>
                <w:rFonts w:eastAsia="Times New Roman" w:cstheme="minorHAnsi"/>
                <w:sz w:val="18"/>
                <w:szCs w:val="18"/>
              </w:rPr>
            </w:pPr>
            <w:r w:rsidRPr="00BD453F">
              <w:rPr>
                <w:rFonts w:eastAsia="Times New Roman" w:cstheme="minorHAnsi"/>
                <w:sz w:val="18"/>
                <w:szCs w:val="18"/>
              </w:rPr>
              <w:t xml:space="preserve">1.7.1 National kick-off workshop </w:t>
            </w:r>
          </w:p>
        </w:tc>
        <w:tc>
          <w:tcPr>
            <w:tcW w:w="3417" w:type="dxa"/>
            <w:tcBorders>
              <w:top w:val="single" w:sz="4" w:space="0" w:color="auto"/>
              <w:left w:val="nil"/>
              <w:bottom w:val="single" w:sz="4" w:space="0" w:color="auto"/>
              <w:right w:val="single" w:sz="4" w:space="0" w:color="auto"/>
            </w:tcBorders>
            <w:shd w:val="clear" w:color="FFFFCC" w:fill="FFFFFF"/>
            <w:hideMark/>
          </w:tcPr>
          <w:p w:rsidR="00E64335" w:rsidRPr="00BD453F" w:rsidRDefault="00E64335" w:rsidP="00E64335">
            <w:pPr>
              <w:spacing w:after="0" w:line="240" w:lineRule="auto"/>
              <w:rPr>
                <w:rFonts w:eastAsia="Times New Roman" w:cstheme="minorHAnsi"/>
                <w:sz w:val="18"/>
                <w:szCs w:val="18"/>
              </w:rPr>
            </w:pPr>
            <w:r w:rsidRPr="00BD453F">
              <w:rPr>
                <w:rFonts w:eastAsia="Times New Roman" w:cstheme="minorHAnsi"/>
                <w:sz w:val="18"/>
                <w:szCs w:val="18"/>
              </w:rPr>
              <w:t xml:space="preserve">To get stakeholder's endorsement on the scope of the PGA and especially on the selection of the pilot province. </w:t>
            </w:r>
          </w:p>
        </w:tc>
        <w:tc>
          <w:tcPr>
            <w:tcW w:w="1456" w:type="dxa"/>
            <w:tcBorders>
              <w:top w:val="single" w:sz="4" w:space="0" w:color="auto"/>
              <w:left w:val="nil"/>
              <w:bottom w:val="single" w:sz="8" w:space="0" w:color="auto"/>
              <w:right w:val="single" w:sz="8" w:space="0" w:color="auto"/>
            </w:tcBorders>
            <w:shd w:val="clear" w:color="FFFFCC" w:fill="FFFFFF"/>
            <w:noWrap/>
            <w:hideMark/>
          </w:tcPr>
          <w:p w:rsidR="00E64335" w:rsidRPr="00BD453F" w:rsidRDefault="00E64335" w:rsidP="00E64335">
            <w:pPr>
              <w:spacing w:after="0" w:line="240" w:lineRule="auto"/>
              <w:jc w:val="center"/>
              <w:rPr>
                <w:rFonts w:eastAsia="Times New Roman" w:cstheme="minorHAnsi"/>
                <w:sz w:val="18"/>
                <w:szCs w:val="18"/>
              </w:rPr>
            </w:pPr>
            <w:r w:rsidRPr="00BD453F">
              <w:rPr>
                <w:rFonts w:eastAsia="Times New Roman" w:cstheme="minorHAnsi"/>
                <w:sz w:val="18"/>
                <w:szCs w:val="18"/>
              </w:rPr>
              <w:t>7,245</w:t>
            </w:r>
          </w:p>
        </w:tc>
      </w:tr>
      <w:tr w:rsidR="00E64335" w:rsidRPr="00BD453F" w:rsidTr="00BD453F">
        <w:trPr>
          <w:gridAfter w:val="1"/>
          <w:wAfter w:w="709" w:type="dxa"/>
          <w:trHeight w:val="5020"/>
        </w:trPr>
        <w:tc>
          <w:tcPr>
            <w:tcW w:w="4998" w:type="dxa"/>
            <w:tcBorders>
              <w:top w:val="nil"/>
              <w:left w:val="single" w:sz="4" w:space="0" w:color="auto"/>
              <w:bottom w:val="single" w:sz="4" w:space="0" w:color="auto"/>
              <w:right w:val="single" w:sz="4" w:space="0" w:color="auto"/>
            </w:tcBorders>
            <w:shd w:val="clear" w:color="auto" w:fill="auto"/>
            <w:hideMark/>
          </w:tcPr>
          <w:p w:rsidR="00E64335" w:rsidRPr="00BD453F" w:rsidRDefault="00E64335" w:rsidP="00E64335">
            <w:pPr>
              <w:spacing w:after="0" w:line="240" w:lineRule="auto"/>
              <w:rPr>
                <w:rFonts w:eastAsia="Times New Roman" w:cstheme="minorHAnsi"/>
                <w:sz w:val="18"/>
                <w:szCs w:val="18"/>
              </w:rPr>
            </w:pPr>
            <w:r w:rsidRPr="00BD453F">
              <w:rPr>
                <w:rFonts w:eastAsia="Times New Roman" w:cstheme="minorHAnsi"/>
                <w:sz w:val="18"/>
                <w:szCs w:val="18"/>
              </w:rPr>
              <w:t>1.7.2 Establishment of a Research Team to undertake operational aspects of the PGA, including mapping exercises</w:t>
            </w:r>
          </w:p>
        </w:tc>
        <w:tc>
          <w:tcPr>
            <w:tcW w:w="3417" w:type="dxa"/>
            <w:tcBorders>
              <w:top w:val="nil"/>
              <w:left w:val="nil"/>
              <w:bottom w:val="single" w:sz="4" w:space="0" w:color="auto"/>
              <w:right w:val="single" w:sz="4" w:space="0" w:color="auto"/>
            </w:tcBorders>
            <w:shd w:val="clear" w:color="auto" w:fill="auto"/>
            <w:hideMark/>
          </w:tcPr>
          <w:p w:rsidR="00E64335" w:rsidRPr="00BD453F" w:rsidRDefault="00E64335" w:rsidP="00E64335">
            <w:pPr>
              <w:spacing w:after="0" w:line="240" w:lineRule="auto"/>
              <w:rPr>
                <w:rFonts w:eastAsia="Times New Roman" w:cstheme="minorHAnsi"/>
                <w:sz w:val="18"/>
                <w:szCs w:val="18"/>
              </w:rPr>
            </w:pPr>
            <w:r w:rsidRPr="00BD453F">
              <w:rPr>
                <w:rFonts w:eastAsia="Times New Roman" w:cstheme="minorHAnsi"/>
                <w:sz w:val="18"/>
                <w:szCs w:val="18"/>
              </w:rPr>
              <w:t>A national NGO will be contracted for the Research Team to drive the PGA process in the pilot province. More specifically, the NGO will:</w:t>
            </w:r>
            <w:r w:rsidRPr="00BD453F">
              <w:rPr>
                <w:rFonts w:eastAsia="Times New Roman" w:cstheme="minorHAnsi"/>
                <w:sz w:val="18"/>
                <w:szCs w:val="18"/>
              </w:rPr>
              <w:br/>
            </w:r>
            <w:r w:rsidRPr="00BD453F">
              <w:rPr>
                <w:rFonts w:eastAsia="Times New Roman" w:cstheme="minorHAnsi"/>
                <w:sz w:val="18"/>
                <w:szCs w:val="18"/>
              </w:rPr>
              <w:br/>
              <w:t>* map REDD+ stakeholders and provide a baseline for existing governance initiatives in the selected pilot province</w:t>
            </w:r>
            <w:r w:rsidRPr="00BD453F">
              <w:rPr>
                <w:rFonts w:eastAsia="Times New Roman" w:cstheme="minorHAnsi"/>
                <w:sz w:val="18"/>
                <w:szCs w:val="18"/>
              </w:rPr>
              <w:br/>
              <w:t>* organize and conduct a stakeholder workshop to present the PGA approach for provincial/district stakeholders in the selected pilot province, and conduct initial awareness rising on REDD+, present the findings from the mapping exercises and get consent for a first cut on the draft indicators</w:t>
            </w:r>
            <w:r w:rsidRPr="00BD453F">
              <w:rPr>
                <w:rFonts w:eastAsia="Times New Roman" w:cstheme="minorHAnsi"/>
                <w:sz w:val="18"/>
                <w:szCs w:val="18"/>
              </w:rPr>
              <w:br/>
              <w:t>* consult with Advisory Group regularly</w:t>
            </w:r>
            <w:r w:rsidRPr="00BD453F">
              <w:rPr>
                <w:rFonts w:eastAsia="Times New Roman" w:cstheme="minorHAnsi"/>
                <w:sz w:val="18"/>
                <w:szCs w:val="18"/>
              </w:rPr>
              <w:br/>
              <w:t>* draft the indicator set to be used for the data collection</w:t>
            </w:r>
            <w:r w:rsidRPr="00BD453F">
              <w:rPr>
                <w:rFonts w:eastAsia="Times New Roman" w:cstheme="minorHAnsi"/>
                <w:sz w:val="18"/>
                <w:szCs w:val="18"/>
              </w:rPr>
              <w:br/>
              <w:t>* organize and conduct a stakeholder consultation in the pilot province to get feedback on the draft indicator set</w:t>
            </w:r>
          </w:p>
        </w:tc>
        <w:tc>
          <w:tcPr>
            <w:tcW w:w="1456" w:type="dxa"/>
            <w:tcBorders>
              <w:top w:val="single" w:sz="4" w:space="0" w:color="auto"/>
              <w:left w:val="nil"/>
              <w:bottom w:val="single" w:sz="4" w:space="0" w:color="auto"/>
              <w:right w:val="single" w:sz="4" w:space="0" w:color="auto"/>
            </w:tcBorders>
            <w:shd w:val="clear" w:color="auto" w:fill="auto"/>
            <w:hideMark/>
          </w:tcPr>
          <w:p w:rsidR="00E64335" w:rsidRPr="00BD453F" w:rsidRDefault="00E64335" w:rsidP="00E64335">
            <w:pPr>
              <w:spacing w:after="0" w:line="240" w:lineRule="auto"/>
              <w:jc w:val="center"/>
              <w:rPr>
                <w:rFonts w:eastAsia="Times New Roman" w:cstheme="minorHAnsi"/>
                <w:color w:val="FF0000"/>
                <w:sz w:val="18"/>
                <w:szCs w:val="18"/>
              </w:rPr>
            </w:pPr>
            <w:r w:rsidRPr="00BD453F">
              <w:rPr>
                <w:rFonts w:eastAsia="Times New Roman" w:cstheme="minorHAnsi"/>
                <w:color w:val="FF0000"/>
                <w:sz w:val="18"/>
                <w:szCs w:val="18"/>
              </w:rPr>
              <w:t>Removed due to procurement regulations</w:t>
            </w:r>
          </w:p>
        </w:tc>
      </w:tr>
      <w:tr w:rsidR="00E64335" w:rsidRPr="00BD453F" w:rsidTr="00E64335">
        <w:trPr>
          <w:gridAfter w:val="1"/>
          <w:wAfter w:w="709" w:type="dxa"/>
          <w:trHeight w:val="855"/>
        </w:trPr>
        <w:tc>
          <w:tcPr>
            <w:tcW w:w="4998" w:type="dxa"/>
            <w:tcBorders>
              <w:top w:val="nil"/>
              <w:left w:val="single" w:sz="4" w:space="0" w:color="auto"/>
              <w:bottom w:val="single" w:sz="4" w:space="0" w:color="auto"/>
              <w:right w:val="single" w:sz="4" w:space="0" w:color="auto"/>
            </w:tcBorders>
            <w:shd w:val="clear" w:color="auto" w:fill="auto"/>
            <w:hideMark/>
          </w:tcPr>
          <w:p w:rsidR="00E64335" w:rsidRPr="00BD453F" w:rsidRDefault="00E64335" w:rsidP="00E64335">
            <w:pPr>
              <w:spacing w:after="0" w:line="240" w:lineRule="auto"/>
              <w:rPr>
                <w:rFonts w:eastAsia="Times New Roman" w:cstheme="minorHAnsi"/>
                <w:sz w:val="18"/>
                <w:szCs w:val="18"/>
              </w:rPr>
            </w:pPr>
            <w:r w:rsidRPr="00BD453F">
              <w:rPr>
                <w:rFonts w:eastAsia="Times New Roman" w:cstheme="minorHAnsi"/>
                <w:sz w:val="18"/>
                <w:szCs w:val="18"/>
              </w:rPr>
              <w:t>1.7.3 Establishment of Advisory Group</w:t>
            </w:r>
          </w:p>
        </w:tc>
        <w:tc>
          <w:tcPr>
            <w:tcW w:w="3417" w:type="dxa"/>
            <w:tcBorders>
              <w:top w:val="nil"/>
              <w:left w:val="nil"/>
              <w:bottom w:val="single" w:sz="4" w:space="0" w:color="auto"/>
              <w:right w:val="single" w:sz="4" w:space="0" w:color="auto"/>
            </w:tcBorders>
            <w:shd w:val="clear" w:color="auto" w:fill="auto"/>
            <w:hideMark/>
          </w:tcPr>
          <w:p w:rsidR="00E64335" w:rsidRPr="00BD453F" w:rsidRDefault="00E64335" w:rsidP="00E64335">
            <w:pPr>
              <w:spacing w:after="0" w:line="240" w:lineRule="auto"/>
              <w:rPr>
                <w:rFonts w:eastAsia="Times New Roman" w:cstheme="minorHAnsi"/>
                <w:sz w:val="18"/>
                <w:szCs w:val="18"/>
              </w:rPr>
            </w:pPr>
            <w:r w:rsidRPr="00BD453F">
              <w:rPr>
                <w:rFonts w:eastAsia="Times New Roman" w:cstheme="minorHAnsi"/>
                <w:sz w:val="18"/>
                <w:szCs w:val="18"/>
              </w:rPr>
              <w:t>A larger group of REDD+ stakeholders that include GoV, CSO and Academia to advise the Research Team.</w:t>
            </w:r>
          </w:p>
        </w:tc>
        <w:tc>
          <w:tcPr>
            <w:tcW w:w="1456" w:type="dxa"/>
            <w:tcBorders>
              <w:top w:val="nil"/>
              <w:left w:val="nil"/>
              <w:bottom w:val="single" w:sz="4" w:space="0" w:color="auto"/>
              <w:right w:val="single" w:sz="4" w:space="0" w:color="auto"/>
            </w:tcBorders>
            <w:shd w:val="clear" w:color="auto" w:fill="auto"/>
            <w:noWrap/>
            <w:hideMark/>
          </w:tcPr>
          <w:p w:rsidR="00E64335" w:rsidRPr="00BD453F" w:rsidRDefault="00E64335" w:rsidP="00682429">
            <w:pPr>
              <w:spacing w:after="0" w:line="240" w:lineRule="auto"/>
              <w:jc w:val="center"/>
              <w:rPr>
                <w:rFonts w:eastAsia="Times New Roman" w:cstheme="minorHAnsi"/>
                <w:sz w:val="18"/>
                <w:szCs w:val="18"/>
              </w:rPr>
            </w:pPr>
            <w:r w:rsidRPr="00BD453F">
              <w:rPr>
                <w:rFonts w:eastAsia="Times New Roman" w:cstheme="minorHAnsi"/>
                <w:sz w:val="18"/>
                <w:szCs w:val="18"/>
              </w:rPr>
              <w:t>6,000</w:t>
            </w:r>
          </w:p>
        </w:tc>
      </w:tr>
      <w:tr w:rsidR="00E64335" w:rsidRPr="00BD453F" w:rsidTr="00BD453F">
        <w:trPr>
          <w:gridAfter w:val="1"/>
          <w:wAfter w:w="709" w:type="dxa"/>
          <w:trHeight w:val="584"/>
        </w:trPr>
        <w:tc>
          <w:tcPr>
            <w:tcW w:w="4998" w:type="dxa"/>
            <w:tcBorders>
              <w:top w:val="nil"/>
              <w:left w:val="single" w:sz="4" w:space="0" w:color="auto"/>
              <w:bottom w:val="single" w:sz="4" w:space="0" w:color="auto"/>
              <w:right w:val="single" w:sz="4" w:space="0" w:color="auto"/>
            </w:tcBorders>
            <w:shd w:val="clear" w:color="auto" w:fill="auto"/>
            <w:hideMark/>
          </w:tcPr>
          <w:p w:rsidR="00E64335" w:rsidRPr="00BD453F" w:rsidRDefault="00E64335" w:rsidP="00E64335">
            <w:pPr>
              <w:spacing w:after="0" w:line="240" w:lineRule="auto"/>
              <w:rPr>
                <w:rFonts w:eastAsia="Times New Roman" w:cstheme="minorHAnsi"/>
                <w:sz w:val="18"/>
                <w:szCs w:val="18"/>
              </w:rPr>
            </w:pPr>
            <w:r w:rsidRPr="00BD453F">
              <w:rPr>
                <w:rFonts w:eastAsia="Times New Roman" w:cstheme="minorHAnsi"/>
                <w:sz w:val="18"/>
                <w:szCs w:val="18"/>
              </w:rPr>
              <w:t>1.7.4 South-South exchange - delegation from Indonesia to visit Viet Nam to share experiences from their REDD+ PGA</w:t>
            </w:r>
          </w:p>
        </w:tc>
        <w:tc>
          <w:tcPr>
            <w:tcW w:w="3417" w:type="dxa"/>
            <w:tcBorders>
              <w:top w:val="nil"/>
              <w:left w:val="nil"/>
              <w:bottom w:val="single" w:sz="4" w:space="0" w:color="auto"/>
              <w:right w:val="single" w:sz="4" w:space="0" w:color="auto"/>
            </w:tcBorders>
            <w:shd w:val="clear" w:color="auto" w:fill="auto"/>
            <w:hideMark/>
          </w:tcPr>
          <w:p w:rsidR="00E64335" w:rsidRPr="00BD453F" w:rsidRDefault="00E64335" w:rsidP="00E64335">
            <w:pPr>
              <w:spacing w:after="0" w:line="240" w:lineRule="auto"/>
              <w:rPr>
                <w:rFonts w:eastAsia="Times New Roman" w:cstheme="minorHAnsi"/>
                <w:sz w:val="18"/>
                <w:szCs w:val="18"/>
              </w:rPr>
            </w:pPr>
            <w:r w:rsidRPr="00BD453F">
              <w:rPr>
                <w:rFonts w:eastAsia="Times New Roman" w:cstheme="minorHAnsi"/>
                <w:sz w:val="18"/>
                <w:szCs w:val="18"/>
              </w:rPr>
              <w:t>Exchange visit from Indonesia for inputs based on experiences with the PGA</w:t>
            </w:r>
          </w:p>
        </w:tc>
        <w:tc>
          <w:tcPr>
            <w:tcW w:w="1456" w:type="dxa"/>
            <w:tcBorders>
              <w:top w:val="nil"/>
              <w:left w:val="nil"/>
              <w:bottom w:val="single" w:sz="4" w:space="0" w:color="auto"/>
              <w:right w:val="single" w:sz="4" w:space="0" w:color="auto"/>
            </w:tcBorders>
            <w:shd w:val="clear" w:color="auto" w:fill="auto"/>
            <w:noWrap/>
            <w:hideMark/>
          </w:tcPr>
          <w:p w:rsidR="00E64335" w:rsidRPr="00BD453F" w:rsidRDefault="00E64335" w:rsidP="00682429">
            <w:pPr>
              <w:spacing w:after="0" w:line="240" w:lineRule="auto"/>
              <w:jc w:val="center"/>
              <w:rPr>
                <w:rFonts w:eastAsia="Times New Roman" w:cstheme="minorHAnsi"/>
                <w:sz w:val="18"/>
                <w:szCs w:val="18"/>
              </w:rPr>
            </w:pPr>
            <w:r w:rsidRPr="00BD453F">
              <w:rPr>
                <w:rFonts w:eastAsia="Times New Roman" w:cstheme="minorHAnsi"/>
                <w:sz w:val="18"/>
                <w:szCs w:val="18"/>
              </w:rPr>
              <w:t>7,975</w:t>
            </w:r>
          </w:p>
        </w:tc>
      </w:tr>
      <w:tr w:rsidR="00E64335" w:rsidRPr="00BD453F" w:rsidTr="00BD453F">
        <w:trPr>
          <w:gridAfter w:val="1"/>
          <w:wAfter w:w="709" w:type="dxa"/>
          <w:trHeight w:val="1070"/>
        </w:trPr>
        <w:tc>
          <w:tcPr>
            <w:tcW w:w="4998" w:type="dxa"/>
            <w:tcBorders>
              <w:top w:val="single" w:sz="4" w:space="0" w:color="auto"/>
              <w:left w:val="single" w:sz="4" w:space="0" w:color="auto"/>
              <w:bottom w:val="single" w:sz="4" w:space="0" w:color="auto"/>
              <w:right w:val="single" w:sz="4" w:space="0" w:color="auto"/>
            </w:tcBorders>
            <w:shd w:val="clear" w:color="auto" w:fill="auto"/>
            <w:hideMark/>
          </w:tcPr>
          <w:p w:rsidR="00E64335" w:rsidRPr="00BD453F" w:rsidRDefault="00E64335" w:rsidP="00E64335">
            <w:pPr>
              <w:spacing w:after="0" w:line="240" w:lineRule="auto"/>
              <w:rPr>
                <w:rFonts w:eastAsia="Times New Roman" w:cstheme="minorHAnsi"/>
                <w:sz w:val="18"/>
                <w:szCs w:val="18"/>
              </w:rPr>
            </w:pPr>
            <w:r w:rsidRPr="00BD453F">
              <w:rPr>
                <w:rFonts w:eastAsia="Times New Roman" w:cstheme="minorHAnsi"/>
                <w:sz w:val="18"/>
                <w:szCs w:val="18"/>
              </w:rPr>
              <w:t>1.7.5 Preparation for data collection</w:t>
            </w:r>
            <w:r w:rsidRPr="00BD453F">
              <w:rPr>
                <w:rFonts w:eastAsia="Times New Roman" w:cstheme="minorHAnsi"/>
                <w:sz w:val="18"/>
                <w:szCs w:val="18"/>
              </w:rPr>
              <w:br/>
              <w:t>• Developing data collection instruments</w:t>
            </w:r>
            <w:r w:rsidRPr="00BD453F">
              <w:rPr>
                <w:rFonts w:eastAsia="Times New Roman" w:cstheme="minorHAnsi"/>
                <w:sz w:val="18"/>
                <w:szCs w:val="18"/>
              </w:rPr>
              <w:br/>
              <w:t xml:space="preserve">• Field testing of data collection instruments in pilot province </w:t>
            </w:r>
            <w:r w:rsidRPr="00BD453F">
              <w:rPr>
                <w:rFonts w:eastAsia="Times New Roman" w:cstheme="minorHAnsi"/>
                <w:sz w:val="18"/>
                <w:szCs w:val="18"/>
              </w:rPr>
              <w:br/>
              <w:t>• Assessments of training needs of data collectors</w:t>
            </w:r>
          </w:p>
        </w:tc>
        <w:tc>
          <w:tcPr>
            <w:tcW w:w="3417" w:type="dxa"/>
            <w:tcBorders>
              <w:top w:val="single" w:sz="4" w:space="0" w:color="auto"/>
              <w:left w:val="nil"/>
              <w:bottom w:val="single" w:sz="4" w:space="0" w:color="auto"/>
              <w:right w:val="single" w:sz="4" w:space="0" w:color="auto"/>
            </w:tcBorders>
            <w:shd w:val="clear" w:color="auto" w:fill="auto"/>
            <w:hideMark/>
          </w:tcPr>
          <w:p w:rsidR="00E64335" w:rsidRPr="00BD453F" w:rsidRDefault="00E64335" w:rsidP="00E64335">
            <w:pPr>
              <w:spacing w:after="0" w:line="240" w:lineRule="auto"/>
              <w:rPr>
                <w:rFonts w:eastAsia="Times New Roman" w:cstheme="minorHAnsi"/>
                <w:sz w:val="18"/>
                <w:szCs w:val="18"/>
              </w:rPr>
            </w:pPr>
          </w:p>
        </w:tc>
        <w:tc>
          <w:tcPr>
            <w:tcW w:w="1456" w:type="dxa"/>
            <w:tcBorders>
              <w:top w:val="single" w:sz="4" w:space="0" w:color="auto"/>
              <w:left w:val="nil"/>
              <w:bottom w:val="single" w:sz="4" w:space="0" w:color="auto"/>
              <w:right w:val="single" w:sz="4" w:space="0" w:color="auto"/>
            </w:tcBorders>
            <w:shd w:val="clear" w:color="auto" w:fill="auto"/>
            <w:hideMark/>
          </w:tcPr>
          <w:p w:rsidR="00E64335" w:rsidRPr="00BD453F" w:rsidRDefault="00E64335" w:rsidP="00E64335">
            <w:pPr>
              <w:spacing w:after="0" w:line="240" w:lineRule="auto"/>
              <w:jc w:val="center"/>
              <w:rPr>
                <w:rFonts w:eastAsia="Times New Roman" w:cstheme="minorHAnsi"/>
                <w:color w:val="FF0000"/>
                <w:sz w:val="18"/>
                <w:szCs w:val="18"/>
              </w:rPr>
            </w:pPr>
            <w:r w:rsidRPr="00BD453F">
              <w:rPr>
                <w:rFonts w:eastAsia="Times New Roman" w:cstheme="minorHAnsi"/>
                <w:color w:val="FF0000"/>
                <w:sz w:val="18"/>
                <w:szCs w:val="18"/>
              </w:rPr>
              <w:t>Removed due to procurement regulations</w:t>
            </w:r>
          </w:p>
        </w:tc>
      </w:tr>
      <w:tr w:rsidR="00E64335" w:rsidRPr="00BD453F" w:rsidTr="00BD453F">
        <w:trPr>
          <w:gridAfter w:val="1"/>
          <w:wAfter w:w="709" w:type="dxa"/>
          <w:trHeight w:val="800"/>
        </w:trPr>
        <w:tc>
          <w:tcPr>
            <w:tcW w:w="4998" w:type="dxa"/>
            <w:tcBorders>
              <w:top w:val="nil"/>
              <w:left w:val="single" w:sz="4" w:space="0" w:color="auto"/>
              <w:bottom w:val="single" w:sz="4" w:space="0" w:color="auto"/>
              <w:right w:val="single" w:sz="4" w:space="0" w:color="auto"/>
            </w:tcBorders>
            <w:shd w:val="clear" w:color="auto" w:fill="auto"/>
            <w:hideMark/>
          </w:tcPr>
          <w:p w:rsidR="00E64335" w:rsidRPr="00BD453F" w:rsidRDefault="00E64335" w:rsidP="00E64335">
            <w:pPr>
              <w:spacing w:after="0" w:line="240" w:lineRule="auto"/>
              <w:rPr>
                <w:rFonts w:eastAsia="Times New Roman" w:cstheme="minorHAnsi"/>
                <w:sz w:val="18"/>
                <w:szCs w:val="18"/>
              </w:rPr>
            </w:pPr>
            <w:r w:rsidRPr="00BD453F">
              <w:rPr>
                <w:rFonts w:eastAsia="Times New Roman" w:cstheme="minorHAnsi"/>
                <w:sz w:val="18"/>
                <w:szCs w:val="18"/>
              </w:rPr>
              <w:t xml:space="preserve">1.7.6 Data collection </w:t>
            </w:r>
          </w:p>
        </w:tc>
        <w:tc>
          <w:tcPr>
            <w:tcW w:w="3417" w:type="dxa"/>
            <w:tcBorders>
              <w:top w:val="nil"/>
              <w:left w:val="nil"/>
              <w:bottom w:val="single" w:sz="4" w:space="0" w:color="auto"/>
              <w:right w:val="single" w:sz="4" w:space="0" w:color="auto"/>
            </w:tcBorders>
            <w:shd w:val="clear" w:color="auto" w:fill="auto"/>
            <w:hideMark/>
          </w:tcPr>
          <w:p w:rsidR="00E64335" w:rsidRPr="00BD453F" w:rsidRDefault="00E64335" w:rsidP="00E64335">
            <w:pPr>
              <w:spacing w:after="0" w:line="240" w:lineRule="auto"/>
              <w:rPr>
                <w:rFonts w:eastAsia="Times New Roman" w:cstheme="minorHAnsi"/>
                <w:sz w:val="18"/>
                <w:szCs w:val="18"/>
              </w:rPr>
            </w:pPr>
            <w:r w:rsidRPr="00BD453F">
              <w:rPr>
                <w:rFonts w:eastAsia="Times New Roman" w:cstheme="minorHAnsi"/>
                <w:sz w:val="18"/>
                <w:szCs w:val="18"/>
              </w:rPr>
              <w:t> </w:t>
            </w:r>
          </w:p>
        </w:tc>
        <w:tc>
          <w:tcPr>
            <w:tcW w:w="1456" w:type="dxa"/>
            <w:tcBorders>
              <w:top w:val="nil"/>
              <w:left w:val="nil"/>
              <w:bottom w:val="single" w:sz="4" w:space="0" w:color="auto"/>
              <w:right w:val="single" w:sz="4" w:space="0" w:color="auto"/>
            </w:tcBorders>
            <w:shd w:val="clear" w:color="auto" w:fill="auto"/>
            <w:hideMark/>
          </w:tcPr>
          <w:p w:rsidR="00E64335" w:rsidRPr="00BD453F" w:rsidRDefault="00E64335" w:rsidP="00E64335">
            <w:pPr>
              <w:spacing w:after="0" w:line="240" w:lineRule="auto"/>
              <w:jc w:val="center"/>
              <w:rPr>
                <w:rFonts w:eastAsia="Times New Roman" w:cstheme="minorHAnsi"/>
                <w:color w:val="FF0000"/>
                <w:sz w:val="18"/>
                <w:szCs w:val="18"/>
              </w:rPr>
            </w:pPr>
            <w:r w:rsidRPr="00BD453F">
              <w:rPr>
                <w:rFonts w:eastAsia="Times New Roman" w:cstheme="minorHAnsi"/>
                <w:color w:val="FF0000"/>
                <w:sz w:val="18"/>
                <w:szCs w:val="18"/>
              </w:rPr>
              <w:t>Removed due to procurement regulations</w:t>
            </w:r>
          </w:p>
        </w:tc>
      </w:tr>
      <w:tr w:rsidR="00E64335" w:rsidRPr="00BD453F" w:rsidTr="00BD453F">
        <w:trPr>
          <w:gridAfter w:val="1"/>
          <w:wAfter w:w="709" w:type="dxa"/>
          <w:trHeight w:val="782"/>
        </w:trPr>
        <w:tc>
          <w:tcPr>
            <w:tcW w:w="4998" w:type="dxa"/>
            <w:tcBorders>
              <w:top w:val="nil"/>
              <w:left w:val="single" w:sz="4" w:space="0" w:color="auto"/>
              <w:bottom w:val="single" w:sz="4" w:space="0" w:color="auto"/>
              <w:right w:val="single" w:sz="4" w:space="0" w:color="auto"/>
            </w:tcBorders>
            <w:shd w:val="clear" w:color="auto" w:fill="auto"/>
            <w:noWrap/>
            <w:hideMark/>
          </w:tcPr>
          <w:p w:rsidR="00E64335" w:rsidRPr="00BD453F" w:rsidRDefault="00E64335" w:rsidP="00E64335">
            <w:pPr>
              <w:spacing w:after="0" w:line="240" w:lineRule="auto"/>
              <w:rPr>
                <w:rFonts w:eastAsia="Times New Roman" w:cstheme="minorHAnsi"/>
                <w:sz w:val="18"/>
                <w:szCs w:val="18"/>
              </w:rPr>
            </w:pPr>
            <w:r w:rsidRPr="00BD453F">
              <w:rPr>
                <w:rFonts w:eastAsia="Times New Roman" w:cstheme="minorHAnsi"/>
                <w:sz w:val="18"/>
                <w:szCs w:val="18"/>
              </w:rPr>
              <w:t>1.7.7 Data analysis and dissemination</w:t>
            </w:r>
          </w:p>
        </w:tc>
        <w:tc>
          <w:tcPr>
            <w:tcW w:w="3417" w:type="dxa"/>
            <w:tcBorders>
              <w:top w:val="nil"/>
              <w:left w:val="nil"/>
              <w:bottom w:val="single" w:sz="4" w:space="0" w:color="auto"/>
              <w:right w:val="single" w:sz="4" w:space="0" w:color="auto"/>
            </w:tcBorders>
            <w:shd w:val="clear" w:color="auto" w:fill="auto"/>
            <w:hideMark/>
          </w:tcPr>
          <w:p w:rsidR="00E64335" w:rsidRPr="00BD453F" w:rsidRDefault="00E64335" w:rsidP="00E64335">
            <w:pPr>
              <w:spacing w:after="0" w:line="240" w:lineRule="auto"/>
              <w:rPr>
                <w:rFonts w:eastAsia="Times New Roman" w:cstheme="minorHAnsi"/>
                <w:sz w:val="18"/>
                <w:szCs w:val="18"/>
              </w:rPr>
            </w:pPr>
            <w:r w:rsidRPr="00BD453F">
              <w:rPr>
                <w:rFonts w:eastAsia="Times New Roman" w:cstheme="minorHAnsi"/>
                <w:sz w:val="18"/>
                <w:szCs w:val="18"/>
              </w:rPr>
              <w:t> </w:t>
            </w:r>
          </w:p>
        </w:tc>
        <w:tc>
          <w:tcPr>
            <w:tcW w:w="1456" w:type="dxa"/>
            <w:tcBorders>
              <w:top w:val="nil"/>
              <w:left w:val="nil"/>
              <w:bottom w:val="single" w:sz="4" w:space="0" w:color="auto"/>
              <w:right w:val="single" w:sz="4" w:space="0" w:color="auto"/>
            </w:tcBorders>
            <w:shd w:val="clear" w:color="auto" w:fill="auto"/>
            <w:hideMark/>
          </w:tcPr>
          <w:p w:rsidR="00E64335" w:rsidRPr="00BD453F" w:rsidRDefault="00E64335" w:rsidP="00E64335">
            <w:pPr>
              <w:spacing w:after="0" w:line="240" w:lineRule="auto"/>
              <w:jc w:val="center"/>
              <w:rPr>
                <w:rFonts w:eastAsia="Times New Roman" w:cstheme="minorHAnsi"/>
                <w:color w:val="FF0000"/>
                <w:sz w:val="18"/>
                <w:szCs w:val="18"/>
              </w:rPr>
            </w:pPr>
            <w:r w:rsidRPr="00BD453F">
              <w:rPr>
                <w:rFonts w:eastAsia="Times New Roman" w:cstheme="minorHAnsi"/>
                <w:color w:val="FF0000"/>
                <w:sz w:val="18"/>
                <w:szCs w:val="18"/>
              </w:rPr>
              <w:t>Removed due to procurement regulations</w:t>
            </w:r>
          </w:p>
        </w:tc>
      </w:tr>
      <w:tr w:rsidR="00E64335" w:rsidRPr="00BD453F" w:rsidTr="00682429">
        <w:trPr>
          <w:gridAfter w:val="1"/>
          <w:wAfter w:w="709" w:type="dxa"/>
          <w:trHeight w:val="845"/>
        </w:trPr>
        <w:tc>
          <w:tcPr>
            <w:tcW w:w="4998" w:type="dxa"/>
            <w:tcBorders>
              <w:top w:val="nil"/>
              <w:left w:val="single" w:sz="4" w:space="0" w:color="auto"/>
              <w:bottom w:val="single" w:sz="4" w:space="0" w:color="auto"/>
              <w:right w:val="single" w:sz="4" w:space="0" w:color="auto"/>
            </w:tcBorders>
            <w:shd w:val="clear" w:color="auto" w:fill="auto"/>
            <w:hideMark/>
          </w:tcPr>
          <w:p w:rsidR="00E64335" w:rsidRPr="00BD453F" w:rsidRDefault="00E64335" w:rsidP="00E64335">
            <w:pPr>
              <w:spacing w:after="0" w:line="240" w:lineRule="auto"/>
              <w:rPr>
                <w:rFonts w:eastAsia="Times New Roman" w:cstheme="minorHAnsi"/>
                <w:sz w:val="18"/>
                <w:szCs w:val="18"/>
              </w:rPr>
            </w:pPr>
            <w:r w:rsidRPr="00BD453F">
              <w:rPr>
                <w:rFonts w:eastAsia="Times New Roman" w:cstheme="minorHAnsi"/>
                <w:sz w:val="18"/>
                <w:szCs w:val="18"/>
              </w:rPr>
              <w:t>1.7.8 Lessons Learned Exchange workshop in Indonesia</w:t>
            </w:r>
          </w:p>
        </w:tc>
        <w:tc>
          <w:tcPr>
            <w:tcW w:w="3417" w:type="dxa"/>
            <w:tcBorders>
              <w:top w:val="nil"/>
              <w:left w:val="nil"/>
              <w:bottom w:val="single" w:sz="4" w:space="0" w:color="auto"/>
              <w:right w:val="single" w:sz="4" w:space="0" w:color="auto"/>
            </w:tcBorders>
            <w:shd w:val="clear" w:color="auto" w:fill="auto"/>
            <w:hideMark/>
          </w:tcPr>
          <w:p w:rsidR="00BD453F" w:rsidRPr="00BD453F" w:rsidRDefault="00E64335" w:rsidP="00E64335">
            <w:pPr>
              <w:spacing w:after="0" w:line="240" w:lineRule="auto"/>
              <w:rPr>
                <w:rFonts w:eastAsia="Times New Roman" w:cstheme="minorHAnsi"/>
                <w:sz w:val="18"/>
                <w:szCs w:val="18"/>
              </w:rPr>
            </w:pPr>
            <w:r w:rsidRPr="00BD453F">
              <w:rPr>
                <w:rFonts w:eastAsia="Times New Roman" w:cstheme="minorHAnsi"/>
                <w:sz w:val="18"/>
                <w:szCs w:val="18"/>
              </w:rPr>
              <w:t xml:space="preserve">Focal points from the four PGA for REDD+ pilot countries will meet to discuss lessons learned and exchange </w:t>
            </w:r>
            <w:r w:rsidR="00593A93" w:rsidRPr="00BD453F">
              <w:rPr>
                <w:rFonts w:eastAsia="Times New Roman" w:cstheme="minorHAnsi"/>
                <w:sz w:val="18"/>
                <w:szCs w:val="18"/>
              </w:rPr>
              <w:t>experiences</w:t>
            </w:r>
          </w:p>
        </w:tc>
        <w:tc>
          <w:tcPr>
            <w:tcW w:w="1456" w:type="dxa"/>
            <w:tcBorders>
              <w:top w:val="nil"/>
              <w:left w:val="nil"/>
              <w:bottom w:val="single" w:sz="4" w:space="0" w:color="auto"/>
              <w:right w:val="single" w:sz="4" w:space="0" w:color="auto"/>
            </w:tcBorders>
            <w:shd w:val="clear" w:color="auto" w:fill="auto"/>
            <w:noWrap/>
            <w:hideMark/>
          </w:tcPr>
          <w:p w:rsidR="00E64335" w:rsidRPr="00BD453F" w:rsidRDefault="00E64335" w:rsidP="00682429">
            <w:pPr>
              <w:spacing w:after="0" w:line="240" w:lineRule="auto"/>
              <w:jc w:val="center"/>
              <w:rPr>
                <w:rFonts w:eastAsia="Times New Roman" w:cstheme="minorHAnsi"/>
                <w:sz w:val="18"/>
                <w:szCs w:val="18"/>
              </w:rPr>
            </w:pPr>
            <w:r w:rsidRPr="00BD453F">
              <w:rPr>
                <w:rFonts w:eastAsia="Times New Roman" w:cstheme="minorHAnsi"/>
                <w:sz w:val="18"/>
                <w:szCs w:val="18"/>
              </w:rPr>
              <w:t>8,624</w:t>
            </w:r>
          </w:p>
        </w:tc>
      </w:tr>
      <w:tr w:rsidR="00E64335" w:rsidRPr="00BD453F" w:rsidTr="00682429">
        <w:trPr>
          <w:gridAfter w:val="1"/>
          <w:wAfter w:w="709" w:type="dxa"/>
          <w:trHeight w:val="270"/>
        </w:trPr>
        <w:tc>
          <w:tcPr>
            <w:tcW w:w="4998" w:type="dxa"/>
            <w:tcBorders>
              <w:top w:val="single" w:sz="4" w:space="0" w:color="auto"/>
              <w:left w:val="single" w:sz="4" w:space="0" w:color="auto"/>
              <w:bottom w:val="single" w:sz="4" w:space="0" w:color="auto"/>
              <w:right w:val="single" w:sz="4" w:space="0" w:color="auto"/>
            </w:tcBorders>
            <w:shd w:val="clear" w:color="auto" w:fill="auto"/>
            <w:hideMark/>
          </w:tcPr>
          <w:p w:rsidR="00E64335" w:rsidRPr="00BD453F" w:rsidRDefault="00E64335" w:rsidP="00E64335">
            <w:pPr>
              <w:spacing w:after="0" w:line="240" w:lineRule="auto"/>
              <w:rPr>
                <w:rFonts w:eastAsia="Times New Roman" w:cstheme="minorHAnsi"/>
                <w:b/>
                <w:bCs/>
                <w:sz w:val="18"/>
                <w:szCs w:val="18"/>
              </w:rPr>
            </w:pPr>
            <w:r w:rsidRPr="00BD453F">
              <w:rPr>
                <w:rFonts w:eastAsia="Times New Roman" w:cstheme="minorHAnsi"/>
                <w:b/>
                <w:bCs/>
                <w:sz w:val="18"/>
                <w:szCs w:val="18"/>
              </w:rPr>
              <w:t xml:space="preserve">Programme Management </w:t>
            </w:r>
          </w:p>
        </w:tc>
        <w:tc>
          <w:tcPr>
            <w:tcW w:w="3417" w:type="dxa"/>
            <w:tcBorders>
              <w:top w:val="single" w:sz="4" w:space="0" w:color="auto"/>
              <w:left w:val="nil"/>
              <w:bottom w:val="single" w:sz="4" w:space="0" w:color="auto"/>
              <w:right w:val="single" w:sz="4" w:space="0" w:color="auto"/>
            </w:tcBorders>
            <w:shd w:val="clear" w:color="auto" w:fill="auto"/>
            <w:hideMark/>
          </w:tcPr>
          <w:p w:rsidR="00E64335" w:rsidRPr="00BD453F" w:rsidRDefault="00E64335" w:rsidP="00E64335">
            <w:pPr>
              <w:spacing w:after="0" w:line="240" w:lineRule="auto"/>
              <w:jc w:val="center"/>
              <w:rPr>
                <w:rFonts w:eastAsia="Times New Roman" w:cstheme="minorHAnsi"/>
                <w:sz w:val="18"/>
                <w:szCs w:val="18"/>
              </w:rPr>
            </w:pPr>
            <w:r w:rsidRPr="00BD453F">
              <w:rPr>
                <w:rFonts w:eastAsia="Times New Roman" w:cstheme="minorHAnsi"/>
                <w:sz w:val="18"/>
                <w:szCs w:val="18"/>
              </w:rPr>
              <w:t> </w:t>
            </w:r>
          </w:p>
        </w:tc>
        <w:tc>
          <w:tcPr>
            <w:tcW w:w="1456" w:type="dxa"/>
            <w:tcBorders>
              <w:top w:val="single" w:sz="4" w:space="0" w:color="auto"/>
              <w:left w:val="nil"/>
              <w:bottom w:val="single" w:sz="4" w:space="0" w:color="auto"/>
              <w:right w:val="single" w:sz="4" w:space="0" w:color="auto"/>
            </w:tcBorders>
            <w:shd w:val="clear" w:color="auto" w:fill="auto"/>
            <w:noWrap/>
            <w:hideMark/>
          </w:tcPr>
          <w:p w:rsidR="00E64335" w:rsidRPr="00BD453F" w:rsidRDefault="00E64335" w:rsidP="00E64335">
            <w:pPr>
              <w:spacing w:after="0" w:line="240" w:lineRule="auto"/>
              <w:rPr>
                <w:rFonts w:eastAsia="Times New Roman" w:cstheme="minorHAnsi"/>
                <w:sz w:val="18"/>
                <w:szCs w:val="18"/>
              </w:rPr>
            </w:pPr>
            <w:r w:rsidRPr="00BD453F">
              <w:rPr>
                <w:rFonts w:eastAsia="Times New Roman" w:cstheme="minorHAnsi"/>
                <w:sz w:val="18"/>
                <w:szCs w:val="18"/>
              </w:rPr>
              <w:t> </w:t>
            </w:r>
          </w:p>
        </w:tc>
      </w:tr>
      <w:tr w:rsidR="00E64335" w:rsidRPr="00BD453F" w:rsidTr="00682429">
        <w:trPr>
          <w:gridAfter w:val="1"/>
          <w:wAfter w:w="709" w:type="dxa"/>
          <w:trHeight w:val="525"/>
        </w:trPr>
        <w:tc>
          <w:tcPr>
            <w:tcW w:w="4998" w:type="dxa"/>
            <w:tcBorders>
              <w:top w:val="single" w:sz="4" w:space="0" w:color="auto"/>
              <w:left w:val="single" w:sz="4" w:space="0" w:color="auto"/>
              <w:bottom w:val="single" w:sz="4" w:space="0" w:color="auto"/>
              <w:right w:val="single" w:sz="4" w:space="0" w:color="auto"/>
            </w:tcBorders>
            <w:shd w:val="clear" w:color="auto" w:fill="auto"/>
            <w:hideMark/>
          </w:tcPr>
          <w:p w:rsidR="00E64335" w:rsidRPr="00BD453F" w:rsidRDefault="00E64335" w:rsidP="00E64335">
            <w:pPr>
              <w:spacing w:after="0" w:line="240" w:lineRule="auto"/>
              <w:rPr>
                <w:rFonts w:eastAsia="Times New Roman" w:cstheme="minorHAnsi"/>
                <w:i/>
                <w:iCs/>
                <w:sz w:val="18"/>
                <w:szCs w:val="18"/>
              </w:rPr>
            </w:pPr>
            <w:r w:rsidRPr="00BD453F">
              <w:rPr>
                <w:rFonts w:eastAsia="Times New Roman" w:cstheme="minorHAnsi"/>
                <w:i/>
                <w:iCs/>
                <w:sz w:val="18"/>
                <w:szCs w:val="18"/>
              </w:rPr>
              <w:lastRenderedPageBreak/>
              <w:t>Travel costs for UNDP regional Governance expert in Bangkok</w:t>
            </w:r>
          </w:p>
        </w:tc>
        <w:tc>
          <w:tcPr>
            <w:tcW w:w="3417" w:type="dxa"/>
            <w:tcBorders>
              <w:top w:val="single" w:sz="4" w:space="0" w:color="auto"/>
              <w:left w:val="nil"/>
              <w:bottom w:val="single" w:sz="4" w:space="0" w:color="auto"/>
              <w:right w:val="single" w:sz="4" w:space="0" w:color="auto"/>
            </w:tcBorders>
            <w:shd w:val="clear" w:color="auto" w:fill="auto"/>
            <w:hideMark/>
          </w:tcPr>
          <w:p w:rsidR="00E64335" w:rsidRPr="00BD453F" w:rsidRDefault="00E64335" w:rsidP="00E64335">
            <w:pPr>
              <w:spacing w:after="0" w:line="240" w:lineRule="auto"/>
              <w:jc w:val="center"/>
              <w:rPr>
                <w:rFonts w:eastAsia="Times New Roman" w:cstheme="minorHAnsi"/>
                <w:sz w:val="18"/>
                <w:szCs w:val="18"/>
              </w:rPr>
            </w:pPr>
            <w:r w:rsidRPr="00BD453F">
              <w:rPr>
                <w:rFonts w:eastAsia="Times New Roman" w:cstheme="minorHAnsi"/>
                <w:sz w:val="18"/>
                <w:szCs w:val="18"/>
              </w:rPr>
              <w:t>To give expert advice on the governance approach</w:t>
            </w:r>
          </w:p>
        </w:tc>
        <w:tc>
          <w:tcPr>
            <w:tcW w:w="1456" w:type="dxa"/>
            <w:tcBorders>
              <w:top w:val="single" w:sz="4" w:space="0" w:color="auto"/>
              <w:left w:val="nil"/>
              <w:bottom w:val="single" w:sz="4" w:space="0" w:color="auto"/>
              <w:right w:val="single" w:sz="4" w:space="0" w:color="auto"/>
            </w:tcBorders>
            <w:shd w:val="clear" w:color="auto" w:fill="auto"/>
            <w:noWrap/>
            <w:hideMark/>
          </w:tcPr>
          <w:p w:rsidR="00E64335" w:rsidRPr="00BD453F" w:rsidRDefault="00E64335" w:rsidP="00682429">
            <w:pPr>
              <w:spacing w:after="0" w:line="240" w:lineRule="auto"/>
              <w:jc w:val="center"/>
              <w:rPr>
                <w:rFonts w:eastAsia="Times New Roman" w:cstheme="minorHAnsi"/>
                <w:sz w:val="18"/>
                <w:szCs w:val="18"/>
              </w:rPr>
            </w:pPr>
            <w:r w:rsidRPr="00BD453F">
              <w:rPr>
                <w:rFonts w:eastAsia="Times New Roman" w:cstheme="minorHAnsi"/>
                <w:sz w:val="18"/>
                <w:szCs w:val="18"/>
              </w:rPr>
              <w:t>9,000</w:t>
            </w:r>
          </w:p>
        </w:tc>
      </w:tr>
      <w:tr w:rsidR="00E64335" w:rsidRPr="00BD453F" w:rsidTr="00BD453F">
        <w:trPr>
          <w:gridAfter w:val="1"/>
          <w:wAfter w:w="709" w:type="dxa"/>
          <w:trHeight w:val="719"/>
        </w:trPr>
        <w:tc>
          <w:tcPr>
            <w:tcW w:w="4998" w:type="dxa"/>
            <w:tcBorders>
              <w:top w:val="nil"/>
              <w:left w:val="single" w:sz="4" w:space="0" w:color="auto"/>
              <w:bottom w:val="single" w:sz="4" w:space="0" w:color="auto"/>
              <w:right w:val="single" w:sz="4" w:space="0" w:color="auto"/>
            </w:tcBorders>
            <w:shd w:val="clear" w:color="auto" w:fill="auto"/>
            <w:hideMark/>
          </w:tcPr>
          <w:p w:rsidR="00E64335" w:rsidRPr="00BD453F" w:rsidRDefault="00E64335" w:rsidP="00E64335">
            <w:pPr>
              <w:spacing w:after="0" w:line="240" w:lineRule="auto"/>
              <w:rPr>
                <w:rFonts w:eastAsia="Times New Roman" w:cstheme="minorHAnsi"/>
                <w:i/>
                <w:iCs/>
                <w:sz w:val="18"/>
                <w:szCs w:val="18"/>
              </w:rPr>
            </w:pPr>
            <w:r w:rsidRPr="00BD453F">
              <w:rPr>
                <w:rFonts w:eastAsia="Times New Roman" w:cstheme="minorHAnsi"/>
                <w:i/>
                <w:iCs/>
                <w:sz w:val="18"/>
                <w:szCs w:val="18"/>
              </w:rPr>
              <w:t>Programme Coordinator salary</w:t>
            </w:r>
          </w:p>
        </w:tc>
        <w:tc>
          <w:tcPr>
            <w:tcW w:w="3417" w:type="dxa"/>
            <w:tcBorders>
              <w:top w:val="nil"/>
              <w:left w:val="nil"/>
              <w:bottom w:val="single" w:sz="4" w:space="0" w:color="auto"/>
              <w:right w:val="single" w:sz="4" w:space="0" w:color="auto"/>
            </w:tcBorders>
            <w:shd w:val="clear" w:color="auto" w:fill="auto"/>
            <w:hideMark/>
          </w:tcPr>
          <w:p w:rsidR="00E64335" w:rsidRPr="00BD453F" w:rsidRDefault="00E64335" w:rsidP="00E64335">
            <w:pPr>
              <w:spacing w:after="0" w:line="240" w:lineRule="auto"/>
              <w:jc w:val="center"/>
              <w:rPr>
                <w:rFonts w:eastAsia="Times New Roman" w:cstheme="minorHAnsi"/>
                <w:sz w:val="18"/>
                <w:szCs w:val="18"/>
              </w:rPr>
            </w:pPr>
            <w:r w:rsidRPr="00BD453F">
              <w:rPr>
                <w:rFonts w:eastAsia="Times New Roman" w:cstheme="minorHAnsi"/>
                <w:sz w:val="18"/>
                <w:szCs w:val="18"/>
              </w:rPr>
              <w:t>To facilitate the PGA process</w:t>
            </w:r>
          </w:p>
        </w:tc>
        <w:tc>
          <w:tcPr>
            <w:tcW w:w="1456" w:type="dxa"/>
            <w:tcBorders>
              <w:top w:val="nil"/>
              <w:left w:val="nil"/>
              <w:bottom w:val="single" w:sz="4" w:space="0" w:color="auto"/>
              <w:right w:val="single" w:sz="4" w:space="0" w:color="auto"/>
            </w:tcBorders>
            <w:shd w:val="clear" w:color="auto" w:fill="auto"/>
            <w:hideMark/>
          </w:tcPr>
          <w:p w:rsidR="00E64335" w:rsidRPr="00BD453F" w:rsidRDefault="00E64335" w:rsidP="00682429">
            <w:pPr>
              <w:spacing w:after="0" w:line="240" w:lineRule="auto"/>
              <w:jc w:val="center"/>
              <w:rPr>
                <w:rFonts w:eastAsia="Times New Roman" w:cstheme="minorHAnsi"/>
                <w:color w:val="FF0000"/>
                <w:sz w:val="18"/>
                <w:szCs w:val="18"/>
              </w:rPr>
            </w:pPr>
            <w:r w:rsidRPr="00BD453F">
              <w:rPr>
                <w:rFonts w:eastAsia="Times New Roman" w:cstheme="minorHAnsi"/>
                <w:color w:val="FF0000"/>
                <w:sz w:val="18"/>
                <w:szCs w:val="18"/>
              </w:rPr>
              <w:t>Removed due to procurement regulations</w:t>
            </w:r>
          </w:p>
        </w:tc>
      </w:tr>
      <w:tr w:rsidR="00E64335" w:rsidRPr="00BD453F" w:rsidTr="00BD453F">
        <w:trPr>
          <w:gridAfter w:val="1"/>
          <w:wAfter w:w="709" w:type="dxa"/>
          <w:trHeight w:val="251"/>
        </w:trPr>
        <w:tc>
          <w:tcPr>
            <w:tcW w:w="4998" w:type="dxa"/>
            <w:tcBorders>
              <w:top w:val="nil"/>
              <w:left w:val="single" w:sz="4" w:space="0" w:color="auto"/>
              <w:bottom w:val="single" w:sz="4" w:space="0" w:color="auto"/>
              <w:right w:val="single" w:sz="4" w:space="0" w:color="auto"/>
            </w:tcBorders>
            <w:shd w:val="clear" w:color="auto" w:fill="auto"/>
            <w:hideMark/>
          </w:tcPr>
          <w:p w:rsidR="00E64335" w:rsidRPr="00BD453F" w:rsidRDefault="00E64335" w:rsidP="00E64335">
            <w:pPr>
              <w:spacing w:after="0" w:line="240" w:lineRule="auto"/>
              <w:rPr>
                <w:rFonts w:eastAsia="Times New Roman" w:cstheme="minorHAnsi"/>
                <w:i/>
                <w:iCs/>
                <w:sz w:val="18"/>
                <w:szCs w:val="18"/>
              </w:rPr>
            </w:pPr>
            <w:r w:rsidRPr="00BD453F">
              <w:rPr>
                <w:rFonts w:eastAsia="Times New Roman" w:cstheme="minorHAnsi"/>
                <w:i/>
                <w:iCs/>
                <w:sz w:val="18"/>
                <w:szCs w:val="18"/>
              </w:rPr>
              <w:t xml:space="preserve">Traveling to the field for workshops </w:t>
            </w:r>
          </w:p>
        </w:tc>
        <w:tc>
          <w:tcPr>
            <w:tcW w:w="3417" w:type="dxa"/>
            <w:tcBorders>
              <w:top w:val="nil"/>
              <w:left w:val="nil"/>
              <w:bottom w:val="single" w:sz="4" w:space="0" w:color="auto"/>
              <w:right w:val="single" w:sz="4" w:space="0" w:color="auto"/>
            </w:tcBorders>
            <w:shd w:val="clear" w:color="auto" w:fill="auto"/>
            <w:hideMark/>
          </w:tcPr>
          <w:p w:rsidR="00E64335" w:rsidRPr="00BD453F" w:rsidRDefault="00E64335" w:rsidP="00E64335">
            <w:pPr>
              <w:spacing w:after="0" w:line="240" w:lineRule="auto"/>
              <w:jc w:val="center"/>
              <w:rPr>
                <w:rFonts w:eastAsia="Times New Roman" w:cstheme="minorHAnsi"/>
                <w:sz w:val="18"/>
                <w:szCs w:val="18"/>
              </w:rPr>
            </w:pPr>
            <w:r w:rsidRPr="00BD453F">
              <w:rPr>
                <w:rFonts w:eastAsia="Times New Roman" w:cstheme="minorHAnsi"/>
                <w:sz w:val="18"/>
                <w:szCs w:val="18"/>
              </w:rPr>
              <w:t> </w:t>
            </w:r>
          </w:p>
        </w:tc>
        <w:tc>
          <w:tcPr>
            <w:tcW w:w="1456" w:type="dxa"/>
            <w:tcBorders>
              <w:top w:val="nil"/>
              <w:left w:val="nil"/>
              <w:bottom w:val="single" w:sz="4" w:space="0" w:color="auto"/>
              <w:right w:val="single" w:sz="4" w:space="0" w:color="auto"/>
            </w:tcBorders>
            <w:shd w:val="clear" w:color="auto" w:fill="auto"/>
            <w:noWrap/>
            <w:hideMark/>
          </w:tcPr>
          <w:p w:rsidR="00E64335" w:rsidRPr="00BD453F" w:rsidRDefault="00E64335" w:rsidP="00682429">
            <w:pPr>
              <w:spacing w:after="0" w:line="240" w:lineRule="auto"/>
              <w:jc w:val="center"/>
              <w:rPr>
                <w:rFonts w:eastAsia="Times New Roman" w:cstheme="minorHAnsi"/>
                <w:sz w:val="18"/>
                <w:szCs w:val="18"/>
              </w:rPr>
            </w:pPr>
            <w:r w:rsidRPr="00BD453F">
              <w:rPr>
                <w:rFonts w:eastAsia="Times New Roman" w:cstheme="minorHAnsi"/>
                <w:sz w:val="18"/>
                <w:szCs w:val="18"/>
              </w:rPr>
              <w:t>3,000</w:t>
            </w:r>
          </w:p>
        </w:tc>
      </w:tr>
      <w:tr w:rsidR="00E64335" w:rsidRPr="00BD453F" w:rsidTr="00E64335">
        <w:trPr>
          <w:gridAfter w:val="1"/>
          <w:wAfter w:w="709" w:type="dxa"/>
          <w:trHeight w:val="270"/>
        </w:trPr>
        <w:tc>
          <w:tcPr>
            <w:tcW w:w="4998" w:type="dxa"/>
            <w:tcBorders>
              <w:top w:val="nil"/>
              <w:left w:val="single" w:sz="4" w:space="0" w:color="auto"/>
              <w:bottom w:val="single" w:sz="4" w:space="0" w:color="auto"/>
              <w:right w:val="single" w:sz="4" w:space="0" w:color="auto"/>
            </w:tcBorders>
            <w:shd w:val="clear" w:color="auto" w:fill="auto"/>
            <w:hideMark/>
          </w:tcPr>
          <w:p w:rsidR="00E64335" w:rsidRPr="00BD453F" w:rsidRDefault="00E64335" w:rsidP="00E64335">
            <w:pPr>
              <w:spacing w:after="0" w:line="240" w:lineRule="auto"/>
              <w:rPr>
                <w:rFonts w:eastAsia="Times New Roman" w:cstheme="minorHAnsi"/>
                <w:i/>
                <w:iCs/>
                <w:sz w:val="18"/>
                <w:szCs w:val="18"/>
              </w:rPr>
            </w:pPr>
            <w:r w:rsidRPr="00BD453F">
              <w:rPr>
                <w:rFonts w:eastAsia="Times New Roman" w:cstheme="minorHAnsi"/>
                <w:i/>
                <w:iCs/>
                <w:sz w:val="18"/>
                <w:szCs w:val="18"/>
              </w:rPr>
              <w:t>Miscellaneous</w:t>
            </w:r>
          </w:p>
        </w:tc>
        <w:tc>
          <w:tcPr>
            <w:tcW w:w="3417" w:type="dxa"/>
            <w:tcBorders>
              <w:top w:val="nil"/>
              <w:left w:val="nil"/>
              <w:bottom w:val="single" w:sz="4" w:space="0" w:color="auto"/>
              <w:right w:val="single" w:sz="4" w:space="0" w:color="auto"/>
            </w:tcBorders>
            <w:shd w:val="clear" w:color="auto" w:fill="auto"/>
            <w:hideMark/>
          </w:tcPr>
          <w:p w:rsidR="00E64335" w:rsidRPr="00BD453F" w:rsidRDefault="00E64335" w:rsidP="00E64335">
            <w:pPr>
              <w:spacing w:after="0" w:line="240" w:lineRule="auto"/>
              <w:jc w:val="center"/>
              <w:rPr>
                <w:rFonts w:eastAsia="Times New Roman" w:cstheme="minorHAnsi"/>
                <w:sz w:val="18"/>
                <w:szCs w:val="18"/>
              </w:rPr>
            </w:pPr>
            <w:r w:rsidRPr="00BD453F">
              <w:rPr>
                <w:rFonts w:eastAsia="Times New Roman" w:cstheme="minorHAnsi"/>
                <w:sz w:val="18"/>
                <w:szCs w:val="18"/>
              </w:rPr>
              <w:t> </w:t>
            </w:r>
          </w:p>
        </w:tc>
        <w:tc>
          <w:tcPr>
            <w:tcW w:w="1456" w:type="dxa"/>
            <w:tcBorders>
              <w:top w:val="nil"/>
              <w:left w:val="nil"/>
              <w:bottom w:val="single" w:sz="4" w:space="0" w:color="auto"/>
              <w:right w:val="single" w:sz="4" w:space="0" w:color="auto"/>
            </w:tcBorders>
            <w:shd w:val="clear" w:color="auto" w:fill="auto"/>
            <w:noWrap/>
            <w:hideMark/>
          </w:tcPr>
          <w:p w:rsidR="00E64335" w:rsidRPr="00BD453F" w:rsidRDefault="00E64335" w:rsidP="00682429">
            <w:pPr>
              <w:spacing w:after="0" w:line="240" w:lineRule="auto"/>
              <w:jc w:val="center"/>
              <w:rPr>
                <w:rFonts w:eastAsia="Times New Roman" w:cstheme="minorHAnsi"/>
                <w:sz w:val="18"/>
                <w:szCs w:val="18"/>
              </w:rPr>
            </w:pPr>
            <w:r w:rsidRPr="00BD453F">
              <w:rPr>
                <w:rFonts w:eastAsia="Times New Roman" w:cstheme="minorHAnsi"/>
                <w:sz w:val="18"/>
                <w:szCs w:val="18"/>
              </w:rPr>
              <w:t>5,000</w:t>
            </w:r>
          </w:p>
        </w:tc>
      </w:tr>
      <w:tr w:rsidR="00E64335" w:rsidRPr="00BD453F" w:rsidTr="00E64335">
        <w:trPr>
          <w:gridAfter w:val="1"/>
          <w:wAfter w:w="709" w:type="dxa"/>
          <w:trHeight w:val="270"/>
        </w:trPr>
        <w:tc>
          <w:tcPr>
            <w:tcW w:w="4998" w:type="dxa"/>
            <w:tcBorders>
              <w:top w:val="nil"/>
              <w:left w:val="nil"/>
              <w:bottom w:val="nil"/>
              <w:right w:val="nil"/>
            </w:tcBorders>
            <w:shd w:val="clear" w:color="auto" w:fill="auto"/>
            <w:hideMark/>
          </w:tcPr>
          <w:p w:rsidR="00E64335" w:rsidRPr="00BD453F" w:rsidRDefault="00E64335" w:rsidP="00E64335">
            <w:pPr>
              <w:spacing w:after="0" w:line="240" w:lineRule="auto"/>
              <w:rPr>
                <w:rFonts w:eastAsia="Times New Roman" w:cstheme="minorHAnsi"/>
                <w:sz w:val="18"/>
                <w:szCs w:val="18"/>
              </w:rPr>
            </w:pPr>
          </w:p>
        </w:tc>
        <w:tc>
          <w:tcPr>
            <w:tcW w:w="3417" w:type="dxa"/>
            <w:tcBorders>
              <w:top w:val="nil"/>
              <w:left w:val="nil"/>
              <w:bottom w:val="nil"/>
              <w:right w:val="nil"/>
            </w:tcBorders>
            <w:shd w:val="clear" w:color="auto" w:fill="auto"/>
            <w:hideMark/>
          </w:tcPr>
          <w:p w:rsidR="00E64335" w:rsidRPr="00BD453F" w:rsidRDefault="00E64335" w:rsidP="00E64335">
            <w:pPr>
              <w:spacing w:after="0" w:line="240" w:lineRule="auto"/>
              <w:jc w:val="center"/>
              <w:rPr>
                <w:rFonts w:eastAsia="Times New Roman" w:cstheme="minorHAnsi"/>
                <w:sz w:val="18"/>
                <w:szCs w:val="18"/>
              </w:rPr>
            </w:pPr>
          </w:p>
        </w:tc>
        <w:tc>
          <w:tcPr>
            <w:tcW w:w="1456" w:type="dxa"/>
            <w:tcBorders>
              <w:top w:val="nil"/>
              <w:left w:val="nil"/>
              <w:bottom w:val="nil"/>
              <w:right w:val="nil"/>
            </w:tcBorders>
            <w:shd w:val="clear" w:color="auto" w:fill="auto"/>
            <w:noWrap/>
            <w:hideMark/>
          </w:tcPr>
          <w:p w:rsidR="00E64335" w:rsidRPr="00BD453F" w:rsidRDefault="00E64335" w:rsidP="00E64335">
            <w:pPr>
              <w:spacing w:after="0" w:line="240" w:lineRule="auto"/>
              <w:rPr>
                <w:rFonts w:eastAsia="Times New Roman" w:cstheme="minorHAnsi"/>
                <w:sz w:val="18"/>
                <w:szCs w:val="18"/>
              </w:rPr>
            </w:pPr>
            <w:r w:rsidRPr="00BD453F">
              <w:rPr>
                <w:rFonts w:eastAsia="Times New Roman" w:cstheme="minorHAnsi"/>
                <w:sz w:val="18"/>
                <w:szCs w:val="18"/>
              </w:rPr>
              <w:t> </w:t>
            </w:r>
          </w:p>
        </w:tc>
      </w:tr>
      <w:tr w:rsidR="00E64335" w:rsidRPr="00BD453F" w:rsidTr="00E64335">
        <w:trPr>
          <w:trHeight w:val="525"/>
        </w:trPr>
        <w:tc>
          <w:tcPr>
            <w:tcW w:w="9871" w:type="dxa"/>
            <w:gridSpan w:val="3"/>
            <w:tcBorders>
              <w:top w:val="nil"/>
              <w:left w:val="nil"/>
              <w:bottom w:val="nil"/>
              <w:right w:val="nil"/>
            </w:tcBorders>
            <w:shd w:val="clear" w:color="FFFFCC" w:fill="FFFFFF"/>
            <w:noWrap/>
            <w:hideMark/>
          </w:tcPr>
          <w:p w:rsidR="00E64335" w:rsidRPr="00BD453F" w:rsidRDefault="00E64335" w:rsidP="00E64335">
            <w:pPr>
              <w:spacing w:after="0" w:line="240" w:lineRule="auto"/>
              <w:rPr>
                <w:rFonts w:eastAsia="Times New Roman" w:cstheme="minorHAnsi"/>
                <w:b/>
                <w:bCs/>
                <w:sz w:val="18"/>
                <w:szCs w:val="18"/>
              </w:rPr>
            </w:pPr>
            <w:r w:rsidRPr="00BD453F">
              <w:rPr>
                <w:rFonts w:eastAsia="Times New Roman" w:cstheme="minorHAnsi"/>
                <w:b/>
                <w:bCs/>
                <w:sz w:val="18"/>
                <w:szCs w:val="18"/>
              </w:rPr>
              <w:t xml:space="preserve">Total (excl. 1.7.2, 1.7.5 - 1.7.7 and parts of Programme Management)               </w:t>
            </w:r>
            <w:r w:rsidR="00BD453F">
              <w:rPr>
                <w:rFonts w:eastAsia="Times New Roman" w:cstheme="minorHAnsi"/>
                <w:b/>
                <w:bCs/>
                <w:sz w:val="18"/>
                <w:szCs w:val="18"/>
              </w:rPr>
              <w:t xml:space="preserve">                                                                                   </w:t>
            </w:r>
            <w:r w:rsidRPr="00BD453F">
              <w:rPr>
                <w:rFonts w:eastAsia="Times New Roman" w:cstheme="minorHAnsi"/>
                <w:b/>
                <w:bCs/>
                <w:sz w:val="18"/>
                <w:szCs w:val="18"/>
              </w:rPr>
              <w:t>46,844</w:t>
            </w:r>
          </w:p>
        </w:tc>
        <w:tc>
          <w:tcPr>
            <w:tcW w:w="709" w:type="dxa"/>
            <w:tcBorders>
              <w:top w:val="nil"/>
              <w:left w:val="nil"/>
              <w:bottom w:val="nil"/>
              <w:right w:val="nil"/>
            </w:tcBorders>
            <w:shd w:val="clear" w:color="FFFFCC" w:fill="FFFFFF"/>
            <w:noWrap/>
            <w:hideMark/>
          </w:tcPr>
          <w:p w:rsidR="00E64335" w:rsidRPr="00BD453F" w:rsidRDefault="00E64335" w:rsidP="00E64335">
            <w:pPr>
              <w:spacing w:after="0" w:line="240" w:lineRule="auto"/>
              <w:jc w:val="right"/>
              <w:rPr>
                <w:rFonts w:eastAsia="Times New Roman" w:cstheme="minorHAnsi"/>
                <w:sz w:val="20"/>
                <w:szCs w:val="20"/>
              </w:rPr>
            </w:pPr>
          </w:p>
        </w:tc>
      </w:tr>
    </w:tbl>
    <w:p w:rsidR="00FA16EA" w:rsidRPr="00BD453F" w:rsidRDefault="00FA16EA" w:rsidP="00FA16EA">
      <w:pPr>
        <w:pStyle w:val="Default"/>
        <w:rPr>
          <w:rFonts w:asciiTheme="minorHAnsi" w:hAnsiTheme="minorHAnsi" w:cstheme="minorHAnsi"/>
          <w:color w:val="auto"/>
          <w:sz w:val="22"/>
          <w:szCs w:val="22"/>
        </w:rPr>
      </w:pPr>
    </w:p>
    <w:p w:rsidR="00FA16EA" w:rsidRDefault="00FA16EA" w:rsidP="00FA16EA">
      <w:pPr>
        <w:pStyle w:val="Default"/>
        <w:rPr>
          <w:rFonts w:asciiTheme="minorHAnsi" w:hAnsiTheme="minorHAnsi" w:cstheme="minorHAnsi"/>
          <w:color w:val="auto"/>
          <w:sz w:val="22"/>
          <w:szCs w:val="22"/>
        </w:rPr>
      </w:pPr>
    </w:p>
    <w:p w:rsidR="00FA16EA" w:rsidRDefault="00FA16EA" w:rsidP="00FA16EA">
      <w:pPr>
        <w:pStyle w:val="Default"/>
        <w:rPr>
          <w:rFonts w:asciiTheme="minorHAnsi" w:hAnsiTheme="minorHAnsi" w:cstheme="minorHAnsi"/>
          <w:color w:val="auto"/>
          <w:sz w:val="22"/>
          <w:szCs w:val="22"/>
        </w:rPr>
      </w:pPr>
    </w:p>
    <w:p w:rsidR="00FA16EA" w:rsidRDefault="00FA16EA" w:rsidP="00FA16EA">
      <w:pPr>
        <w:pStyle w:val="Default"/>
        <w:rPr>
          <w:rFonts w:asciiTheme="minorHAnsi" w:hAnsiTheme="minorHAnsi" w:cstheme="minorHAnsi"/>
          <w:color w:val="auto"/>
          <w:sz w:val="22"/>
          <w:szCs w:val="22"/>
        </w:rPr>
      </w:pPr>
    </w:p>
    <w:p w:rsidR="00FA16EA" w:rsidRDefault="00FA16EA" w:rsidP="00FA16EA">
      <w:pPr>
        <w:pStyle w:val="Default"/>
        <w:rPr>
          <w:rFonts w:asciiTheme="minorHAnsi" w:hAnsiTheme="minorHAnsi" w:cstheme="minorHAnsi"/>
          <w:color w:val="auto"/>
          <w:sz w:val="22"/>
          <w:szCs w:val="22"/>
        </w:rPr>
      </w:pPr>
    </w:p>
    <w:p w:rsidR="00350C1D" w:rsidRPr="00951C46" w:rsidRDefault="00D50140">
      <w:pPr>
        <w:rPr>
          <w:rFonts w:eastAsia="Calibri" w:cstheme="minorHAnsi"/>
          <w:b/>
          <w:sz w:val="28"/>
          <w:szCs w:val="28"/>
        </w:rPr>
      </w:pPr>
    </w:p>
    <w:sectPr w:rsidR="00350C1D" w:rsidRPr="00951C46" w:rsidSect="009333A5">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0140" w:rsidRDefault="00D50140" w:rsidP="00FA16EA">
      <w:pPr>
        <w:spacing w:after="0" w:line="240" w:lineRule="auto"/>
      </w:pPr>
      <w:r>
        <w:separator/>
      </w:r>
    </w:p>
  </w:endnote>
  <w:endnote w:type="continuationSeparator" w:id="1">
    <w:p w:rsidR="00D50140" w:rsidRDefault="00D50140" w:rsidP="00FA1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yriad Roman">
    <w:altName w:val="Myriad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CCD" w:rsidRDefault="00D50140" w:rsidP="0052162A">
    <w:pPr>
      <w:pStyle w:val="Footer"/>
    </w:pPr>
  </w:p>
  <w:p w:rsidR="000B4CCD" w:rsidRDefault="00D501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0140" w:rsidRDefault="00D50140" w:rsidP="00FA16EA">
      <w:pPr>
        <w:spacing w:after="0" w:line="240" w:lineRule="auto"/>
      </w:pPr>
      <w:r>
        <w:separator/>
      </w:r>
    </w:p>
  </w:footnote>
  <w:footnote w:type="continuationSeparator" w:id="1">
    <w:p w:rsidR="00D50140" w:rsidRDefault="00D50140" w:rsidP="00FA16EA">
      <w:pPr>
        <w:spacing w:after="0" w:line="240" w:lineRule="auto"/>
      </w:pPr>
      <w:r>
        <w:continuationSeparator/>
      </w:r>
    </w:p>
  </w:footnote>
  <w:footnote w:id="2">
    <w:p w:rsidR="00FA16EA" w:rsidRPr="00F12872" w:rsidRDefault="00FA16EA" w:rsidP="00FA16EA">
      <w:pPr>
        <w:rPr>
          <w:rFonts w:ascii="CG Times" w:hAnsi="CG Times"/>
          <w:bCs/>
          <w:sz w:val="20"/>
          <w:szCs w:val="20"/>
        </w:rPr>
      </w:pPr>
      <w:r>
        <w:rPr>
          <w:rStyle w:val="FootnoteReference"/>
        </w:rPr>
        <w:footnoteRef/>
      </w:r>
      <w:r>
        <w:t xml:space="preserve"> UN DESA, PFII/2005/WS.2/10, 2005</w:t>
      </w:r>
    </w:p>
    <w:p w:rsidR="00FA16EA" w:rsidRDefault="00FA16EA" w:rsidP="00FA16EA">
      <w:pPr>
        <w:pStyle w:val="FootnoteText"/>
      </w:pPr>
    </w:p>
  </w:footnote>
  <w:footnote w:id="3">
    <w:p w:rsidR="00FA16EA" w:rsidRDefault="00FA16EA" w:rsidP="00FA16EA">
      <w:pPr>
        <w:pStyle w:val="FootnoteText"/>
      </w:pPr>
      <w:r>
        <w:rPr>
          <w:rStyle w:val="FootnoteReference"/>
        </w:rPr>
        <w:footnoteRef/>
      </w:r>
      <w:r>
        <w:t>Ministry of Agriculture and Rural Development.</w:t>
      </w:r>
    </w:p>
    <w:p w:rsidR="00FA16EA" w:rsidRDefault="00FA16EA" w:rsidP="00FA16EA">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D3C48"/>
    <w:multiLevelType w:val="hybridMultilevel"/>
    <w:tmpl w:val="E2DA4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16F4699"/>
    <w:multiLevelType w:val="hybridMultilevel"/>
    <w:tmpl w:val="A9F234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3A71F4"/>
    <w:multiLevelType w:val="hybridMultilevel"/>
    <w:tmpl w:val="493E3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5684B4B"/>
    <w:multiLevelType w:val="hybridMultilevel"/>
    <w:tmpl w:val="7478810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263922"/>
    <w:multiLevelType w:val="hybridMultilevel"/>
    <w:tmpl w:val="4CDAB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E907FA"/>
    <w:multiLevelType w:val="hybridMultilevel"/>
    <w:tmpl w:val="A90A78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321A08"/>
    <w:multiLevelType w:val="hybridMultilevel"/>
    <w:tmpl w:val="C9F44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873555"/>
    <w:multiLevelType w:val="hybridMultilevel"/>
    <w:tmpl w:val="8C705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E8237E2"/>
    <w:multiLevelType w:val="hybridMultilevel"/>
    <w:tmpl w:val="52063CA4"/>
    <w:lvl w:ilvl="0" w:tplc="B1A8E71A">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97719D8"/>
    <w:multiLevelType w:val="hybridMultilevel"/>
    <w:tmpl w:val="76F4098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C477C7E"/>
    <w:multiLevelType w:val="hybridMultilevel"/>
    <w:tmpl w:val="67189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F71A3C"/>
    <w:multiLevelType w:val="hybridMultilevel"/>
    <w:tmpl w:val="5BC2B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CB6F3B"/>
    <w:multiLevelType w:val="hybridMultilevel"/>
    <w:tmpl w:val="EB1631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D70C28"/>
    <w:multiLevelType w:val="hybridMultilevel"/>
    <w:tmpl w:val="2F24C83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F88679D"/>
    <w:multiLevelType w:val="hybridMultilevel"/>
    <w:tmpl w:val="30B03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6"/>
  </w:num>
  <w:num w:numId="3">
    <w:abstractNumId w:val="12"/>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11"/>
  </w:num>
  <w:num w:numId="8">
    <w:abstractNumId w:val="9"/>
  </w:num>
  <w:num w:numId="9">
    <w:abstractNumId w:val="3"/>
  </w:num>
  <w:num w:numId="10">
    <w:abstractNumId w:val="8"/>
  </w:num>
  <w:num w:numId="11">
    <w:abstractNumId w:val="4"/>
  </w:num>
  <w:num w:numId="12">
    <w:abstractNumId w:val="2"/>
  </w:num>
  <w:num w:numId="13">
    <w:abstractNumId w:val="7"/>
  </w:num>
  <w:num w:numId="14">
    <w:abstractNumId w:val="14"/>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FA16EA"/>
    <w:rsid w:val="000222C2"/>
    <w:rsid w:val="0006043F"/>
    <w:rsid w:val="00060F09"/>
    <w:rsid w:val="00094900"/>
    <w:rsid w:val="000E1FD3"/>
    <w:rsid w:val="0012079B"/>
    <w:rsid w:val="00125B43"/>
    <w:rsid w:val="001D0F58"/>
    <w:rsid w:val="0025176F"/>
    <w:rsid w:val="0034787D"/>
    <w:rsid w:val="0045348E"/>
    <w:rsid w:val="00455395"/>
    <w:rsid w:val="00470BEA"/>
    <w:rsid w:val="0053141C"/>
    <w:rsid w:val="00537A03"/>
    <w:rsid w:val="00551EA6"/>
    <w:rsid w:val="00561130"/>
    <w:rsid w:val="00593A93"/>
    <w:rsid w:val="005B08AF"/>
    <w:rsid w:val="005D00B7"/>
    <w:rsid w:val="005D68ED"/>
    <w:rsid w:val="005F26AA"/>
    <w:rsid w:val="005F5B9E"/>
    <w:rsid w:val="00682429"/>
    <w:rsid w:val="006D39AE"/>
    <w:rsid w:val="00784E20"/>
    <w:rsid w:val="007F27BC"/>
    <w:rsid w:val="007F468B"/>
    <w:rsid w:val="00951C46"/>
    <w:rsid w:val="00A240E4"/>
    <w:rsid w:val="00A320B1"/>
    <w:rsid w:val="00A5057F"/>
    <w:rsid w:val="00AB1D40"/>
    <w:rsid w:val="00AD32EF"/>
    <w:rsid w:val="00AE2F36"/>
    <w:rsid w:val="00BC0C5B"/>
    <w:rsid w:val="00BC4FBC"/>
    <w:rsid w:val="00BD453F"/>
    <w:rsid w:val="00C27B2E"/>
    <w:rsid w:val="00C5504C"/>
    <w:rsid w:val="00C8577C"/>
    <w:rsid w:val="00C921FF"/>
    <w:rsid w:val="00CC5BE7"/>
    <w:rsid w:val="00D27388"/>
    <w:rsid w:val="00D50140"/>
    <w:rsid w:val="00D607B7"/>
    <w:rsid w:val="00D66FDC"/>
    <w:rsid w:val="00D96FE2"/>
    <w:rsid w:val="00DB2F65"/>
    <w:rsid w:val="00DD190D"/>
    <w:rsid w:val="00E52997"/>
    <w:rsid w:val="00E64335"/>
    <w:rsid w:val="00E86F16"/>
    <w:rsid w:val="00F13C12"/>
    <w:rsid w:val="00F16802"/>
    <w:rsid w:val="00F22810"/>
    <w:rsid w:val="00F715F0"/>
    <w:rsid w:val="00FA16EA"/>
    <w:rsid w:val="00FF4F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6EA"/>
  </w:style>
  <w:style w:type="paragraph" w:styleId="Heading3">
    <w:name w:val="heading 3"/>
    <w:basedOn w:val="Normal"/>
    <w:next w:val="Normal"/>
    <w:link w:val="Heading3Char"/>
    <w:uiPriority w:val="9"/>
    <w:unhideWhenUsed/>
    <w:qFormat/>
    <w:rsid w:val="00FA16E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A16EA"/>
    <w:rPr>
      <w:rFonts w:asciiTheme="majorHAnsi" w:eastAsiaTheme="majorEastAsia" w:hAnsiTheme="majorHAnsi" w:cstheme="majorBidi"/>
      <w:b/>
      <w:bCs/>
      <w:color w:val="4F81BD" w:themeColor="accent1"/>
    </w:rPr>
  </w:style>
  <w:style w:type="paragraph" w:styleId="ListParagraph">
    <w:name w:val="List Paragraph"/>
    <w:basedOn w:val="Normal"/>
    <w:uiPriority w:val="99"/>
    <w:qFormat/>
    <w:rsid w:val="00FA16EA"/>
    <w:pPr>
      <w:ind w:left="720"/>
      <w:contextualSpacing/>
    </w:pPr>
  </w:style>
  <w:style w:type="character" w:styleId="CommentReference">
    <w:name w:val="annotation reference"/>
    <w:basedOn w:val="DefaultParagraphFont"/>
    <w:uiPriority w:val="99"/>
    <w:semiHidden/>
    <w:unhideWhenUsed/>
    <w:rsid w:val="00FA16EA"/>
    <w:rPr>
      <w:sz w:val="16"/>
      <w:szCs w:val="16"/>
    </w:rPr>
  </w:style>
  <w:style w:type="paragraph" w:styleId="CommentText">
    <w:name w:val="annotation text"/>
    <w:basedOn w:val="Normal"/>
    <w:link w:val="CommentTextChar"/>
    <w:uiPriority w:val="99"/>
    <w:unhideWhenUsed/>
    <w:rsid w:val="00FA16EA"/>
    <w:pPr>
      <w:spacing w:line="240" w:lineRule="auto"/>
    </w:pPr>
    <w:rPr>
      <w:sz w:val="20"/>
      <w:szCs w:val="20"/>
    </w:rPr>
  </w:style>
  <w:style w:type="character" w:customStyle="1" w:styleId="CommentTextChar">
    <w:name w:val="Comment Text Char"/>
    <w:basedOn w:val="DefaultParagraphFont"/>
    <w:link w:val="CommentText"/>
    <w:uiPriority w:val="99"/>
    <w:rsid w:val="00FA16EA"/>
    <w:rPr>
      <w:sz w:val="20"/>
      <w:szCs w:val="20"/>
    </w:rPr>
  </w:style>
  <w:style w:type="paragraph" w:styleId="FootnoteText">
    <w:name w:val="footnote text"/>
    <w:basedOn w:val="Normal"/>
    <w:link w:val="FootnoteTextChar"/>
    <w:uiPriority w:val="99"/>
    <w:unhideWhenUsed/>
    <w:rsid w:val="00FA16EA"/>
    <w:pPr>
      <w:spacing w:after="0" w:line="240" w:lineRule="auto"/>
    </w:pPr>
    <w:rPr>
      <w:sz w:val="20"/>
      <w:szCs w:val="20"/>
    </w:rPr>
  </w:style>
  <w:style w:type="character" w:customStyle="1" w:styleId="FootnoteTextChar">
    <w:name w:val="Footnote Text Char"/>
    <w:basedOn w:val="DefaultParagraphFont"/>
    <w:link w:val="FootnoteText"/>
    <w:uiPriority w:val="99"/>
    <w:rsid w:val="00FA16EA"/>
    <w:rPr>
      <w:sz w:val="20"/>
      <w:szCs w:val="20"/>
    </w:rPr>
  </w:style>
  <w:style w:type="character" w:styleId="FootnoteReference">
    <w:name w:val="footnote reference"/>
    <w:basedOn w:val="DefaultParagraphFont"/>
    <w:uiPriority w:val="99"/>
    <w:unhideWhenUsed/>
    <w:rsid w:val="00FA16EA"/>
    <w:rPr>
      <w:vertAlign w:val="superscript"/>
    </w:rPr>
  </w:style>
  <w:style w:type="paragraph" w:styleId="Header">
    <w:name w:val="header"/>
    <w:basedOn w:val="Normal"/>
    <w:link w:val="HeaderChar"/>
    <w:uiPriority w:val="99"/>
    <w:unhideWhenUsed/>
    <w:rsid w:val="00FA1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6EA"/>
  </w:style>
  <w:style w:type="paragraph" w:styleId="Footer">
    <w:name w:val="footer"/>
    <w:basedOn w:val="Normal"/>
    <w:link w:val="FooterChar"/>
    <w:uiPriority w:val="99"/>
    <w:unhideWhenUsed/>
    <w:rsid w:val="00FA1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6EA"/>
  </w:style>
  <w:style w:type="paragraph" w:customStyle="1" w:styleId="Default">
    <w:name w:val="Default"/>
    <w:link w:val="DefaultChar"/>
    <w:rsid w:val="00FA16E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Char">
    <w:name w:val="Default Char"/>
    <w:basedOn w:val="DefaultParagraphFont"/>
    <w:link w:val="Default"/>
    <w:locked/>
    <w:rsid w:val="00FA16EA"/>
    <w:rPr>
      <w:rFonts w:ascii="Times New Roman" w:eastAsia="Calibri" w:hAnsi="Times New Roman" w:cs="Times New Roman"/>
      <w:color w:val="000000"/>
      <w:sz w:val="24"/>
      <w:szCs w:val="24"/>
    </w:rPr>
  </w:style>
  <w:style w:type="paragraph" w:customStyle="1" w:styleId="Pa1">
    <w:name w:val="Pa1"/>
    <w:basedOn w:val="Default"/>
    <w:next w:val="Default"/>
    <w:uiPriority w:val="99"/>
    <w:rsid w:val="00FA16EA"/>
    <w:pPr>
      <w:spacing w:line="181" w:lineRule="atLeast"/>
    </w:pPr>
    <w:rPr>
      <w:rFonts w:ascii="Myriad Roman" w:hAnsi="Myriad Roman"/>
      <w:color w:val="auto"/>
    </w:rPr>
  </w:style>
  <w:style w:type="paragraph" w:styleId="BalloonText">
    <w:name w:val="Balloon Text"/>
    <w:basedOn w:val="Normal"/>
    <w:link w:val="BalloonTextChar"/>
    <w:uiPriority w:val="99"/>
    <w:semiHidden/>
    <w:unhideWhenUsed/>
    <w:rsid w:val="00FA1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6E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D190D"/>
    <w:rPr>
      <w:b/>
      <w:bCs/>
    </w:rPr>
  </w:style>
  <w:style w:type="character" w:customStyle="1" w:styleId="CommentSubjectChar">
    <w:name w:val="Comment Subject Char"/>
    <w:basedOn w:val="CommentTextChar"/>
    <w:link w:val="CommentSubject"/>
    <w:uiPriority w:val="99"/>
    <w:semiHidden/>
    <w:rsid w:val="00DD190D"/>
    <w:rPr>
      <w:b/>
      <w:bCs/>
      <w:sz w:val="20"/>
      <w:szCs w:val="20"/>
    </w:rPr>
  </w:style>
  <w:style w:type="table" w:styleId="TableGrid">
    <w:name w:val="Table Grid"/>
    <w:basedOn w:val="TableNormal"/>
    <w:uiPriority w:val="99"/>
    <w:rsid w:val="000E1FD3"/>
    <w:pPr>
      <w:spacing w:after="0" w:line="240" w:lineRule="auto"/>
    </w:pPr>
    <w:rPr>
      <w:rFonts w:ascii="Calibri" w:eastAsia="Calibri" w:hAnsi="Calibri" w:cs="Times New Roman"/>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6EA"/>
  </w:style>
  <w:style w:type="paragraph" w:styleId="Heading3">
    <w:name w:val="heading 3"/>
    <w:basedOn w:val="Normal"/>
    <w:next w:val="Normal"/>
    <w:link w:val="Heading3Char"/>
    <w:uiPriority w:val="9"/>
    <w:unhideWhenUsed/>
    <w:qFormat/>
    <w:rsid w:val="00FA16E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A16EA"/>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FA16EA"/>
    <w:pPr>
      <w:ind w:left="720"/>
      <w:contextualSpacing/>
    </w:pPr>
  </w:style>
  <w:style w:type="character" w:styleId="CommentReference">
    <w:name w:val="annotation reference"/>
    <w:basedOn w:val="DefaultParagraphFont"/>
    <w:uiPriority w:val="99"/>
    <w:semiHidden/>
    <w:unhideWhenUsed/>
    <w:rsid w:val="00FA16EA"/>
    <w:rPr>
      <w:sz w:val="16"/>
      <w:szCs w:val="16"/>
    </w:rPr>
  </w:style>
  <w:style w:type="paragraph" w:styleId="CommentText">
    <w:name w:val="annotation text"/>
    <w:basedOn w:val="Normal"/>
    <w:link w:val="CommentTextChar"/>
    <w:uiPriority w:val="99"/>
    <w:unhideWhenUsed/>
    <w:rsid w:val="00FA16EA"/>
    <w:pPr>
      <w:spacing w:line="240" w:lineRule="auto"/>
    </w:pPr>
    <w:rPr>
      <w:sz w:val="20"/>
      <w:szCs w:val="20"/>
    </w:rPr>
  </w:style>
  <w:style w:type="character" w:customStyle="1" w:styleId="CommentTextChar">
    <w:name w:val="Comment Text Char"/>
    <w:basedOn w:val="DefaultParagraphFont"/>
    <w:link w:val="CommentText"/>
    <w:uiPriority w:val="99"/>
    <w:rsid w:val="00FA16EA"/>
    <w:rPr>
      <w:sz w:val="20"/>
      <w:szCs w:val="20"/>
    </w:rPr>
  </w:style>
  <w:style w:type="paragraph" w:styleId="FootnoteText">
    <w:name w:val="footnote text"/>
    <w:basedOn w:val="Normal"/>
    <w:link w:val="FootnoteTextChar"/>
    <w:uiPriority w:val="99"/>
    <w:unhideWhenUsed/>
    <w:rsid w:val="00FA16EA"/>
    <w:pPr>
      <w:spacing w:after="0" w:line="240" w:lineRule="auto"/>
    </w:pPr>
    <w:rPr>
      <w:sz w:val="20"/>
      <w:szCs w:val="20"/>
    </w:rPr>
  </w:style>
  <w:style w:type="character" w:customStyle="1" w:styleId="FootnoteTextChar">
    <w:name w:val="Footnote Text Char"/>
    <w:basedOn w:val="DefaultParagraphFont"/>
    <w:link w:val="FootnoteText"/>
    <w:uiPriority w:val="99"/>
    <w:rsid w:val="00FA16EA"/>
    <w:rPr>
      <w:sz w:val="20"/>
      <w:szCs w:val="20"/>
    </w:rPr>
  </w:style>
  <w:style w:type="character" w:styleId="FootnoteReference">
    <w:name w:val="footnote reference"/>
    <w:basedOn w:val="DefaultParagraphFont"/>
    <w:uiPriority w:val="99"/>
    <w:unhideWhenUsed/>
    <w:rsid w:val="00FA16EA"/>
    <w:rPr>
      <w:vertAlign w:val="superscript"/>
    </w:rPr>
  </w:style>
  <w:style w:type="paragraph" w:styleId="Header">
    <w:name w:val="header"/>
    <w:basedOn w:val="Normal"/>
    <w:link w:val="HeaderChar"/>
    <w:uiPriority w:val="99"/>
    <w:unhideWhenUsed/>
    <w:rsid w:val="00FA1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6EA"/>
  </w:style>
  <w:style w:type="paragraph" w:styleId="Footer">
    <w:name w:val="footer"/>
    <w:basedOn w:val="Normal"/>
    <w:link w:val="FooterChar"/>
    <w:uiPriority w:val="99"/>
    <w:unhideWhenUsed/>
    <w:rsid w:val="00FA1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6EA"/>
  </w:style>
  <w:style w:type="paragraph" w:customStyle="1" w:styleId="Default">
    <w:name w:val="Default"/>
    <w:link w:val="DefaultChar"/>
    <w:rsid w:val="00FA16E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Char">
    <w:name w:val="Default Char"/>
    <w:basedOn w:val="DefaultParagraphFont"/>
    <w:link w:val="Default"/>
    <w:locked/>
    <w:rsid w:val="00FA16EA"/>
    <w:rPr>
      <w:rFonts w:ascii="Times New Roman" w:eastAsia="Calibri" w:hAnsi="Times New Roman" w:cs="Times New Roman"/>
      <w:color w:val="000000"/>
      <w:sz w:val="24"/>
      <w:szCs w:val="24"/>
    </w:rPr>
  </w:style>
  <w:style w:type="paragraph" w:customStyle="1" w:styleId="Pa1">
    <w:name w:val="Pa1"/>
    <w:basedOn w:val="Default"/>
    <w:next w:val="Default"/>
    <w:uiPriority w:val="99"/>
    <w:rsid w:val="00FA16EA"/>
    <w:pPr>
      <w:spacing w:line="181" w:lineRule="atLeast"/>
    </w:pPr>
    <w:rPr>
      <w:rFonts w:ascii="Myriad Roman" w:hAnsi="Myriad Roman"/>
      <w:color w:val="auto"/>
    </w:rPr>
  </w:style>
  <w:style w:type="paragraph" w:styleId="BalloonText">
    <w:name w:val="Balloon Text"/>
    <w:basedOn w:val="Normal"/>
    <w:link w:val="BalloonTextChar"/>
    <w:uiPriority w:val="99"/>
    <w:semiHidden/>
    <w:unhideWhenUsed/>
    <w:rsid w:val="00FA1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6E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D190D"/>
    <w:rPr>
      <w:b/>
      <w:bCs/>
    </w:rPr>
  </w:style>
  <w:style w:type="character" w:customStyle="1" w:styleId="CommentSubjectChar">
    <w:name w:val="Comment Subject Char"/>
    <w:basedOn w:val="CommentTextChar"/>
    <w:link w:val="CommentSubject"/>
    <w:uiPriority w:val="99"/>
    <w:semiHidden/>
    <w:rsid w:val="00DD190D"/>
    <w:rPr>
      <w:b/>
      <w:bCs/>
      <w:sz w:val="20"/>
      <w:szCs w:val="20"/>
    </w:rPr>
  </w:style>
</w:styles>
</file>

<file path=word/webSettings.xml><?xml version="1.0" encoding="utf-8"?>
<w:webSettings xmlns:r="http://schemas.openxmlformats.org/officeDocument/2006/relationships" xmlns:w="http://schemas.openxmlformats.org/wordprocessingml/2006/main">
  <w:divs>
    <w:div w:id="193930229">
      <w:bodyDiv w:val="1"/>
      <w:marLeft w:val="0"/>
      <w:marRight w:val="0"/>
      <w:marTop w:val="0"/>
      <w:marBottom w:val="0"/>
      <w:divBdr>
        <w:top w:val="none" w:sz="0" w:space="0" w:color="auto"/>
        <w:left w:val="none" w:sz="0" w:space="0" w:color="auto"/>
        <w:bottom w:val="none" w:sz="0" w:space="0" w:color="auto"/>
        <w:right w:val="none" w:sz="0" w:space="0" w:color="auto"/>
      </w:divBdr>
    </w:div>
    <w:div w:id="251938941">
      <w:bodyDiv w:val="1"/>
      <w:marLeft w:val="0"/>
      <w:marRight w:val="0"/>
      <w:marTop w:val="0"/>
      <w:marBottom w:val="0"/>
      <w:divBdr>
        <w:top w:val="none" w:sz="0" w:space="0" w:color="auto"/>
        <w:left w:val="none" w:sz="0" w:space="0" w:color="auto"/>
        <w:bottom w:val="none" w:sz="0" w:space="0" w:color="auto"/>
        <w:right w:val="none" w:sz="0" w:space="0" w:color="auto"/>
      </w:divBdr>
    </w:div>
    <w:div w:id="655374640">
      <w:bodyDiv w:val="1"/>
      <w:marLeft w:val="0"/>
      <w:marRight w:val="0"/>
      <w:marTop w:val="0"/>
      <w:marBottom w:val="0"/>
      <w:divBdr>
        <w:top w:val="none" w:sz="0" w:space="0" w:color="auto"/>
        <w:left w:val="none" w:sz="0" w:space="0" w:color="auto"/>
        <w:bottom w:val="none" w:sz="0" w:space="0" w:color="auto"/>
        <w:right w:val="none" w:sz="0" w:space="0" w:color="auto"/>
      </w:divBdr>
    </w:div>
    <w:div w:id="816074114">
      <w:bodyDiv w:val="1"/>
      <w:marLeft w:val="0"/>
      <w:marRight w:val="0"/>
      <w:marTop w:val="0"/>
      <w:marBottom w:val="0"/>
      <w:divBdr>
        <w:top w:val="none" w:sz="0" w:space="0" w:color="auto"/>
        <w:left w:val="none" w:sz="0" w:space="0" w:color="auto"/>
        <w:bottom w:val="none" w:sz="0" w:space="0" w:color="auto"/>
        <w:right w:val="none" w:sz="0" w:space="0" w:color="auto"/>
      </w:divBdr>
    </w:div>
    <w:div w:id="951397892">
      <w:bodyDiv w:val="1"/>
      <w:marLeft w:val="0"/>
      <w:marRight w:val="0"/>
      <w:marTop w:val="0"/>
      <w:marBottom w:val="0"/>
      <w:divBdr>
        <w:top w:val="none" w:sz="0" w:space="0" w:color="auto"/>
        <w:left w:val="none" w:sz="0" w:space="0" w:color="auto"/>
        <w:bottom w:val="none" w:sz="0" w:space="0" w:color="auto"/>
        <w:right w:val="none" w:sz="0" w:space="0" w:color="auto"/>
      </w:divBdr>
    </w:div>
    <w:div w:id="992367701">
      <w:bodyDiv w:val="1"/>
      <w:marLeft w:val="0"/>
      <w:marRight w:val="0"/>
      <w:marTop w:val="0"/>
      <w:marBottom w:val="0"/>
      <w:divBdr>
        <w:top w:val="none" w:sz="0" w:space="0" w:color="auto"/>
        <w:left w:val="none" w:sz="0" w:space="0" w:color="auto"/>
        <w:bottom w:val="none" w:sz="0" w:space="0" w:color="auto"/>
        <w:right w:val="none" w:sz="0" w:space="0" w:color="auto"/>
      </w:divBdr>
    </w:div>
    <w:div w:id="109821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upload.wikimedia.org/wikipedia/commons/9/9d/UN-REDD-logo.gi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3816</Words>
  <Characters>21753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Sujala Pant</dc:creator>
  <cp:lastModifiedBy>Tore.Langhelle</cp:lastModifiedBy>
  <cp:revision>2</cp:revision>
  <cp:lastPrinted>2012-02-23T18:09:00Z</cp:lastPrinted>
  <dcterms:created xsi:type="dcterms:W3CDTF">2012-02-27T13:27:00Z</dcterms:created>
  <dcterms:modified xsi:type="dcterms:W3CDTF">2012-02-27T13:27:00Z</dcterms:modified>
</cp:coreProperties>
</file>