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5A2BF9" w:rsidRPr="003324C2" w:rsidRDefault="005A2BF9" w:rsidP="003324C2">
      <w:pPr>
        <w:spacing w:after="0" w:line="240" w:lineRule="auto"/>
        <w:rPr>
          <w:rStyle w:val="hps"/>
          <w:rFonts w:ascii="Times" w:hAnsi="Times"/>
          <w:sz w:val="24"/>
          <w:szCs w:val="20"/>
          <w:lang w:val="es-ES"/>
        </w:rPr>
      </w:pPr>
      <w:r w:rsidRPr="003324C2">
        <w:rPr>
          <w:rStyle w:val="hps"/>
          <w:rFonts w:ascii="Times" w:hAnsi="Times"/>
          <w:b/>
          <w:sz w:val="28"/>
          <w:szCs w:val="20"/>
          <w:lang w:val="es-ES"/>
        </w:rPr>
        <w:t>Grupo de Discusión 2:</w:t>
      </w:r>
      <w:r w:rsidRPr="003324C2">
        <w:rPr>
          <w:rFonts w:ascii="Times" w:hAnsi="Times"/>
          <w:b/>
          <w:sz w:val="28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b/>
          <w:sz w:val="28"/>
          <w:szCs w:val="20"/>
          <w:lang w:val="es-ES"/>
        </w:rPr>
        <w:t>Cuando</w:t>
      </w:r>
      <w:r w:rsidRPr="003324C2">
        <w:rPr>
          <w:rFonts w:ascii="Times" w:hAnsi="Times"/>
          <w:b/>
          <w:sz w:val="28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b/>
          <w:sz w:val="28"/>
          <w:szCs w:val="20"/>
          <w:lang w:val="es-ES"/>
        </w:rPr>
        <w:t>se</w:t>
      </w:r>
      <w:r w:rsidRPr="003324C2">
        <w:rPr>
          <w:rFonts w:ascii="Times" w:hAnsi="Times"/>
          <w:b/>
          <w:sz w:val="28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b/>
          <w:sz w:val="28"/>
          <w:szCs w:val="20"/>
          <w:lang w:val="es-ES"/>
        </w:rPr>
        <w:t>requiere</w:t>
      </w:r>
      <w:r w:rsidRPr="003324C2">
        <w:rPr>
          <w:rFonts w:ascii="Times" w:hAnsi="Times"/>
          <w:b/>
          <w:sz w:val="28"/>
          <w:szCs w:val="20"/>
          <w:lang w:val="es-ES"/>
        </w:rPr>
        <w:t xml:space="preserve"> el CLPI?</w:t>
      </w:r>
      <w:r w:rsidRPr="003324C2">
        <w:rPr>
          <w:rFonts w:ascii="Times" w:hAnsi="Times"/>
          <w:sz w:val="20"/>
          <w:szCs w:val="20"/>
          <w:lang w:val="es-ES"/>
        </w:rPr>
        <w:br/>
      </w:r>
      <w:r w:rsidRPr="003324C2">
        <w:rPr>
          <w:rFonts w:ascii="Times" w:hAnsi="Times"/>
          <w:sz w:val="20"/>
          <w:szCs w:val="20"/>
          <w:lang w:val="es-ES"/>
        </w:rPr>
        <w:br/>
      </w:r>
      <w:r w:rsidRPr="003324C2">
        <w:rPr>
          <w:rStyle w:val="hps"/>
          <w:rFonts w:ascii="Times" w:hAnsi="Times"/>
          <w:b/>
          <w:sz w:val="24"/>
          <w:szCs w:val="20"/>
          <w:lang w:val="es-ES"/>
        </w:rPr>
        <w:t>Recomendaciones:</w:t>
      </w:r>
      <w:r w:rsidRPr="003324C2">
        <w:rPr>
          <w:rFonts w:ascii="Times" w:hAnsi="Times"/>
          <w:sz w:val="24"/>
          <w:szCs w:val="20"/>
          <w:lang w:val="es-ES"/>
        </w:rPr>
        <w:br/>
      </w:r>
      <w:r w:rsidRPr="003324C2">
        <w:rPr>
          <w:rStyle w:val="hps"/>
          <w:rFonts w:ascii="Times" w:hAnsi="Times"/>
          <w:sz w:val="24"/>
          <w:szCs w:val="20"/>
          <w:lang w:val="es-ES"/>
        </w:rPr>
        <w:t>• Aclarar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qué actividades requieren el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CLPI</w:t>
      </w:r>
      <w:r w:rsidRPr="003324C2">
        <w:rPr>
          <w:rFonts w:ascii="Times" w:hAnsi="Times"/>
          <w:sz w:val="24"/>
          <w:szCs w:val="20"/>
          <w:lang w:val="es-ES"/>
        </w:rPr>
        <w:br/>
      </w:r>
      <w:r w:rsidRPr="003324C2">
        <w:rPr>
          <w:rStyle w:val="hps"/>
          <w:rFonts w:ascii="Times" w:hAnsi="Times"/>
          <w:sz w:val="24"/>
          <w:szCs w:val="20"/>
          <w:lang w:val="es-ES"/>
        </w:rPr>
        <w:t>• Aclarar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en qué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medida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se requiere el CLPI en la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fase de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preparación para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REDD+</w:t>
      </w:r>
      <w:r w:rsidRPr="003324C2">
        <w:rPr>
          <w:rFonts w:ascii="Times" w:hAnsi="Times"/>
          <w:sz w:val="24"/>
          <w:szCs w:val="20"/>
          <w:lang w:val="es-ES"/>
        </w:rPr>
        <w:br/>
      </w:r>
      <w:r w:rsidRPr="003324C2">
        <w:rPr>
          <w:rFonts w:ascii="Times" w:hAnsi="Times"/>
          <w:sz w:val="24"/>
          <w:szCs w:val="20"/>
          <w:lang w:val="es-ES"/>
        </w:rPr>
        <w:br/>
      </w:r>
      <w:r w:rsidRPr="003324C2">
        <w:rPr>
          <w:rStyle w:val="hpsalt-edited"/>
          <w:rFonts w:ascii="Times" w:hAnsi="Times"/>
          <w:b/>
          <w:sz w:val="24"/>
          <w:szCs w:val="20"/>
          <w:lang w:val="es-ES"/>
        </w:rPr>
        <w:t>Vías de solución posibles</w:t>
      </w:r>
      <w:r w:rsidRPr="003324C2">
        <w:rPr>
          <w:rFonts w:ascii="Times" w:hAnsi="Times"/>
          <w:b/>
          <w:sz w:val="24"/>
          <w:szCs w:val="20"/>
          <w:lang w:val="es-ES"/>
        </w:rPr>
        <w:t>:</w:t>
      </w:r>
      <w:r w:rsidRPr="003324C2">
        <w:rPr>
          <w:rFonts w:ascii="Times" w:hAnsi="Times"/>
          <w:sz w:val="24"/>
          <w:szCs w:val="20"/>
          <w:lang w:val="es-ES"/>
        </w:rPr>
        <w:br/>
      </w:r>
      <w:r w:rsidRPr="003324C2">
        <w:rPr>
          <w:rStyle w:val="hps"/>
          <w:rFonts w:ascii="Times" w:hAnsi="Times"/>
          <w:sz w:val="24"/>
          <w:szCs w:val="20"/>
          <w:lang w:val="es-ES"/>
        </w:rPr>
        <w:t>Desarrollar criterios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y preguntas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para apoyar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los programas nacionales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para determinar si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existen o no actividades que requieren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el CLPI</w:t>
      </w:r>
    </w:p>
    <w:p w:rsidR="005A2BF9" w:rsidRPr="003324C2" w:rsidRDefault="005A2BF9" w:rsidP="003324C2">
      <w:pPr>
        <w:spacing w:after="0" w:line="240" w:lineRule="auto"/>
        <w:rPr>
          <w:rFonts w:ascii="Times" w:hAnsi="Times"/>
          <w:sz w:val="24"/>
          <w:szCs w:val="20"/>
        </w:rPr>
      </w:pPr>
      <w:r w:rsidRPr="003324C2">
        <w:rPr>
          <w:rFonts w:ascii="Times" w:hAnsi="Times"/>
          <w:sz w:val="24"/>
          <w:szCs w:val="20"/>
          <w:lang w:val="es-ES"/>
        </w:rPr>
        <w:br/>
      </w:r>
      <w:r w:rsidRPr="003324C2">
        <w:rPr>
          <w:rStyle w:val="hps"/>
          <w:rFonts w:ascii="Times" w:hAnsi="Times"/>
          <w:b/>
          <w:sz w:val="24"/>
          <w:szCs w:val="20"/>
          <w:lang w:val="es-ES"/>
        </w:rPr>
        <w:t>Preguntas:</w:t>
      </w:r>
      <w:r w:rsidRPr="003324C2">
        <w:rPr>
          <w:rFonts w:ascii="Times" w:hAnsi="Times"/>
          <w:sz w:val="24"/>
          <w:szCs w:val="20"/>
          <w:lang w:val="es-ES"/>
        </w:rPr>
        <w:br/>
      </w:r>
      <w:r w:rsidRPr="003324C2">
        <w:rPr>
          <w:rStyle w:val="hps"/>
          <w:rFonts w:ascii="Times" w:hAnsi="Times"/>
          <w:sz w:val="24"/>
          <w:szCs w:val="20"/>
          <w:lang w:val="es-ES"/>
        </w:rPr>
        <w:t>• ¿Qué criterios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o preguntas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podrían apoyar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un programa nacional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para determinar si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existen o no actividades que requieren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el CLPI</w:t>
      </w:r>
      <w:r w:rsidRPr="003324C2">
        <w:rPr>
          <w:rFonts w:ascii="Times" w:hAnsi="Times"/>
          <w:sz w:val="24"/>
          <w:szCs w:val="20"/>
          <w:lang w:val="es-ES"/>
        </w:rPr>
        <w:t>?</w:t>
      </w:r>
      <w:r w:rsidRPr="003324C2">
        <w:rPr>
          <w:rFonts w:ascii="Times" w:hAnsi="Times"/>
          <w:sz w:val="24"/>
          <w:szCs w:val="20"/>
          <w:lang w:val="es-ES"/>
        </w:rPr>
        <w:br/>
      </w:r>
      <w:r w:rsidRPr="003324C2">
        <w:rPr>
          <w:rStyle w:val="hps"/>
          <w:rFonts w:ascii="Times" w:hAnsi="Times"/>
          <w:sz w:val="24"/>
          <w:szCs w:val="20"/>
          <w:lang w:val="es-ES"/>
        </w:rPr>
        <w:t>• ¿Quién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determina si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la actividad propuesta/la política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tendrá un impacto significativo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sobre la tierra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...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y qué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métodos se utilizarán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para esta determinación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- ¿Será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la consulta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o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evaluación social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u otras metodologías</w:t>
      </w:r>
      <w:r w:rsidRPr="003324C2">
        <w:rPr>
          <w:rFonts w:ascii="Times" w:hAnsi="Times"/>
          <w:sz w:val="24"/>
          <w:szCs w:val="20"/>
          <w:lang w:val="es-ES"/>
        </w:rPr>
        <w:t>?</w:t>
      </w:r>
      <w:r w:rsidRPr="003324C2">
        <w:rPr>
          <w:rFonts w:ascii="Times" w:hAnsi="Times"/>
          <w:sz w:val="24"/>
          <w:szCs w:val="20"/>
          <w:lang w:val="es-ES"/>
        </w:rPr>
        <w:br/>
      </w:r>
      <w:r w:rsidRPr="003324C2">
        <w:rPr>
          <w:rStyle w:val="hps"/>
          <w:rFonts w:ascii="Times" w:hAnsi="Times"/>
          <w:sz w:val="24"/>
          <w:szCs w:val="20"/>
          <w:lang w:val="es-ES"/>
        </w:rPr>
        <w:t>•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¿En qué medida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las directrices deberian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 xml:space="preserve">prescribir </w:t>
      </w:r>
      <w:r w:rsidRPr="003324C2">
        <w:rPr>
          <w:rStyle w:val="hpsalt-edited"/>
          <w:rFonts w:ascii="Times" w:hAnsi="Times"/>
          <w:sz w:val="24"/>
          <w:szCs w:val="20"/>
          <w:lang w:val="es-ES"/>
        </w:rPr>
        <w:t>cuando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se requiere el CLPI?</w:t>
      </w:r>
      <w:r w:rsidRPr="003324C2">
        <w:rPr>
          <w:rFonts w:ascii="Times" w:hAnsi="Times"/>
          <w:sz w:val="24"/>
          <w:szCs w:val="20"/>
          <w:lang w:val="es-ES"/>
        </w:rPr>
        <w:br/>
      </w:r>
      <w:r w:rsidRPr="003324C2">
        <w:rPr>
          <w:rStyle w:val="hps"/>
          <w:rFonts w:ascii="Times" w:hAnsi="Times"/>
          <w:sz w:val="24"/>
          <w:szCs w:val="20"/>
          <w:lang w:val="es-ES"/>
        </w:rPr>
        <w:t>•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¿Las actividades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de preparación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atn"/>
          <w:rFonts w:ascii="Times" w:hAnsi="Times"/>
          <w:sz w:val="24"/>
          <w:szCs w:val="20"/>
          <w:lang w:val="es-ES"/>
        </w:rPr>
        <w:t>(</w:t>
      </w:r>
      <w:r w:rsidRPr="003324C2">
        <w:rPr>
          <w:rFonts w:ascii="Times" w:hAnsi="Times"/>
          <w:sz w:val="24"/>
          <w:szCs w:val="20"/>
          <w:lang w:val="es-ES"/>
        </w:rPr>
        <w:t xml:space="preserve">y por lo tanto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los programas nacionales</w:t>
      </w:r>
      <w:r w:rsidRPr="003324C2">
        <w:rPr>
          <w:rFonts w:ascii="Times" w:hAnsi="Times"/>
          <w:sz w:val="24"/>
          <w:szCs w:val="20"/>
          <w:lang w:val="es-ES"/>
        </w:rPr>
        <w:t xml:space="preserve">) exigen el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CLPI</w:t>
      </w:r>
      <w:r w:rsidRPr="003324C2">
        <w:rPr>
          <w:rFonts w:ascii="Times" w:hAnsi="Times"/>
          <w:sz w:val="24"/>
          <w:szCs w:val="20"/>
          <w:lang w:val="es-ES"/>
        </w:rPr>
        <w:t>?</w:t>
      </w:r>
      <w:r w:rsidRPr="003324C2">
        <w:rPr>
          <w:rFonts w:ascii="Times" w:hAnsi="Times"/>
          <w:sz w:val="24"/>
          <w:szCs w:val="20"/>
          <w:lang w:val="es-ES"/>
        </w:rPr>
        <w:br/>
      </w:r>
      <w:r w:rsidRPr="003324C2">
        <w:rPr>
          <w:rStyle w:val="hps"/>
          <w:rFonts w:ascii="Times" w:hAnsi="Times"/>
          <w:sz w:val="24"/>
          <w:szCs w:val="20"/>
          <w:lang w:val="es-ES"/>
        </w:rPr>
        <w:t>• ¿Qué aspectos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(si los hay)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de la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elaboración de una estrategia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nacional de REDD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+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requiere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el CLPI</w:t>
      </w:r>
      <w:r w:rsidRPr="003324C2">
        <w:rPr>
          <w:rFonts w:ascii="Times" w:hAnsi="Times"/>
          <w:sz w:val="24"/>
          <w:szCs w:val="20"/>
          <w:lang w:val="es-ES"/>
        </w:rPr>
        <w:t>?</w:t>
      </w:r>
      <w:r w:rsidRPr="003324C2">
        <w:rPr>
          <w:rFonts w:ascii="Times" w:hAnsi="Times"/>
          <w:sz w:val="24"/>
          <w:szCs w:val="20"/>
          <w:lang w:val="es-ES"/>
        </w:rPr>
        <w:br/>
      </w:r>
      <w:r w:rsidRPr="003324C2">
        <w:rPr>
          <w:rStyle w:val="hps"/>
          <w:rFonts w:ascii="Times" w:hAnsi="Times"/>
          <w:sz w:val="24"/>
          <w:szCs w:val="20"/>
          <w:lang w:val="es-ES"/>
        </w:rPr>
        <w:t>•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Debe requerirse el consentimiento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en el nivel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nacional o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sólo en el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nivel de la comunidad</w:t>
      </w:r>
      <w:r w:rsidRPr="003324C2">
        <w:rPr>
          <w:rFonts w:ascii="Times" w:hAnsi="Times"/>
          <w:sz w:val="24"/>
          <w:szCs w:val="20"/>
          <w:lang w:val="es-ES"/>
        </w:rPr>
        <w:t xml:space="preserve">? </w:t>
      </w:r>
      <w:r w:rsidRPr="003324C2">
        <w:rPr>
          <w:rStyle w:val="hpsatn"/>
          <w:rFonts w:ascii="Times" w:hAnsi="Times"/>
          <w:sz w:val="24"/>
          <w:szCs w:val="20"/>
          <w:lang w:val="es-ES"/>
        </w:rPr>
        <w:t>(</w:t>
      </w:r>
      <w:r w:rsidRPr="003324C2">
        <w:rPr>
          <w:rFonts w:ascii="Times" w:hAnsi="Times"/>
          <w:sz w:val="24"/>
          <w:szCs w:val="20"/>
          <w:lang w:val="es-ES"/>
        </w:rPr>
        <w:t xml:space="preserve">Al nivel nacional,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¿cómo deberían</w:t>
      </w:r>
      <w:r w:rsidRPr="003324C2">
        <w:rPr>
          <w:rFonts w:ascii="Times" w:hAnsi="Times"/>
          <w:sz w:val="24"/>
          <w:szCs w:val="20"/>
          <w:lang w:val="es-ES"/>
        </w:rPr>
        <w:t xml:space="preserve">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representarse</w:t>
      </w:r>
      <w:r w:rsidRPr="003324C2">
        <w:rPr>
          <w:rFonts w:ascii="Times" w:hAnsi="Times"/>
          <w:sz w:val="24"/>
          <w:szCs w:val="20"/>
          <w:lang w:val="es-ES"/>
        </w:rPr>
        <w:t xml:space="preserve"> todos los titulares </w:t>
      </w:r>
      <w:r w:rsidRPr="003324C2">
        <w:rPr>
          <w:rStyle w:val="hps"/>
          <w:rFonts w:ascii="Times" w:hAnsi="Times"/>
          <w:sz w:val="24"/>
          <w:szCs w:val="20"/>
          <w:lang w:val="es-ES"/>
        </w:rPr>
        <w:t>de derechos pertinentes</w:t>
      </w:r>
      <w:r w:rsidRPr="003324C2">
        <w:rPr>
          <w:rFonts w:ascii="Times" w:hAnsi="Times"/>
          <w:sz w:val="24"/>
          <w:szCs w:val="20"/>
          <w:lang w:val="es-ES"/>
        </w:rPr>
        <w:t>?)</w:t>
      </w:r>
    </w:p>
    <w:p w:rsidR="005A2BF9" w:rsidRPr="003324C2" w:rsidRDefault="005A2BF9">
      <w:pPr>
        <w:rPr>
          <w:rFonts w:ascii="Times New Roman Bold" w:hAnsi="Times New Roman Bold"/>
          <w:b/>
          <w:bCs/>
          <w:sz w:val="24"/>
          <w:lang/>
        </w:rPr>
      </w:pPr>
      <w:r>
        <w:rPr>
          <w:rFonts w:ascii="Times New Roman" w:hAnsi="Times New Roman"/>
          <w:b/>
          <w:bCs/>
          <w:lang/>
        </w:rPr>
        <w:br w:type="page"/>
      </w:r>
      <w:r w:rsidRPr="003324C2">
        <w:rPr>
          <w:rFonts w:ascii="Times New Roman Bold" w:hAnsi="Times New Roman Bold"/>
          <w:b/>
          <w:bCs/>
          <w:sz w:val="24"/>
          <w:lang/>
        </w:rPr>
        <w:t xml:space="preserve">Para referencia desde las Directrices de CLPI (p. 13-14) </w:t>
      </w:r>
    </w:p>
    <w:p w:rsidR="005A2BF9" w:rsidRPr="00556E12" w:rsidRDefault="005A2BF9" w:rsidP="00556E12">
      <w:pPr>
        <w:pStyle w:val="NoSpacing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  <w:szCs w:val="24"/>
          <w:lang w:val="es-ES"/>
        </w:rPr>
        <w:t>Para su consideración: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  <w:lang w:val="es-ES"/>
        </w:rPr>
        <w:t>Ejemplos emergentes de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  <w:lang w:val="es-ES"/>
        </w:rPr>
        <w:t>actividades que podrían o no requerir consentimiento</w:t>
      </w:r>
    </w:p>
    <w:p w:rsidR="005A2BF9" w:rsidRPr="00B4043D" w:rsidRDefault="005A2BF9" w:rsidP="00556E12">
      <w:pPr>
        <w:pStyle w:val="NoSpacing"/>
        <w:jc w:val="both"/>
        <w:rPr>
          <w:rFonts w:ascii="Times New Roman" w:hAnsi="Times New Roman"/>
        </w:rPr>
      </w:pPr>
    </w:p>
    <w:p w:rsidR="005A2BF9" w:rsidRDefault="005A2BF9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lang w:val="es-ES"/>
        </w:rPr>
        <w:t>Actividades que podrían requerir consentimiento:</w:t>
      </w:r>
    </w:p>
    <w:p w:rsidR="005A2BF9" w:rsidRDefault="005A2BF9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s-ES"/>
        </w:rPr>
        <w:t>Actividad/política propuesta que incluiría el retiro de pueblos indígenas y/u otros tenedores de derechos relevantes de sus tierras/territorios tradicionales o habitual;</w:t>
      </w:r>
      <w:r>
        <w:rPr>
          <w:rFonts w:ascii="Times New Roman" w:hAnsi="Times New Roman"/>
          <w:szCs w:val="24"/>
          <w:vertAlign w:val="superscript"/>
          <w:lang w:val="es-ES"/>
        </w:rPr>
        <w:t>33</w:t>
      </w:r>
      <w:r>
        <w:rPr>
          <w:rFonts w:ascii="Times New Roman" w:hAnsi="Times New Roman"/>
          <w:szCs w:val="24"/>
          <w:lang w:val="es-ES"/>
        </w:rPr>
        <w:t xml:space="preserve"> </w:t>
      </w:r>
    </w:p>
    <w:p w:rsidR="005A2BF9" w:rsidRDefault="005A2BF9">
      <w:pPr>
        <w:pStyle w:val="NoSpacing"/>
        <w:ind w:left="360"/>
        <w:jc w:val="both"/>
        <w:rPr>
          <w:rFonts w:ascii="Times New Roman" w:hAnsi="Times New Roman"/>
          <w:sz w:val="10"/>
          <w:szCs w:val="10"/>
        </w:rPr>
      </w:pPr>
    </w:p>
    <w:p w:rsidR="005A2BF9" w:rsidRDefault="005A2BF9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s-ES"/>
        </w:rPr>
        <w:t>Actividad/política propuesta que incluiría el retiro de la propiedad cultural, intelectual, religiosa, y espiritual de los pueblos indígenas;</w:t>
      </w:r>
    </w:p>
    <w:p w:rsidR="005A2BF9" w:rsidRDefault="005A2BF9">
      <w:pPr>
        <w:pStyle w:val="NoSpacing"/>
        <w:ind w:left="360"/>
        <w:jc w:val="both"/>
        <w:rPr>
          <w:rFonts w:ascii="Times New Roman" w:hAnsi="Times New Roman"/>
          <w:sz w:val="10"/>
          <w:szCs w:val="10"/>
        </w:rPr>
      </w:pPr>
    </w:p>
    <w:p w:rsidR="005A2BF9" w:rsidRDefault="005A2BF9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s-ES"/>
        </w:rPr>
        <w:t>Actividad/política propuesta que incluiría la confiscación, ocupación o daño a las tierras, territorios y/o recursos de pueblos indígenas y/u otros tenedores de derechos relevantes;</w:t>
      </w:r>
    </w:p>
    <w:p w:rsidR="005A2BF9" w:rsidRDefault="005A2BF9">
      <w:pPr>
        <w:pStyle w:val="NoSpacing"/>
        <w:ind w:left="360"/>
        <w:jc w:val="both"/>
        <w:rPr>
          <w:rFonts w:ascii="Times New Roman" w:hAnsi="Times New Roman"/>
          <w:bCs/>
          <w:sz w:val="10"/>
          <w:szCs w:val="10"/>
        </w:rPr>
      </w:pPr>
    </w:p>
    <w:p w:rsidR="005A2BF9" w:rsidRDefault="005A2BF9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es-ES"/>
        </w:rPr>
        <w:t xml:space="preserve">Decisiones con respecto a si las actividades piloto tendrán lugar </w:t>
      </w:r>
      <w:r>
        <w:rPr>
          <w:rFonts w:ascii="Times New Roman" w:hAnsi="Times New Roman"/>
          <w:szCs w:val="24"/>
          <w:lang w:val="es-ES"/>
        </w:rPr>
        <w:t>en las tierras/territorios de los pueblos indígenas y/u otros tenedores de derechos relevantes;</w:t>
      </w:r>
      <w:r>
        <w:rPr>
          <w:rFonts w:ascii="Times New Roman" w:hAnsi="Times New Roman"/>
          <w:szCs w:val="24"/>
          <w:vertAlign w:val="superscript"/>
          <w:lang w:val="es-ES"/>
        </w:rPr>
        <w:t>34</w:t>
      </w:r>
    </w:p>
    <w:p w:rsidR="005A2BF9" w:rsidRDefault="005A2BF9">
      <w:pPr>
        <w:pStyle w:val="NoSpacing"/>
        <w:ind w:left="360"/>
        <w:jc w:val="both"/>
        <w:rPr>
          <w:rFonts w:ascii="Times New Roman" w:hAnsi="Times New Roman"/>
          <w:bCs/>
          <w:sz w:val="10"/>
          <w:szCs w:val="10"/>
        </w:rPr>
      </w:pPr>
    </w:p>
    <w:p w:rsidR="005A2BF9" w:rsidRDefault="005A2BF9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  <w:lang w:val="es-ES"/>
        </w:rPr>
        <w:t>Decisiones con respecto a</w:t>
      </w:r>
      <w:r>
        <w:rPr>
          <w:rFonts w:ascii="Times New Roman" w:hAnsi="Times New Roman"/>
          <w:b/>
          <w:szCs w:val="24"/>
          <w:lang w:val="es-ES"/>
        </w:rPr>
        <w:t xml:space="preserve"> la realización de actividades piloto que deberán ser implementadas </w:t>
      </w:r>
      <w:r>
        <w:rPr>
          <w:rFonts w:ascii="Times New Roman" w:hAnsi="Times New Roman"/>
          <w:szCs w:val="24"/>
          <w:lang w:val="es-ES"/>
        </w:rPr>
        <w:t>en las tierras/territorios de los pueblos indígenas y/u otros tenedores de derechos relevantes;</w:t>
      </w:r>
      <w:r>
        <w:rPr>
          <w:rFonts w:ascii="Times New Roman" w:hAnsi="Times New Roman"/>
          <w:szCs w:val="24"/>
          <w:vertAlign w:val="superscript"/>
          <w:lang w:val="es-ES"/>
        </w:rPr>
        <w:t>35</w:t>
      </w:r>
    </w:p>
    <w:p w:rsidR="005A2BF9" w:rsidRDefault="005A2BF9">
      <w:pPr>
        <w:pStyle w:val="NoSpacing"/>
        <w:ind w:left="360"/>
        <w:jc w:val="both"/>
        <w:rPr>
          <w:rFonts w:ascii="Times New Roman" w:hAnsi="Times New Roman"/>
          <w:sz w:val="10"/>
          <w:szCs w:val="10"/>
        </w:rPr>
      </w:pPr>
    </w:p>
    <w:p w:rsidR="005A2BF9" w:rsidRDefault="005A2BF9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s-ES"/>
        </w:rPr>
        <w:t>Decisiones con respecto a los arreglos para la distribución de beneficios, cuando los beneficios derivan de las tierras/territorios/recursos de pueblos indígenas y/u otros tenedores de derechos relevantes;</w:t>
      </w:r>
      <w:r>
        <w:rPr>
          <w:rFonts w:ascii="Times New Roman" w:hAnsi="Times New Roman"/>
          <w:szCs w:val="24"/>
          <w:vertAlign w:val="superscript"/>
          <w:lang w:val="es-ES"/>
        </w:rPr>
        <w:t>36</w:t>
      </w:r>
    </w:p>
    <w:p w:rsidR="005A2BF9" w:rsidRDefault="005A2BF9">
      <w:pPr>
        <w:pStyle w:val="NoSpacing"/>
        <w:ind w:left="360"/>
        <w:jc w:val="both"/>
        <w:rPr>
          <w:rFonts w:ascii="Times New Roman" w:hAnsi="Times New Roman"/>
          <w:bCs/>
          <w:sz w:val="10"/>
          <w:szCs w:val="10"/>
        </w:rPr>
      </w:pPr>
    </w:p>
    <w:p w:rsidR="005A2BF9" w:rsidRDefault="005A2BF9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  <w:lang w:val="es-ES"/>
        </w:rPr>
        <w:t>Decisiones con respecto a la tenencia de tierras en las tierras/territorios de pueblos indígenas y/u otros tenedores de derechos relevantes;</w:t>
      </w:r>
      <w:r>
        <w:rPr>
          <w:rFonts w:ascii="Times New Roman" w:hAnsi="Times New Roman"/>
          <w:szCs w:val="24"/>
          <w:vertAlign w:val="superscript"/>
          <w:lang w:val="es-ES"/>
        </w:rPr>
        <w:t>37</w:t>
      </w:r>
    </w:p>
    <w:p w:rsidR="005A2BF9" w:rsidRDefault="005A2BF9">
      <w:pPr>
        <w:pStyle w:val="NoSpacing"/>
        <w:ind w:left="360"/>
        <w:jc w:val="both"/>
        <w:rPr>
          <w:rFonts w:ascii="Times New Roman" w:hAnsi="Times New Roman"/>
          <w:bCs/>
          <w:sz w:val="10"/>
          <w:szCs w:val="10"/>
        </w:rPr>
      </w:pPr>
    </w:p>
    <w:p w:rsidR="005A2BF9" w:rsidRDefault="005A2BF9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  <w:lang w:val="es-ES"/>
        </w:rPr>
        <w:t>Decisiones con respecto a la zonificación de uso de tierras de reservas de bosques y/o zonas de manejo de bosques sustentables en tierras/territorios de pueblos indígenas y/u otros tenedores de derechos relevantes;</w:t>
      </w:r>
      <w:r>
        <w:rPr>
          <w:rFonts w:ascii="Times New Roman" w:hAnsi="Times New Roman"/>
          <w:szCs w:val="24"/>
          <w:vertAlign w:val="superscript"/>
          <w:lang w:val="es-ES"/>
        </w:rPr>
        <w:t>38</w:t>
      </w:r>
    </w:p>
    <w:p w:rsidR="005A2BF9" w:rsidRDefault="005A2BF9">
      <w:pPr>
        <w:pStyle w:val="NoSpacing"/>
        <w:ind w:left="360"/>
        <w:jc w:val="both"/>
        <w:rPr>
          <w:rFonts w:ascii="Times New Roman" w:hAnsi="Times New Roman"/>
          <w:bCs/>
          <w:sz w:val="10"/>
          <w:szCs w:val="10"/>
        </w:rPr>
      </w:pPr>
    </w:p>
    <w:p w:rsidR="005A2BF9" w:rsidRDefault="005A2BF9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s-ES"/>
        </w:rPr>
        <w:t>Decisiones con respecto al acceso servicios de biodiversidad y ecosistemas (por ejemplo para alimentos y medicamentos) en tierras/territorios de pueblos indígenas y/u otros tenedores de derechos relevantes;</w:t>
      </w:r>
      <w:r>
        <w:rPr>
          <w:rFonts w:ascii="Times New Roman" w:hAnsi="Times New Roman"/>
          <w:szCs w:val="24"/>
          <w:vertAlign w:val="superscript"/>
          <w:lang w:val="es-ES"/>
        </w:rPr>
        <w:t>39</w:t>
      </w:r>
    </w:p>
    <w:p w:rsidR="005A2BF9" w:rsidRDefault="005A2BF9" w:rsidP="00556E12">
      <w:pPr>
        <w:pStyle w:val="NoSpacing"/>
        <w:jc w:val="both"/>
        <w:rPr>
          <w:rFonts w:ascii="Times New Roman" w:hAnsi="Times New Roman"/>
          <w:b/>
        </w:rPr>
      </w:pPr>
    </w:p>
    <w:p w:rsidR="005A2BF9" w:rsidRDefault="005A2BF9">
      <w:pPr>
        <w:pStyle w:val="NoSpacing"/>
        <w:jc w:val="both"/>
        <w:rPr>
          <w:rFonts w:ascii="Times New Roman" w:hAnsi="Times New Roman"/>
          <w:b/>
        </w:rPr>
      </w:pPr>
    </w:p>
    <w:p w:rsidR="005A2BF9" w:rsidRDefault="005A2BF9">
      <w:pPr>
        <w:pStyle w:val="NoSpacing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lang w:val="es-ES"/>
        </w:rPr>
        <w:t>Actividades que podrían no requerir consentimiento, excepto al punto que incluyan decisiones identificadas con aquellas listadas más arriba:</w:t>
      </w:r>
    </w:p>
    <w:p w:rsidR="005A2BF9" w:rsidRDefault="005A2BF9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s-ES"/>
        </w:rPr>
        <w:t>Aprobación de una estrategia nacional de Preparativos REDD+;</w:t>
      </w:r>
    </w:p>
    <w:p w:rsidR="005A2BF9" w:rsidRDefault="005A2BF9">
      <w:pPr>
        <w:pStyle w:val="NoSpacing"/>
        <w:jc w:val="both"/>
        <w:rPr>
          <w:rFonts w:ascii="Times New Roman" w:hAnsi="Times New Roman"/>
          <w:sz w:val="10"/>
          <w:szCs w:val="10"/>
        </w:rPr>
      </w:pPr>
    </w:p>
    <w:p w:rsidR="005A2BF9" w:rsidRDefault="005A2BF9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s-ES"/>
        </w:rPr>
        <w:t xml:space="preserve">La previsión de actividades para compartir información, generar conciencia y desarrollar capacidades; </w:t>
      </w:r>
    </w:p>
    <w:p w:rsidR="005A2BF9" w:rsidRDefault="005A2BF9">
      <w:pPr>
        <w:pStyle w:val="NoSpacing"/>
        <w:ind w:left="360"/>
        <w:jc w:val="both"/>
        <w:rPr>
          <w:rFonts w:ascii="Times New Roman" w:hAnsi="Times New Roman"/>
          <w:sz w:val="10"/>
          <w:szCs w:val="10"/>
        </w:rPr>
      </w:pPr>
    </w:p>
    <w:p w:rsidR="005A2BF9" w:rsidRDefault="005A2BF9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s-ES"/>
        </w:rPr>
        <w:t>La identificación de impulsores de deforestación y degradación de bosques:</w:t>
      </w:r>
    </w:p>
    <w:p w:rsidR="005A2BF9" w:rsidRDefault="005A2BF9">
      <w:pPr>
        <w:pStyle w:val="NoSpacing"/>
        <w:ind w:left="360"/>
        <w:jc w:val="both"/>
        <w:rPr>
          <w:rFonts w:ascii="Times New Roman" w:hAnsi="Times New Roman"/>
          <w:sz w:val="10"/>
          <w:szCs w:val="10"/>
        </w:rPr>
      </w:pPr>
    </w:p>
    <w:p w:rsidR="005A2BF9" w:rsidRDefault="005A2BF9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szCs w:val="24"/>
          <w:lang w:val="es-ES"/>
        </w:rPr>
        <w:t>Evaluación de uso de tierras, leyes de bosques, políticas, y gobernabilidad;</w:t>
      </w:r>
    </w:p>
    <w:p w:rsidR="005A2BF9" w:rsidRDefault="005A2BF9">
      <w:pPr>
        <w:pStyle w:val="NoSpacing"/>
        <w:ind w:left="360"/>
        <w:jc w:val="both"/>
        <w:rPr>
          <w:rFonts w:ascii="Times New Roman" w:hAnsi="Times New Roman"/>
          <w:sz w:val="10"/>
          <w:szCs w:val="10"/>
        </w:rPr>
      </w:pPr>
    </w:p>
    <w:p w:rsidR="005A2BF9" w:rsidRDefault="005A2BF9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s-ES"/>
        </w:rPr>
        <w:t xml:space="preserve">Evaluación de riesgos sociales y medioambientales clave e impactos potenciales clave (tanto positivos como negativos) de opciones de estrategias </w:t>
      </w:r>
      <w:r>
        <w:rPr>
          <w:rFonts w:ascii="Times New Roman" w:hAnsi="Times New Roman"/>
          <w:i/>
          <w:szCs w:val="24"/>
          <w:lang w:val="es-ES"/>
        </w:rPr>
        <w:t>REDD+</w:t>
      </w:r>
      <w:r>
        <w:rPr>
          <w:rFonts w:ascii="Times New Roman" w:hAnsi="Times New Roman"/>
          <w:szCs w:val="24"/>
          <w:lang w:val="es-ES"/>
        </w:rPr>
        <w:t>;</w:t>
      </w:r>
    </w:p>
    <w:p w:rsidR="005A2BF9" w:rsidRDefault="005A2BF9">
      <w:pPr>
        <w:pStyle w:val="NoSpacing"/>
        <w:ind w:left="360"/>
        <w:jc w:val="both"/>
        <w:rPr>
          <w:rFonts w:ascii="Times New Roman" w:hAnsi="Times New Roman"/>
          <w:sz w:val="10"/>
          <w:szCs w:val="10"/>
        </w:rPr>
      </w:pPr>
    </w:p>
    <w:p w:rsidR="005A2BF9" w:rsidRDefault="005A2BF9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s-ES"/>
        </w:rPr>
        <w:t>Estudios técnicos y científicos (por ejemplo para determinar un nivel de referencia nacional);</w:t>
      </w:r>
    </w:p>
    <w:p w:rsidR="005A2BF9" w:rsidRDefault="005A2BF9">
      <w:pPr>
        <w:pStyle w:val="NoSpacing"/>
        <w:ind w:left="360"/>
        <w:jc w:val="both"/>
        <w:rPr>
          <w:rFonts w:ascii="Times New Roman" w:hAnsi="Times New Roman"/>
          <w:sz w:val="10"/>
          <w:szCs w:val="10"/>
        </w:rPr>
      </w:pPr>
    </w:p>
    <w:p w:rsidR="005A2BF9" w:rsidRDefault="005A2BF9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s-ES"/>
        </w:rPr>
        <w:t xml:space="preserve">Establecer un sistema nacional de monitoreo para medir, informar y verificar el efecto de la estrategia </w:t>
      </w:r>
      <w:r>
        <w:rPr>
          <w:rFonts w:ascii="Times New Roman" w:hAnsi="Times New Roman"/>
          <w:i/>
          <w:szCs w:val="24"/>
          <w:lang w:val="es-ES"/>
        </w:rPr>
        <w:t>REDD+</w:t>
      </w:r>
      <w:r>
        <w:rPr>
          <w:rFonts w:ascii="Times New Roman" w:hAnsi="Times New Roman"/>
          <w:szCs w:val="24"/>
          <w:lang w:val="es-ES"/>
        </w:rPr>
        <w:t xml:space="preserve"> sobre las emisiones de Gases de Efecto Invernadero;</w:t>
      </w:r>
    </w:p>
    <w:p w:rsidR="005A2BF9" w:rsidRDefault="005A2BF9">
      <w:pPr>
        <w:pStyle w:val="NoSpacing"/>
        <w:ind w:left="360"/>
        <w:jc w:val="both"/>
        <w:rPr>
          <w:rFonts w:ascii="Times New Roman" w:hAnsi="Times New Roman"/>
          <w:sz w:val="10"/>
          <w:szCs w:val="10"/>
        </w:rPr>
      </w:pPr>
    </w:p>
    <w:p w:rsidR="005A2BF9" w:rsidRDefault="005A2BF9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s-ES"/>
        </w:rPr>
        <w:t>Toma de fotografías aéreas de las tierras;</w:t>
      </w:r>
    </w:p>
    <w:p w:rsidR="005A2BF9" w:rsidRDefault="005A2BF9">
      <w:pPr>
        <w:pStyle w:val="NoSpacing"/>
        <w:ind w:left="360"/>
        <w:jc w:val="both"/>
        <w:rPr>
          <w:rFonts w:ascii="Times New Roman" w:hAnsi="Times New Roman"/>
          <w:sz w:val="10"/>
          <w:szCs w:val="10"/>
        </w:rPr>
      </w:pPr>
    </w:p>
    <w:p w:rsidR="005A2BF9" w:rsidRDefault="005A2BF9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s-ES"/>
        </w:rPr>
        <w:t>Medición de las reservas de carbono:</w:t>
      </w:r>
    </w:p>
    <w:p w:rsidR="005A2BF9" w:rsidRPr="00D40059" w:rsidRDefault="005A2BF9" w:rsidP="003324C2">
      <w:pPr>
        <w:pStyle w:val="NoSpacing"/>
        <w:jc w:val="both"/>
        <w:rPr>
          <w:b/>
          <w:bCs/>
          <w:lang/>
        </w:rPr>
      </w:pPr>
    </w:p>
    <w:sectPr w:rsidR="005A2BF9" w:rsidRPr="00D40059" w:rsidSect="00AD4261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00100" w:usb3="00000000" w:csb0="80000000" w:csb1="00000000"/>
  </w:font>
  <w:font w:name="Times New Roman">
    <w:altName w:val="1ÙÅÁ"/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3000000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00100" w:usb3="00000000" w:csb0="80000000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3000000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9AC1885"/>
    <w:multiLevelType w:val="hybridMultilevel"/>
    <w:tmpl w:val="D500EB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5F4F84"/>
    <w:multiLevelType w:val="hybridMultilevel"/>
    <w:tmpl w:val="9D425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407705"/>
    <w:multiLevelType w:val="hybridMultilevel"/>
    <w:tmpl w:val="9BE2D60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B63A55"/>
    <w:multiLevelType w:val="hybridMultilevel"/>
    <w:tmpl w:val="200E2B8E"/>
    <w:lvl w:ilvl="0" w:tplc="6936A2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30E2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4A39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982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F89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A66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147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46DB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3E2F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2E62CB3"/>
    <w:multiLevelType w:val="hybridMultilevel"/>
    <w:tmpl w:val="26980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45D446C"/>
    <w:multiLevelType w:val="hybridMultilevel"/>
    <w:tmpl w:val="45B6B4A0"/>
    <w:lvl w:ilvl="0" w:tplc="FA7E7B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72D0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9CE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0A1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A47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28F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2AE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98CA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6A5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FD709A1"/>
    <w:multiLevelType w:val="hybridMultilevel"/>
    <w:tmpl w:val="68ACF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25854"/>
    <w:multiLevelType w:val="hybridMultilevel"/>
    <w:tmpl w:val="AC98F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D40059"/>
    <w:rsid w:val="00152DE7"/>
    <w:rsid w:val="003324C2"/>
    <w:rsid w:val="00556E12"/>
    <w:rsid w:val="00574357"/>
    <w:rsid w:val="005A2BF9"/>
    <w:rsid w:val="00713A64"/>
    <w:rsid w:val="008869B1"/>
    <w:rsid w:val="00AD4261"/>
    <w:rsid w:val="00B4043D"/>
    <w:rsid w:val="00B53F96"/>
    <w:rsid w:val="00D40059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059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40059"/>
    <w:pPr>
      <w:keepNext/>
      <w:keepLines/>
      <w:spacing w:before="200" w:after="0"/>
      <w:outlineLvl w:val="2"/>
    </w:pPr>
    <w:rPr>
      <w:rFonts w:eastAsia="Times New Roman"/>
      <w:b/>
      <w:bCs/>
      <w:i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D40059"/>
    <w:rPr>
      <w:rFonts w:ascii="Calibri" w:hAnsi="Calibri" w:cs="Times New Roman"/>
      <w:b/>
      <w:bCs/>
      <w:i/>
      <w:color w:val="4F81BD"/>
      <w:lang/>
    </w:rPr>
  </w:style>
  <w:style w:type="paragraph" w:customStyle="1" w:styleId="MediumGrid1-Accent21">
    <w:name w:val="Medium Grid 1 - Accent 21"/>
    <w:basedOn w:val="Normal"/>
    <w:uiPriority w:val="99"/>
    <w:rsid w:val="00D4005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99"/>
    <w:semiHidden/>
    <w:qFormat/>
    <w:rsid w:val="00D4005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rsid w:val="00556E12"/>
    <w:rPr>
      <w:rFonts w:cs="Times New Roman"/>
      <w:sz w:val="16"/>
    </w:rPr>
  </w:style>
  <w:style w:type="character" w:customStyle="1" w:styleId="hps">
    <w:name w:val="hps"/>
    <w:basedOn w:val="DefaultParagraphFont"/>
    <w:uiPriority w:val="99"/>
    <w:rsid w:val="003324C2"/>
    <w:rPr>
      <w:rFonts w:cs="Times New Roman"/>
    </w:rPr>
  </w:style>
  <w:style w:type="character" w:customStyle="1" w:styleId="hpsalt-edited">
    <w:name w:val="hps alt-edited"/>
    <w:basedOn w:val="DefaultParagraphFont"/>
    <w:uiPriority w:val="99"/>
    <w:rsid w:val="003324C2"/>
    <w:rPr>
      <w:rFonts w:cs="Times New Roman"/>
    </w:rPr>
  </w:style>
  <w:style w:type="character" w:customStyle="1" w:styleId="hpsatn">
    <w:name w:val="hps atn"/>
    <w:basedOn w:val="DefaultParagraphFont"/>
    <w:uiPriority w:val="99"/>
    <w:rsid w:val="003324C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3037</Characters>
  <Application>Microsoft Word 12.1.1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Grupo de Discusión 2: Cuando se requiere el CLPI</dc:title>
  <dc:subject/>
  <dc:creator>Jennifer Laughlin</dc:creator>
  <cp:keywords/>
  <cp:lastModifiedBy>NK</cp:lastModifiedBy>
  <cp:revision>2</cp:revision>
  <dcterms:created xsi:type="dcterms:W3CDTF">2012-02-09T23:05:00Z</dcterms:created>
  <dcterms:modified xsi:type="dcterms:W3CDTF">2012-02-09T23:05:00Z</dcterms:modified>
</cp:coreProperties>
</file>