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0D" w:rsidRPr="003C3BBB" w:rsidRDefault="00372FC7" w:rsidP="00372FC7">
      <w:pPr>
        <w:pStyle w:val="NormalWeb"/>
        <w:spacing w:before="0" w:beforeAutospacing="0" w:after="0" w:afterAutospacing="0"/>
        <w:textAlignment w:val="baseline"/>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 xml:space="preserve">Breakout Group 1: </w:t>
      </w:r>
      <w:bookmarkStart w:id="0" w:name="_GoBack"/>
      <w:bookmarkEnd w:id="0"/>
      <w:r w:rsidR="0031190D" w:rsidRPr="003C3BBB">
        <w:rPr>
          <w:rFonts w:ascii="Arial" w:hAnsi="Arial" w:cstheme="minorBidi"/>
          <w:b/>
          <w:bCs/>
          <w:color w:val="000000" w:themeColor="text1"/>
          <w:kern w:val="24"/>
          <w:sz w:val="28"/>
          <w:szCs w:val="28"/>
        </w:rPr>
        <w:t>Who Gives Consent?</w:t>
      </w:r>
    </w:p>
    <w:p w:rsidR="0031190D" w:rsidRPr="0031190D" w:rsidRDefault="0031190D" w:rsidP="0031190D">
      <w:pPr>
        <w:pStyle w:val="NormalWeb"/>
        <w:spacing w:before="0" w:beforeAutospacing="0" w:after="0" w:afterAutospacing="0"/>
        <w:textAlignment w:val="baseline"/>
      </w:pPr>
    </w:p>
    <w:p w:rsidR="0031190D" w:rsidRPr="0031190D" w:rsidRDefault="0031190D" w:rsidP="0031190D">
      <w:r w:rsidRPr="0031190D">
        <w:rPr>
          <w:b/>
          <w:bCs/>
        </w:rPr>
        <w:t xml:space="preserve">Recommendation: </w:t>
      </w:r>
    </w:p>
    <w:p w:rsidR="00C23959" w:rsidRPr="0031190D" w:rsidRDefault="00531EF5" w:rsidP="0031190D">
      <w:pPr>
        <w:pStyle w:val="NoSpacing"/>
        <w:numPr>
          <w:ilvl w:val="0"/>
          <w:numId w:val="6"/>
        </w:numPr>
      </w:pPr>
      <w:r w:rsidRPr="0031190D">
        <w:t>Extend FPIC to non-IPs, but provide clarity on how to determine which groups FPIC should be extended to</w:t>
      </w:r>
    </w:p>
    <w:p w:rsidR="00C23959" w:rsidRPr="0031190D" w:rsidRDefault="00531EF5" w:rsidP="0031190D">
      <w:pPr>
        <w:pStyle w:val="NoSpacing"/>
        <w:numPr>
          <w:ilvl w:val="0"/>
          <w:numId w:val="6"/>
        </w:numPr>
      </w:pPr>
      <w:r w:rsidRPr="0031190D">
        <w:t>Stakeholder terminology should be: better defined; made consistent throughout the document; and tailored to national contexts</w:t>
      </w:r>
    </w:p>
    <w:p w:rsidR="0031190D" w:rsidRPr="0031190D" w:rsidRDefault="0031190D" w:rsidP="0031190D">
      <w:r w:rsidRPr="0031190D">
        <w:br/>
      </w:r>
      <w:r w:rsidRPr="0031190D">
        <w:rPr>
          <w:b/>
          <w:bCs/>
        </w:rPr>
        <w:t xml:space="preserve">Possible way forward -- </w:t>
      </w:r>
      <w:r w:rsidRPr="0031190D">
        <w:t>The Guidelines:</w:t>
      </w:r>
    </w:p>
    <w:p w:rsidR="00C23959" w:rsidRPr="0031190D" w:rsidRDefault="00531EF5" w:rsidP="0031190D">
      <w:pPr>
        <w:pStyle w:val="NoSpacing"/>
        <w:numPr>
          <w:ilvl w:val="0"/>
          <w:numId w:val="7"/>
        </w:numPr>
      </w:pPr>
      <w:r w:rsidRPr="0031190D">
        <w:t>Should state more explicitly the difference in rights between IPs and non-IPs (based on relevant international law)</w:t>
      </w:r>
    </w:p>
    <w:p w:rsidR="00C23959" w:rsidRPr="0031190D" w:rsidRDefault="00531EF5" w:rsidP="0031190D">
      <w:pPr>
        <w:pStyle w:val="NoSpacing"/>
        <w:numPr>
          <w:ilvl w:val="0"/>
          <w:numId w:val="7"/>
        </w:numPr>
      </w:pPr>
      <w:r w:rsidRPr="0031190D">
        <w:t xml:space="preserve">Could include criteria to support National </w:t>
      </w:r>
      <w:proofErr w:type="spellStart"/>
      <w:r w:rsidRPr="0031190D">
        <w:t>Programmes</w:t>
      </w:r>
      <w:proofErr w:type="spellEnd"/>
      <w:r w:rsidRPr="0031190D">
        <w:t xml:space="preserve"> to determine which groups FPIC should be extended to; and guidance on undertaking a national rights-holder mapping exercise</w:t>
      </w:r>
    </w:p>
    <w:p w:rsidR="0031190D" w:rsidRDefault="0031190D" w:rsidP="0031190D">
      <w:pPr>
        <w:pStyle w:val="NoSpacing"/>
      </w:pPr>
    </w:p>
    <w:p w:rsidR="0031190D" w:rsidRPr="0031190D" w:rsidRDefault="0031190D" w:rsidP="0031190D">
      <w:r w:rsidRPr="0031190D">
        <w:rPr>
          <w:b/>
          <w:bCs/>
        </w:rPr>
        <w:t>Questions:</w:t>
      </w:r>
    </w:p>
    <w:p w:rsidR="00C23959" w:rsidRPr="0031190D" w:rsidRDefault="00531EF5" w:rsidP="0031190D">
      <w:pPr>
        <w:pStyle w:val="NoSpacing"/>
        <w:numPr>
          <w:ilvl w:val="0"/>
          <w:numId w:val="8"/>
        </w:numPr>
      </w:pPr>
      <w:r w:rsidRPr="0031190D">
        <w:t>What should be the criteria for determining which groups FPIC should be extended to (</w:t>
      </w:r>
      <w:proofErr w:type="spellStart"/>
      <w:r w:rsidRPr="0031190D">
        <w:t>i.e</w:t>
      </w:r>
      <w:proofErr w:type="spellEnd"/>
      <w:r w:rsidRPr="0031190D">
        <w:t xml:space="preserve"> modernity/traditional lifestyle, dependency on forest resources, or historic, social and cultural ties to the (forest) area)?</w:t>
      </w:r>
    </w:p>
    <w:p w:rsidR="008869B1" w:rsidRDefault="00531EF5" w:rsidP="0031190D">
      <w:pPr>
        <w:pStyle w:val="NoSpacing"/>
        <w:numPr>
          <w:ilvl w:val="0"/>
          <w:numId w:val="8"/>
        </w:numPr>
      </w:pPr>
      <w:r w:rsidRPr="0031190D">
        <w:t>How should the Guidance deal with situations where States do not recognize the distinct identity and rights of indigenous peoples?</w:t>
      </w:r>
    </w:p>
    <w:p w:rsidR="0031190D" w:rsidRDefault="0031190D" w:rsidP="0031190D">
      <w:pPr>
        <w:pStyle w:val="NoSpacing"/>
        <w:pBdr>
          <w:bottom w:val="single" w:sz="6" w:space="1" w:color="auto"/>
        </w:pBdr>
      </w:pPr>
    </w:p>
    <w:p w:rsidR="0039321A" w:rsidRDefault="0039321A" w:rsidP="00D24D83">
      <w:pPr>
        <w:pStyle w:val="NoSpacing"/>
        <w:rPr>
          <w:b/>
        </w:rPr>
      </w:pPr>
    </w:p>
    <w:p w:rsidR="00D24D83" w:rsidRPr="00D24D83" w:rsidRDefault="0031190D" w:rsidP="00D24D83">
      <w:pPr>
        <w:pStyle w:val="NoSpacing"/>
        <w:rPr>
          <w:b/>
        </w:rPr>
      </w:pPr>
      <w:r w:rsidRPr="00D24D83">
        <w:rPr>
          <w:b/>
        </w:rPr>
        <w:t xml:space="preserve">Recommendation: </w:t>
      </w:r>
    </w:p>
    <w:p w:rsidR="0031190D" w:rsidRPr="00D24D83" w:rsidRDefault="0031190D" w:rsidP="00D24D83">
      <w:pPr>
        <w:pStyle w:val="NoSpacing"/>
      </w:pPr>
      <w:r w:rsidRPr="0031190D">
        <w:t>Provide further guidance on how rights-holders will/should be represented in FPIC processes</w:t>
      </w:r>
    </w:p>
    <w:p w:rsidR="00D24D83" w:rsidRDefault="00D24D83" w:rsidP="00D24D83">
      <w:pPr>
        <w:pStyle w:val="NoSpacing"/>
      </w:pPr>
    </w:p>
    <w:p w:rsidR="0031190D" w:rsidRPr="0031190D" w:rsidRDefault="0031190D" w:rsidP="0031190D">
      <w:r w:rsidRPr="0031190D">
        <w:rPr>
          <w:b/>
          <w:bCs/>
        </w:rPr>
        <w:t xml:space="preserve">Challenges:  </w:t>
      </w:r>
    </w:p>
    <w:p w:rsidR="00C23959" w:rsidRPr="0031190D" w:rsidRDefault="00531EF5" w:rsidP="0031190D">
      <w:pPr>
        <w:pStyle w:val="NoSpacing"/>
        <w:numPr>
          <w:ilvl w:val="0"/>
          <w:numId w:val="9"/>
        </w:numPr>
      </w:pPr>
      <w:r w:rsidRPr="0031190D">
        <w:t xml:space="preserve">Some communities may not have representative structures </w:t>
      </w:r>
    </w:p>
    <w:p w:rsidR="00C23959" w:rsidRPr="0031190D" w:rsidRDefault="00531EF5" w:rsidP="0031190D">
      <w:pPr>
        <w:pStyle w:val="NoSpacing"/>
        <w:numPr>
          <w:ilvl w:val="0"/>
          <w:numId w:val="9"/>
        </w:numPr>
      </w:pPr>
      <w:r w:rsidRPr="0031190D">
        <w:t>Difficult to distinguish between those claiming to represent others and those that genuinely do</w:t>
      </w:r>
    </w:p>
    <w:p w:rsidR="00C23959" w:rsidRPr="0031190D" w:rsidRDefault="00531EF5" w:rsidP="0031190D">
      <w:pPr>
        <w:pStyle w:val="NoSpacing"/>
        <w:numPr>
          <w:ilvl w:val="0"/>
          <w:numId w:val="9"/>
        </w:numPr>
      </w:pPr>
      <w:r w:rsidRPr="0031190D">
        <w:t>Not all representative processes/structures are transparent or democratic</w:t>
      </w:r>
    </w:p>
    <w:p w:rsidR="0031190D" w:rsidRPr="0031190D" w:rsidRDefault="00531EF5" w:rsidP="0031190D">
      <w:pPr>
        <w:pStyle w:val="NoSpacing"/>
        <w:numPr>
          <w:ilvl w:val="0"/>
          <w:numId w:val="9"/>
        </w:numPr>
      </w:pPr>
      <w:r w:rsidRPr="0031190D">
        <w:t>Given the diversity and quantity of IP and other rights-holders groups in some countries, how would a national-level FPIC process take place?</w:t>
      </w:r>
    </w:p>
    <w:p w:rsidR="0031190D" w:rsidRDefault="0031190D" w:rsidP="0031190D">
      <w:pPr>
        <w:pStyle w:val="NoSpacing"/>
      </w:pPr>
    </w:p>
    <w:p w:rsidR="0031190D" w:rsidRPr="0031190D" w:rsidRDefault="0031190D" w:rsidP="0031190D">
      <w:r w:rsidRPr="0031190D">
        <w:rPr>
          <w:b/>
          <w:bCs/>
        </w:rPr>
        <w:t>Questions:</w:t>
      </w:r>
    </w:p>
    <w:p w:rsidR="00C23959" w:rsidRPr="0031190D" w:rsidRDefault="00531EF5" w:rsidP="0031190D">
      <w:pPr>
        <w:pStyle w:val="NoSpacing"/>
        <w:numPr>
          <w:ilvl w:val="0"/>
          <w:numId w:val="10"/>
        </w:numPr>
      </w:pPr>
      <w:r w:rsidRPr="0031190D">
        <w:t>What should be the criteria for determining the validity of groups claiming to be ‘relevant rights-holders’?</w:t>
      </w:r>
    </w:p>
    <w:p w:rsidR="00C23959" w:rsidRPr="0031190D" w:rsidRDefault="00531EF5" w:rsidP="0031190D">
      <w:pPr>
        <w:pStyle w:val="NoSpacing"/>
        <w:numPr>
          <w:ilvl w:val="0"/>
          <w:numId w:val="10"/>
        </w:numPr>
      </w:pPr>
      <w:r w:rsidRPr="0031190D">
        <w:t xml:space="preserve">What level of representation is sufficient in an FPIC process (village, community, many communities, </w:t>
      </w:r>
      <w:proofErr w:type="gramStart"/>
      <w:r w:rsidRPr="0031190D">
        <w:t>self</w:t>
      </w:r>
      <w:proofErr w:type="gramEnd"/>
      <w:r w:rsidRPr="0031190D">
        <w:t xml:space="preserve">-elected regional/national platforms?) </w:t>
      </w:r>
    </w:p>
    <w:p w:rsidR="00C23959" w:rsidRPr="0031190D" w:rsidRDefault="00531EF5" w:rsidP="0031190D">
      <w:pPr>
        <w:pStyle w:val="NoSpacing"/>
        <w:numPr>
          <w:ilvl w:val="0"/>
          <w:numId w:val="10"/>
        </w:numPr>
      </w:pPr>
      <w:r w:rsidRPr="0031190D">
        <w:t xml:space="preserve">How can National </w:t>
      </w:r>
      <w:proofErr w:type="spellStart"/>
      <w:r w:rsidRPr="0031190D">
        <w:t>Programmes</w:t>
      </w:r>
      <w:proofErr w:type="spellEnd"/>
      <w:r w:rsidRPr="0031190D">
        <w:t xml:space="preserve"> support or facilitate rights-holders to identify and/or create their own representative structures?</w:t>
      </w:r>
    </w:p>
    <w:p w:rsidR="0039321A" w:rsidRDefault="0039321A">
      <w:r>
        <w:br w:type="page"/>
      </w:r>
    </w:p>
    <w:p w:rsidR="000924B0" w:rsidRPr="000924B0" w:rsidRDefault="000924B0" w:rsidP="0039321A">
      <w:pPr>
        <w:pStyle w:val="Heading2"/>
        <w:jc w:val="both"/>
        <w:rPr>
          <w:rFonts w:ascii="Times New Roman" w:hAnsi="Times New Roman"/>
          <w:i w:val="0"/>
          <w:color w:val="auto"/>
          <w:sz w:val="22"/>
          <w:szCs w:val="22"/>
          <w:lang w:val="en-US"/>
        </w:rPr>
      </w:pPr>
      <w:r w:rsidRPr="000924B0">
        <w:rPr>
          <w:rFonts w:ascii="Times New Roman" w:hAnsi="Times New Roman"/>
          <w:i w:val="0"/>
          <w:color w:val="auto"/>
          <w:sz w:val="22"/>
          <w:szCs w:val="22"/>
          <w:lang w:val="en-US"/>
        </w:rPr>
        <w:lastRenderedPageBreak/>
        <w:t>For reference from the FPIC Guidelines</w:t>
      </w:r>
    </w:p>
    <w:p w:rsidR="0039321A" w:rsidRPr="006A372D" w:rsidRDefault="0039321A" w:rsidP="0039321A">
      <w:pPr>
        <w:pStyle w:val="Heading2"/>
        <w:jc w:val="both"/>
        <w:rPr>
          <w:rFonts w:ascii="Times New Roman" w:hAnsi="Times New Roman"/>
          <w:sz w:val="22"/>
          <w:szCs w:val="22"/>
        </w:rPr>
      </w:pPr>
      <w:r w:rsidRPr="006A372D">
        <w:rPr>
          <w:rFonts w:ascii="Times New Roman" w:hAnsi="Times New Roman"/>
          <w:sz w:val="22"/>
          <w:szCs w:val="22"/>
        </w:rPr>
        <w:t xml:space="preserve">1.2 Scope </w:t>
      </w:r>
    </w:p>
    <w:p w:rsidR="0039321A" w:rsidRPr="006A372D" w:rsidRDefault="0039321A" w:rsidP="0039321A">
      <w:pPr>
        <w:pStyle w:val="NoSpacing"/>
        <w:jc w:val="both"/>
        <w:rPr>
          <w:rFonts w:ascii="Times New Roman" w:hAnsi="Times New Roman"/>
        </w:rPr>
      </w:pPr>
    </w:p>
    <w:p w:rsidR="0039321A" w:rsidRPr="006A372D" w:rsidRDefault="0039321A" w:rsidP="0039321A">
      <w:pPr>
        <w:pStyle w:val="NoSpacing"/>
        <w:jc w:val="both"/>
        <w:rPr>
          <w:rFonts w:ascii="Times New Roman" w:hAnsi="Times New Roman"/>
        </w:rPr>
      </w:pPr>
      <w:r w:rsidRPr="006A372D">
        <w:rPr>
          <w:rFonts w:ascii="Times New Roman" w:hAnsi="Times New Roman"/>
        </w:rPr>
        <w:t xml:space="preserve">The primary users of these Guidelines will be UN-REDD </w:t>
      </w:r>
      <w:proofErr w:type="spellStart"/>
      <w:r w:rsidRPr="006A372D">
        <w:rPr>
          <w:rFonts w:ascii="Times New Roman" w:hAnsi="Times New Roman"/>
        </w:rPr>
        <w:t>Programme</w:t>
      </w:r>
      <w:proofErr w:type="spellEnd"/>
      <w:r w:rsidRPr="006A372D">
        <w:rPr>
          <w:rFonts w:ascii="Times New Roman" w:hAnsi="Times New Roman"/>
        </w:rPr>
        <w:t xml:space="preserve"> partner countries, including those with National </w:t>
      </w:r>
      <w:proofErr w:type="spellStart"/>
      <w:r w:rsidRPr="006A372D">
        <w:rPr>
          <w:rFonts w:ascii="Times New Roman" w:hAnsi="Times New Roman"/>
        </w:rPr>
        <w:t>Programmes</w:t>
      </w:r>
      <w:proofErr w:type="spellEnd"/>
      <w:r w:rsidRPr="006A372D">
        <w:rPr>
          <w:rStyle w:val="FootnoteReference"/>
          <w:rFonts w:ascii="Times New Roman" w:hAnsi="Times New Roman"/>
        </w:rPr>
        <w:footnoteReference w:id="1"/>
      </w:r>
      <w:r w:rsidRPr="006A372D">
        <w:rPr>
          <w:rFonts w:ascii="Times New Roman" w:hAnsi="Times New Roman"/>
        </w:rPr>
        <w:t xml:space="preserve"> as well as those receiving targeted support.</w:t>
      </w:r>
      <w:r w:rsidRPr="006A372D">
        <w:rPr>
          <w:rStyle w:val="FootnoteReference"/>
          <w:rFonts w:ascii="Times New Roman" w:hAnsi="Times New Roman"/>
        </w:rPr>
        <w:t xml:space="preserve"> </w:t>
      </w:r>
      <w:r w:rsidRPr="006A372D">
        <w:rPr>
          <w:rStyle w:val="FootnoteReference"/>
          <w:rFonts w:ascii="Times New Roman" w:hAnsi="Times New Roman"/>
        </w:rPr>
        <w:footnoteReference w:id="2"/>
      </w:r>
      <w:r w:rsidRPr="006A372D">
        <w:rPr>
          <w:rFonts w:ascii="Times New Roman" w:hAnsi="Times New Roman"/>
        </w:rPr>
        <w:t xml:space="preserve"> </w:t>
      </w:r>
    </w:p>
    <w:p w:rsidR="0039321A" w:rsidRPr="006A372D" w:rsidRDefault="0039321A" w:rsidP="0039321A">
      <w:pPr>
        <w:pStyle w:val="NoSpacing"/>
        <w:jc w:val="both"/>
        <w:rPr>
          <w:rFonts w:ascii="Times New Roman" w:hAnsi="Times New Roman"/>
        </w:rPr>
      </w:pPr>
    </w:p>
    <w:p w:rsidR="0039321A" w:rsidRPr="006A372D" w:rsidRDefault="0039321A" w:rsidP="0039321A">
      <w:pPr>
        <w:pStyle w:val="NoSpacing"/>
        <w:jc w:val="both"/>
        <w:rPr>
          <w:rFonts w:ascii="Times New Roman" w:hAnsi="Times New Roman"/>
        </w:rPr>
      </w:pPr>
      <w:r w:rsidRPr="006A372D">
        <w:rPr>
          <w:rFonts w:ascii="Times New Roman" w:hAnsi="Times New Roman"/>
        </w:rPr>
        <w:t xml:space="preserve">The Guidelines apply to national level activities supported by the UN-REDD </w:t>
      </w:r>
      <w:proofErr w:type="spellStart"/>
      <w:proofErr w:type="gramStart"/>
      <w:r w:rsidRPr="006A372D">
        <w:rPr>
          <w:rFonts w:ascii="Times New Roman" w:hAnsi="Times New Roman"/>
        </w:rPr>
        <w:t>Programme</w:t>
      </w:r>
      <w:proofErr w:type="spellEnd"/>
      <w:r w:rsidRPr="006A372D">
        <w:rPr>
          <w:rFonts w:ascii="Times New Roman" w:hAnsi="Times New Roman"/>
        </w:rPr>
        <w:t>,</w:t>
      </w:r>
      <w:proofErr w:type="gramEnd"/>
      <w:r w:rsidRPr="006A372D">
        <w:rPr>
          <w:rFonts w:ascii="Times New Roman" w:hAnsi="Times New Roman"/>
        </w:rPr>
        <w:t xml:space="preserve"> They also apply to activities supported by any of the three UN partner agencies to the UN-REDD </w:t>
      </w:r>
      <w:proofErr w:type="spellStart"/>
      <w:r w:rsidRPr="006A372D">
        <w:rPr>
          <w:rFonts w:ascii="Times New Roman" w:hAnsi="Times New Roman"/>
        </w:rPr>
        <w:t>Programme</w:t>
      </w:r>
      <w:proofErr w:type="spellEnd"/>
      <w:r w:rsidRPr="006A372D">
        <w:rPr>
          <w:rFonts w:ascii="Times New Roman" w:hAnsi="Times New Roman"/>
        </w:rPr>
        <w:t xml:space="preserve"> (FAO, UNDP, UNEP) in their role as a Delivery Partner under FCPF. </w:t>
      </w:r>
    </w:p>
    <w:p w:rsidR="0039321A" w:rsidRPr="006A372D" w:rsidRDefault="0039321A" w:rsidP="0039321A">
      <w:pPr>
        <w:pStyle w:val="NoSpacing"/>
        <w:jc w:val="both"/>
        <w:rPr>
          <w:rFonts w:ascii="Times New Roman" w:hAnsi="Times New Roman"/>
        </w:rPr>
      </w:pPr>
    </w:p>
    <w:p w:rsidR="0039321A" w:rsidRPr="006A372D" w:rsidRDefault="0039321A" w:rsidP="0039321A">
      <w:pPr>
        <w:autoSpaceDE w:val="0"/>
        <w:autoSpaceDN w:val="0"/>
        <w:adjustRightInd w:val="0"/>
        <w:spacing w:after="0" w:line="240" w:lineRule="auto"/>
        <w:jc w:val="both"/>
        <w:rPr>
          <w:rFonts w:ascii="Times New Roman" w:hAnsi="Times New Roman"/>
        </w:rPr>
      </w:pPr>
      <w:r w:rsidRPr="006A372D">
        <w:rPr>
          <w:rFonts w:ascii="Times New Roman" w:hAnsi="Times New Roman"/>
        </w:rPr>
        <w:t>FPIC is most often outlined in the context of the rights of indigenous peoples because of their</w:t>
      </w:r>
      <w:r w:rsidRPr="006A372D">
        <w:rPr>
          <w:rFonts w:ascii="Times New Roman" w:hAnsi="Times New Roman"/>
          <w:color w:val="231F20"/>
        </w:rPr>
        <w:t xml:space="preserve"> unique circumstances, notable marginalization and special status in international law</w:t>
      </w:r>
      <w:r w:rsidRPr="006A372D">
        <w:rPr>
          <w:rFonts w:ascii="Times New Roman" w:hAnsi="Times New Roman"/>
        </w:rPr>
        <w:t>.</w:t>
      </w:r>
      <w:r w:rsidRPr="006A372D">
        <w:rPr>
          <w:rStyle w:val="FootnoteReference"/>
          <w:rFonts w:ascii="Times New Roman" w:hAnsi="Times New Roman"/>
        </w:rPr>
        <w:footnoteReference w:id="3"/>
      </w:r>
      <w:r w:rsidRPr="006A372D">
        <w:rPr>
          <w:rFonts w:ascii="Times New Roman" w:hAnsi="Times New Roman"/>
        </w:rPr>
        <w:t xml:space="preserve"> Recognizing that REDD+ activities may impact other forest-dependent communities that have customary and/or legal rights to the territory and/or resource in question (hereafter referred to as ‘local communities’ or ‘other rights-holders’), these Guidelines, in line with the human rights-based approach outlined below, require partner countries to seek consent from these groups, when relevant, as well. </w:t>
      </w:r>
    </w:p>
    <w:p w:rsidR="0031190D" w:rsidRPr="0031190D" w:rsidRDefault="0031190D" w:rsidP="0031190D"/>
    <w:sectPr w:rsidR="0031190D" w:rsidRPr="00311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B2" w:rsidRDefault="001C0BB2" w:rsidP="0039321A">
      <w:pPr>
        <w:spacing w:after="0" w:line="240" w:lineRule="auto"/>
      </w:pPr>
      <w:r>
        <w:separator/>
      </w:r>
    </w:p>
  </w:endnote>
  <w:endnote w:type="continuationSeparator" w:id="0">
    <w:p w:rsidR="001C0BB2" w:rsidRDefault="001C0BB2" w:rsidP="0039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B2" w:rsidRDefault="001C0BB2" w:rsidP="0039321A">
      <w:pPr>
        <w:spacing w:after="0" w:line="240" w:lineRule="auto"/>
      </w:pPr>
      <w:r>
        <w:separator/>
      </w:r>
    </w:p>
  </w:footnote>
  <w:footnote w:type="continuationSeparator" w:id="0">
    <w:p w:rsidR="001C0BB2" w:rsidRDefault="001C0BB2" w:rsidP="0039321A">
      <w:pPr>
        <w:spacing w:after="0" w:line="240" w:lineRule="auto"/>
      </w:pPr>
      <w:r>
        <w:continuationSeparator/>
      </w:r>
    </w:p>
  </w:footnote>
  <w:footnote w:id="1">
    <w:p w:rsidR="0039321A" w:rsidRPr="007C604E" w:rsidRDefault="0039321A" w:rsidP="0039321A">
      <w:pPr>
        <w:pStyle w:val="NoSpacing"/>
        <w:ind w:left="-90"/>
        <w:jc w:val="both"/>
        <w:rPr>
          <w:rFonts w:ascii="Times New Roman" w:hAnsi="Times New Roman"/>
          <w:sz w:val="18"/>
          <w:szCs w:val="18"/>
        </w:rPr>
      </w:pPr>
      <w:r w:rsidRPr="007C604E">
        <w:rPr>
          <w:rStyle w:val="FootnoteReference"/>
          <w:rFonts w:ascii="Times New Roman" w:hAnsi="Times New Roman"/>
          <w:sz w:val="18"/>
          <w:szCs w:val="18"/>
        </w:rPr>
        <w:footnoteRef/>
      </w:r>
      <w:r w:rsidRPr="007C604E">
        <w:rPr>
          <w:rFonts w:ascii="Times New Roman" w:hAnsi="Times New Roman"/>
          <w:sz w:val="18"/>
          <w:szCs w:val="18"/>
        </w:rPr>
        <w:t xml:space="preserve"> Partner countries are responsible for implementing National </w:t>
      </w:r>
      <w:proofErr w:type="spellStart"/>
      <w:r w:rsidRPr="007C604E">
        <w:rPr>
          <w:rFonts w:ascii="Times New Roman" w:hAnsi="Times New Roman"/>
          <w:sz w:val="18"/>
          <w:szCs w:val="18"/>
        </w:rPr>
        <w:t>Programmes</w:t>
      </w:r>
      <w:proofErr w:type="spellEnd"/>
      <w:r w:rsidRPr="007C604E">
        <w:rPr>
          <w:rFonts w:ascii="Times New Roman" w:hAnsi="Times New Roman"/>
          <w:sz w:val="18"/>
          <w:szCs w:val="18"/>
        </w:rPr>
        <w:t xml:space="preserve"> with technical and financial backstopping from the three founding UN partner agencies (FAO, UNDP, </w:t>
      </w:r>
      <w:proofErr w:type="gramStart"/>
      <w:r w:rsidRPr="007C604E">
        <w:rPr>
          <w:rFonts w:ascii="Times New Roman" w:hAnsi="Times New Roman"/>
          <w:sz w:val="18"/>
          <w:szCs w:val="18"/>
        </w:rPr>
        <w:t>UNEP</w:t>
      </w:r>
      <w:proofErr w:type="gramEnd"/>
      <w:r w:rsidRPr="007C604E">
        <w:rPr>
          <w:rFonts w:ascii="Times New Roman" w:hAnsi="Times New Roman"/>
          <w:sz w:val="18"/>
          <w:szCs w:val="18"/>
        </w:rPr>
        <w:t>).</w:t>
      </w:r>
    </w:p>
    <w:p w:rsidR="0039321A" w:rsidRDefault="0039321A" w:rsidP="0039321A">
      <w:pPr>
        <w:pStyle w:val="FootnoteText"/>
        <w:ind w:left="-90"/>
      </w:pPr>
      <w:r w:rsidRPr="007C604E">
        <w:rPr>
          <w:rFonts w:ascii="Times New Roman" w:hAnsi="Times New Roman"/>
          <w:sz w:val="18"/>
        </w:rPr>
        <w:t xml:space="preserve">refer </w:t>
      </w:r>
      <w:r w:rsidRPr="00AE0EEC">
        <w:rPr>
          <w:rFonts w:ascii="Times New Roman" w:hAnsi="Times New Roman"/>
          <w:sz w:val="18"/>
        </w:rPr>
        <w:t xml:space="preserve">to </w:t>
      </w:r>
      <w:r w:rsidRPr="007C604E">
        <w:rPr>
          <w:rFonts w:ascii="Times New Roman" w:hAnsi="Times New Roman"/>
          <w:sz w:val="18"/>
        </w:rPr>
        <w:t xml:space="preserve">partner country governments and UN-REDD </w:t>
      </w:r>
      <w:proofErr w:type="spellStart"/>
      <w:r w:rsidRPr="007C604E">
        <w:rPr>
          <w:rFonts w:ascii="Times New Roman" w:hAnsi="Times New Roman"/>
          <w:sz w:val="18"/>
        </w:rPr>
        <w:t>Programme</w:t>
      </w:r>
      <w:proofErr w:type="spellEnd"/>
      <w:r w:rsidRPr="007C604E">
        <w:rPr>
          <w:rFonts w:ascii="Times New Roman" w:hAnsi="Times New Roman"/>
          <w:sz w:val="18"/>
        </w:rPr>
        <w:t xml:space="preserve"> staff supporting the implementation of the </w:t>
      </w:r>
      <w:proofErr w:type="spellStart"/>
      <w:r w:rsidRPr="007C604E">
        <w:rPr>
          <w:rFonts w:ascii="Times New Roman" w:hAnsi="Times New Roman"/>
          <w:sz w:val="18"/>
        </w:rPr>
        <w:t>programme</w:t>
      </w:r>
      <w:proofErr w:type="spellEnd"/>
      <w:r w:rsidRPr="007C604E">
        <w:rPr>
          <w:rFonts w:ascii="Times New Roman" w:hAnsi="Times New Roman"/>
          <w:sz w:val="18"/>
        </w:rPr>
        <w:t xml:space="preserve"> in the country.</w:t>
      </w:r>
    </w:p>
  </w:footnote>
  <w:footnote w:id="2">
    <w:p w:rsidR="0039321A" w:rsidRPr="00214A7C" w:rsidRDefault="0039321A" w:rsidP="0039321A">
      <w:pPr>
        <w:pStyle w:val="FootnoteText"/>
        <w:ind w:left="-90"/>
        <w:jc w:val="both"/>
        <w:rPr>
          <w:rFonts w:ascii="Times New Roman" w:hAnsi="Times New Roman"/>
          <w:sz w:val="18"/>
          <w:szCs w:val="18"/>
          <w:lang w:val="en-US"/>
        </w:rPr>
      </w:pPr>
      <w:r w:rsidRPr="00214A7C">
        <w:rPr>
          <w:rStyle w:val="FootnoteReference"/>
          <w:rFonts w:ascii="Times New Roman" w:hAnsi="Times New Roman"/>
          <w:sz w:val="18"/>
          <w:szCs w:val="18"/>
        </w:rPr>
        <w:footnoteRef/>
      </w:r>
      <w:r w:rsidRPr="00214A7C">
        <w:rPr>
          <w:rFonts w:ascii="Times New Roman" w:hAnsi="Times New Roman"/>
          <w:sz w:val="18"/>
          <w:szCs w:val="18"/>
        </w:rPr>
        <w:t xml:space="preserve"> </w:t>
      </w:r>
      <w:r w:rsidRPr="00214A7C">
        <w:rPr>
          <w:rFonts w:ascii="Times New Roman" w:eastAsia="Times New Roman" w:hAnsi="Times New Roman"/>
          <w:color w:val="000000"/>
          <w:sz w:val="18"/>
          <w:szCs w:val="18"/>
        </w:rPr>
        <w:t xml:space="preserve">Targeted support is demand-driven specific support under one or more of the UN-REDD </w:t>
      </w:r>
      <w:proofErr w:type="spellStart"/>
      <w:r w:rsidRPr="00214A7C">
        <w:rPr>
          <w:rFonts w:ascii="Times New Roman" w:eastAsia="Times New Roman" w:hAnsi="Times New Roman"/>
          <w:color w:val="000000"/>
          <w:sz w:val="18"/>
          <w:szCs w:val="18"/>
        </w:rPr>
        <w:t>Programme’s</w:t>
      </w:r>
      <w:proofErr w:type="spellEnd"/>
      <w:r w:rsidRPr="00214A7C">
        <w:rPr>
          <w:rFonts w:ascii="Times New Roman" w:eastAsia="Times New Roman" w:hAnsi="Times New Roman"/>
          <w:color w:val="000000"/>
          <w:sz w:val="18"/>
          <w:szCs w:val="18"/>
        </w:rPr>
        <w:t xml:space="preserve"> six work areas. All UN-REDD </w:t>
      </w:r>
      <w:proofErr w:type="spellStart"/>
      <w:r w:rsidRPr="00214A7C">
        <w:rPr>
          <w:rFonts w:ascii="Times New Roman" w:eastAsia="Times New Roman" w:hAnsi="Times New Roman"/>
          <w:color w:val="000000"/>
          <w:sz w:val="18"/>
          <w:szCs w:val="18"/>
        </w:rPr>
        <w:t>Programme</w:t>
      </w:r>
      <w:proofErr w:type="spellEnd"/>
      <w:r w:rsidRPr="00214A7C">
        <w:rPr>
          <w:rFonts w:ascii="Times New Roman" w:eastAsia="Times New Roman" w:hAnsi="Times New Roman"/>
          <w:color w:val="000000"/>
          <w:sz w:val="18"/>
          <w:szCs w:val="18"/>
        </w:rPr>
        <w:t xml:space="preserv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w:t>
      </w:r>
      <w:proofErr w:type="spellStart"/>
      <w:r w:rsidRPr="00214A7C">
        <w:rPr>
          <w:rFonts w:ascii="Times New Roman" w:eastAsia="Times New Roman" w:hAnsi="Times New Roman"/>
          <w:color w:val="000000"/>
          <w:sz w:val="18"/>
          <w:szCs w:val="18"/>
        </w:rPr>
        <w:t>Programme</w:t>
      </w:r>
      <w:proofErr w:type="spellEnd"/>
      <w:r w:rsidRPr="00214A7C">
        <w:rPr>
          <w:rFonts w:ascii="Times New Roman" w:eastAsia="Times New Roman" w:hAnsi="Times New Roman"/>
          <w:color w:val="000000"/>
          <w:sz w:val="18"/>
          <w:szCs w:val="18"/>
        </w:rPr>
        <w:t xml:space="preserve"> has comparative advantage to provide such support. It can be provided in the form of backstopping of National </w:t>
      </w:r>
      <w:proofErr w:type="spellStart"/>
      <w:r w:rsidRPr="00214A7C">
        <w:rPr>
          <w:rFonts w:ascii="Times New Roman" w:eastAsia="Times New Roman" w:hAnsi="Times New Roman"/>
          <w:color w:val="000000"/>
          <w:sz w:val="18"/>
          <w:szCs w:val="18"/>
        </w:rPr>
        <w:t>Programmes</w:t>
      </w:r>
      <w:proofErr w:type="spellEnd"/>
      <w:r w:rsidRPr="00214A7C">
        <w:rPr>
          <w:rFonts w:ascii="Times New Roman" w:eastAsia="Times New Roman" w:hAnsi="Times New Roman"/>
          <w:color w:val="000000"/>
          <w:sz w:val="18"/>
          <w:szCs w:val="18"/>
        </w:rPr>
        <w:t xml:space="preserve">, or other specific technical support under the Global </w:t>
      </w:r>
      <w:proofErr w:type="spellStart"/>
      <w:r w:rsidRPr="00214A7C">
        <w:rPr>
          <w:rFonts w:ascii="Times New Roman" w:eastAsia="Times New Roman" w:hAnsi="Times New Roman"/>
          <w:color w:val="000000"/>
          <w:sz w:val="18"/>
          <w:szCs w:val="18"/>
        </w:rPr>
        <w:t>Programme</w:t>
      </w:r>
      <w:proofErr w:type="spellEnd"/>
      <w:r w:rsidRPr="00214A7C">
        <w:rPr>
          <w:rFonts w:ascii="Times New Roman" w:eastAsia="Times New Roman" w:hAnsi="Times New Roman"/>
          <w:color w:val="000000"/>
          <w:sz w:val="18"/>
          <w:szCs w:val="18"/>
        </w:rPr>
        <w:t xml:space="preserve"> on a critical aspect of REDD+ readiness in a country, which is not available through National </w:t>
      </w:r>
      <w:proofErr w:type="spellStart"/>
      <w:r w:rsidRPr="00214A7C">
        <w:rPr>
          <w:rFonts w:ascii="Times New Roman" w:eastAsia="Times New Roman" w:hAnsi="Times New Roman"/>
          <w:color w:val="000000"/>
          <w:sz w:val="18"/>
          <w:szCs w:val="18"/>
        </w:rPr>
        <w:t>Programmes</w:t>
      </w:r>
      <w:proofErr w:type="spellEnd"/>
      <w:r w:rsidRPr="00214A7C">
        <w:rPr>
          <w:rFonts w:ascii="Times New Roman" w:eastAsia="Times New Roman" w:hAnsi="Times New Roman"/>
          <w:color w:val="000000"/>
          <w:sz w:val="18"/>
          <w:szCs w:val="18"/>
        </w:rPr>
        <w:t xml:space="preserve"> or through other initiatives.</w:t>
      </w:r>
    </w:p>
  </w:footnote>
  <w:footnote w:id="3">
    <w:p w:rsidR="0039321A" w:rsidRPr="00214A7C" w:rsidRDefault="0039321A" w:rsidP="0039321A">
      <w:pPr>
        <w:autoSpaceDE w:val="0"/>
        <w:autoSpaceDN w:val="0"/>
        <w:adjustRightInd w:val="0"/>
        <w:spacing w:after="0" w:line="240" w:lineRule="auto"/>
        <w:ind w:left="-90"/>
        <w:jc w:val="both"/>
        <w:rPr>
          <w:rFonts w:ascii="Times New Roman" w:hAnsi="Times New Roman"/>
          <w:sz w:val="18"/>
          <w:szCs w:val="18"/>
        </w:rPr>
      </w:pPr>
      <w:r w:rsidRPr="00214A7C">
        <w:rPr>
          <w:rStyle w:val="FootnoteReference"/>
          <w:rFonts w:ascii="Times New Roman" w:hAnsi="Times New Roman"/>
          <w:sz w:val="18"/>
          <w:szCs w:val="18"/>
        </w:rPr>
        <w:footnoteRef/>
      </w:r>
      <w:r w:rsidRPr="00214A7C">
        <w:rPr>
          <w:rFonts w:ascii="Times New Roman" w:hAnsi="Times New Roman"/>
          <w:sz w:val="18"/>
          <w:szCs w:val="18"/>
        </w:rPr>
        <w:t xml:space="preserve"> S</w:t>
      </w:r>
      <w:r w:rsidRPr="00214A7C">
        <w:rPr>
          <w:rFonts w:ascii="Times New Roman" w:hAnsi="Times New Roman"/>
          <w:color w:val="231F20"/>
          <w:sz w:val="18"/>
          <w:szCs w:val="18"/>
        </w:rPr>
        <w:t xml:space="preserve">ome human rights conventions have been interpreted to extend the right of FPIC to other communities including: the Convention on the Elimination of Racial Discrimination, the International Covenant on Civil and Political Rights, and the Convention on Biological Diversity. For more information, see </w:t>
      </w:r>
      <w:proofErr w:type="spellStart"/>
      <w:r w:rsidRPr="00214A7C">
        <w:rPr>
          <w:rFonts w:ascii="Times New Roman" w:hAnsi="Times New Roman"/>
          <w:sz w:val="18"/>
          <w:szCs w:val="18"/>
        </w:rPr>
        <w:t>Herz</w:t>
      </w:r>
      <w:proofErr w:type="spellEnd"/>
      <w:r w:rsidRPr="00214A7C">
        <w:rPr>
          <w:rFonts w:ascii="Times New Roman" w:hAnsi="Times New Roman"/>
          <w:sz w:val="18"/>
          <w:szCs w:val="18"/>
        </w:rPr>
        <w:t xml:space="preserve">, S, J. </w:t>
      </w:r>
      <w:proofErr w:type="spellStart"/>
      <w:r w:rsidRPr="00214A7C">
        <w:rPr>
          <w:rFonts w:ascii="Times New Roman" w:hAnsi="Times New Roman"/>
          <w:sz w:val="18"/>
          <w:szCs w:val="18"/>
        </w:rPr>
        <w:t>Sohn</w:t>
      </w:r>
      <w:proofErr w:type="spellEnd"/>
      <w:r w:rsidRPr="00214A7C">
        <w:rPr>
          <w:rFonts w:ascii="Times New Roman" w:hAnsi="Times New Roman"/>
          <w:sz w:val="18"/>
          <w:szCs w:val="18"/>
        </w:rPr>
        <w:t xml:space="preserve">, and A. La </w:t>
      </w:r>
      <w:proofErr w:type="spellStart"/>
      <w:r w:rsidRPr="00214A7C">
        <w:rPr>
          <w:rFonts w:ascii="Times New Roman" w:hAnsi="Times New Roman"/>
          <w:sz w:val="18"/>
          <w:szCs w:val="18"/>
        </w:rPr>
        <w:t>Vina</w:t>
      </w:r>
      <w:proofErr w:type="spellEnd"/>
      <w:r w:rsidRPr="00214A7C">
        <w:rPr>
          <w:rFonts w:ascii="Times New Roman" w:hAnsi="Times New Roman"/>
          <w:sz w:val="18"/>
          <w:szCs w:val="18"/>
        </w:rPr>
        <w:t xml:space="preserve">. 2007. </w:t>
      </w:r>
      <w:hyperlink r:id="rId1" w:history="1">
        <w:r w:rsidRPr="00214A7C">
          <w:rPr>
            <w:rStyle w:val="Hyperlink"/>
            <w:rFonts w:ascii="Times New Roman" w:hAnsi="Times New Roman"/>
            <w:sz w:val="18"/>
            <w:szCs w:val="18"/>
          </w:rPr>
          <w:t xml:space="preserve">Development </w:t>
        </w:r>
        <w:proofErr w:type="gramStart"/>
        <w:r w:rsidRPr="00214A7C">
          <w:rPr>
            <w:rStyle w:val="Hyperlink"/>
            <w:rFonts w:ascii="Times New Roman" w:hAnsi="Times New Roman"/>
            <w:sz w:val="18"/>
            <w:szCs w:val="18"/>
          </w:rPr>
          <w:t>Without</w:t>
        </w:r>
        <w:proofErr w:type="gramEnd"/>
        <w:r w:rsidRPr="00214A7C">
          <w:rPr>
            <w:rStyle w:val="Hyperlink"/>
            <w:rFonts w:ascii="Times New Roman" w:hAnsi="Times New Roman"/>
            <w:sz w:val="18"/>
            <w:szCs w:val="18"/>
          </w:rPr>
          <w:t xml:space="preserve"> Consent: The Business Case for Consent</w:t>
        </w:r>
      </w:hyperlink>
      <w:r w:rsidRPr="00214A7C">
        <w:rPr>
          <w:rFonts w:ascii="Times New Roman" w:hAnsi="Times New Roman"/>
          <w:sz w:val="18"/>
          <w:szCs w:val="18"/>
        </w:rPr>
        <w:t xml:space="preserve">. </w:t>
      </w:r>
      <w:proofErr w:type="gramStart"/>
      <w:r w:rsidRPr="00214A7C">
        <w:rPr>
          <w:rFonts w:ascii="Times New Roman" w:hAnsi="Times New Roman"/>
          <w:sz w:val="18"/>
          <w:szCs w:val="18"/>
        </w:rPr>
        <w:t>WRI, Washington DC.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950"/>
    <w:multiLevelType w:val="hybridMultilevel"/>
    <w:tmpl w:val="4D02BA64"/>
    <w:lvl w:ilvl="0" w:tplc="355C9138">
      <w:start w:val="1"/>
      <w:numFmt w:val="bullet"/>
      <w:lvlText w:val="•"/>
      <w:lvlJc w:val="left"/>
      <w:pPr>
        <w:tabs>
          <w:tab w:val="num" w:pos="720"/>
        </w:tabs>
        <w:ind w:left="720" w:hanging="360"/>
      </w:pPr>
      <w:rPr>
        <w:rFonts w:ascii="Arial" w:hAnsi="Arial" w:hint="default"/>
      </w:rPr>
    </w:lvl>
    <w:lvl w:ilvl="1" w:tplc="8D462506" w:tentative="1">
      <w:start w:val="1"/>
      <w:numFmt w:val="bullet"/>
      <w:lvlText w:val="•"/>
      <w:lvlJc w:val="left"/>
      <w:pPr>
        <w:tabs>
          <w:tab w:val="num" w:pos="1440"/>
        </w:tabs>
        <w:ind w:left="1440" w:hanging="360"/>
      </w:pPr>
      <w:rPr>
        <w:rFonts w:ascii="Arial" w:hAnsi="Arial" w:hint="default"/>
      </w:rPr>
    </w:lvl>
    <w:lvl w:ilvl="2" w:tplc="B53C5802" w:tentative="1">
      <w:start w:val="1"/>
      <w:numFmt w:val="bullet"/>
      <w:lvlText w:val="•"/>
      <w:lvlJc w:val="left"/>
      <w:pPr>
        <w:tabs>
          <w:tab w:val="num" w:pos="2160"/>
        </w:tabs>
        <w:ind w:left="2160" w:hanging="360"/>
      </w:pPr>
      <w:rPr>
        <w:rFonts w:ascii="Arial" w:hAnsi="Arial" w:hint="default"/>
      </w:rPr>
    </w:lvl>
    <w:lvl w:ilvl="3" w:tplc="A296C380" w:tentative="1">
      <w:start w:val="1"/>
      <w:numFmt w:val="bullet"/>
      <w:lvlText w:val="•"/>
      <w:lvlJc w:val="left"/>
      <w:pPr>
        <w:tabs>
          <w:tab w:val="num" w:pos="2880"/>
        </w:tabs>
        <w:ind w:left="2880" w:hanging="360"/>
      </w:pPr>
      <w:rPr>
        <w:rFonts w:ascii="Arial" w:hAnsi="Arial" w:hint="default"/>
      </w:rPr>
    </w:lvl>
    <w:lvl w:ilvl="4" w:tplc="A48286C4" w:tentative="1">
      <w:start w:val="1"/>
      <w:numFmt w:val="bullet"/>
      <w:lvlText w:val="•"/>
      <w:lvlJc w:val="left"/>
      <w:pPr>
        <w:tabs>
          <w:tab w:val="num" w:pos="3600"/>
        </w:tabs>
        <w:ind w:left="3600" w:hanging="360"/>
      </w:pPr>
      <w:rPr>
        <w:rFonts w:ascii="Arial" w:hAnsi="Arial" w:hint="default"/>
      </w:rPr>
    </w:lvl>
    <w:lvl w:ilvl="5" w:tplc="8490F4BA" w:tentative="1">
      <w:start w:val="1"/>
      <w:numFmt w:val="bullet"/>
      <w:lvlText w:val="•"/>
      <w:lvlJc w:val="left"/>
      <w:pPr>
        <w:tabs>
          <w:tab w:val="num" w:pos="4320"/>
        </w:tabs>
        <w:ind w:left="4320" w:hanging="360"/>
      </w:pPr>
      <w:rPr>
        <w:rFonts w:ascii="Arial" w:hAnsi="Arial" w:hint="default"/>
      </w:rPr>
    </w:lvl>
    <w:lvl w:ilvl="6" w:tplc="1BA60EC8" w:tentative="1">
      <w:start w:val="1"/>
      <w:numFmt w:val="bullet"/>
      <w:lvlText w:val="•"/>
      <w:lvlJc w:val="left"/>
      <w:pPr>
        <w:tabs>
          <w:tab w:val="num" w:pos="5040"/>
        </w:tabs>
        <w:ind w:left="5040" w:hanging="360"/>
      </w:pPr>
      <w:rPr>
        <w:rFonts w:ascii="Arial" w:hAnsi="Arial" w:hint="default"/>
      </w:rPr>
    </w:lvl>
    <w:lvl w:ilvl="7" w:tplc="85F22CD8" w:tentative="1">
      <w:start w:val="1"/>
      <w:numFmt w:val="bullet"/>
      <w:lvlText w:val="•"/>
      <w:lvlJc w:val="left"/>
      <w:pPr>
        <w:tabs>
          <w:tab w:val="num" w:pos="5760"/>
        </w:tabs>
        <w:ind w:left="5760" w:hanging="360"/>
      </w:pPr>
      <w:rPr>
        <w:rFonts w:ascii="Arial" w:hAnsi="Arial" w:hint="default"/>
      </w:rPr>
    </w:lvl>
    <w:lvl w:ilvl="8" w:tplc="AA0E5466" w:tentative="1">
      <w:start w:val="1"/>
      <w:numFmt w:val="bullet"/>
      <w:lvlText w:val="•"/>
      <w:lvlJc w:val="left"/>
      <w:pPr>
        <w:tabs>
          <w:tab w:val="num" w:pos="6480"/>
        </w:tabs>
        <w:ind w:left="6480" w:hanging="360"/>
      </w:pPr>
      <w:rPr>
        <w:rFonts w:ascii="Arial" w:hAnsi="Arial" w:hint="default"/>
      </w:rPr>
    </w:lvl>
  </w:abstractNum>
  <w:abstractNum w:abstractNumId="1">
    <w:nsid w:val="040E3AED"/>
    <w:multiLevelType w:val="hybridMultilevel"/>
    <w:tmpl w:val="A2285C68"/>
    <w:lvl w:ilvl="0" w:tplc="64300504">
      <w:start w:val="1"/>
      <w:numFmt w:val="bullet"/>
      <w:lvlText w:val="•"/>
      <w:lvlJc w:val="left"/>
      <w:pPr>
        <w:tabs>
          <w:tab w:val="num" w:pos="720"/>
        </w:tabs>
        <w:ind w:left="720" w:hanging="360"/>
      </w:pPr>
      <w:rPr>
        <w:rFonts w:ascii="Arial" w:hAnsi="Arial" w:hint="default"/>
      </w:rPr>
    </w:lvl>
    <w:lvl w:ilvl="1" w:tplc="CDDAA5B2" w:tentative="1">
      <w:start w:val="1"/>
      <w:numFmt w:val="bullet"/>
      <w:lvlText w:val="•"/>
      <w:lvlJc w:val="left"/>
      <w:pPr>
        <w:tabs>
          <w:tab w:val="num" w:pos="1440"/>
        </w:tabs>
        <w:ind w:left="1440" w:hanging="360"/>
      </w:pPr>
      <w:rPr>
        <w:rFonts w:ascii="Arial" w:hAnsi="Arial" w:hint="default"/>
      </w:rPr>
    </w:lvl>
    <w:lvl w:ilvl="2" w:tplc="27D68E20" w:tentative="1">
      <w:start w:val="1"/>
      <w:numFmt w:val="bullet"/>
      <w:lvlText w:val="•"/>
      <w:lvlJc w:val="left"/>
      <w:pPr>
        <w:tabs>
          <w:tab w:val="num" w:pos="2160"/>
        </w:tabs>
        <w:ind w:left="2160" w:hanging="360"/>
      </w:pPr>
      <w:rPr>
        <w:rFonts w:ascii="Arial" w:hAnsi="Arial" w:hint="default"/>
      </w:rPr>
    </w:lvl>
    <w:lvl w:ilvl="3" w:tplc="0614AC9C" w:tentative="1">
      <w:start w:val="1"/>
      <w:numFmt w:val="bullet"/>
      <w:lvlText w:val="•"/>
      <w:lvlJc w:val="left"/>
      <w:pPr>
        <w:tabs>
          <w:tab w:val="num" w:pos="2880"/>
        </w:tabs>
        <w:ind w:left="2880" w:hanging="360"/>
      </w:pPr>
      <w:rPr>
        <w:rFonts w:ascii="Arial" w:hAnsi="Arial" w:hint="default"/>
      </w:rPr>
    </w:lvl>
    <w:lvl w:ilvl="4" w:tplc="584E0BE6" w:tentative="1">
      <w:start w:val="1"/>
      <w:numFmt w:val="bullet"/>
      <w:lvlText w:val="•"/>
      <w:lvlJc w:val="left"/>
      <w:pPr>
        <w:tabs>
          <w:tab w:val="num" w:pos="3600"/>
        </w:tabs>
        <w:ind w:left="3600" w:hanging="360"/>
      </w:pPr>
      <w:rPr>
        <w:rFonts w:ascii="Arial" w:hAnsi="Arial" w:hint="default"/>
      </w:rPr>
    </w:lvl>
    <w:lvl w:ilvl="5" w:tplc="E21A7FDE" w:tentative="1">
      <w:start w:val="1"/>
      <w:numFmt w:val="bullet"/>
      <w:lvlText w:val="•"/>
      <w:lvlJc w:val="left"/>
      <w:pPr>
        <w:tabs>
          <w:tab w:val="num" w:pos="4320"/>
        </w:tabs>
        <w:ind w:left="4320" w:hanging="360"/>
      </w:pPr>
      <w:rPr>
        <w:rFonts w:ascii="Arial" w:hAnsi="Arial" w:hint="default"/>
      </w:rPr>
    </w:lvl>
    <w:lvl w:ilvl="6" w:tplc="D026C198" w:tentative="1">
      <w:start w:val="1"/>
      <w:numFmt w:val="bullet"/>
      <w:lvlText w:val="•"/>
      <w:lvlJc w:val="left"/>
      <w:pPr>
        <w:tabs>
          <w:tab w:val="num" w:pos="5040"/>
        </w:tabs>
        <w:ind w:left="5040" w:hanging="360"/>
      </w:pPr>
      <w:rPr>
        <w:rFonts w:ascii="Arial" w:hAnsi="Arial" w:hint="default"/>
      </w:rPr>
    </w:lvl>
    <w:lvl w:ilvl="7" w:tplc="91F27094" w:tentative="1">
      <w:start w:val="1"/>
      <w:numFmt w:val="bullet"/>
      <w:lvlText w:val="•"/>
      <w:lvlJc w:val="left"/>
      <w:pPr>
        <w:tabs>
          <w:tab w:val="num" w:pos="5760"/>
        </w:tabs>
        <w:ind w:left="5760" w:hanging="360"/>
      </w:pPr>
      <w:rPr>
        <w:rFonts w:ascii="Arial" w:hAnsi="Arial" w:hint="default"/>
      </w:rPr>
    </w:lvl>
    <w:lvl w:ilvl="8" w:tplc="751E758A" w:tentative="1">
      <w:start w:val="1"/>
      <w:numFmt w:val="bullet"/>
      <w:lvlText w:val="•"/>
      <w:lvlJc w:val="left"/>
      <w:pPr>
        <w:tabs>
          <w:tab w:val="num" w:pos="6480"/>
        </w:tabs>
        <w:ind w:left="6480" w:hanging="360"/>
      </w:pPr>
      <w:rPr>
        <w:rFonts w:ascii="Arial" w:hAnsi="Arial" w:hint="default"/>
      </w:rPr>
    </w:lvl>
  </w:abstractNum>
  <w:abstractNum w:abstractNumId="2">
    <w:nsid w:val="08FA0B2D"/>
    <w:multiLevelType w:val="hybridMultilevel"/>
    <w:tmpl w:val="BB1E1E78"/>
    <w:lvl w:ilvl="0" w:tplc="30186422">
      <w:start w:val="1"/>
      <w:numFmt w:val="bullet"/>
      <w:lvlText w:val="•"/>
      <w:lvlJc w:val="left"/>
      <w:pPr>
        <w:tabs>
          <w:tab w:val="num" w:pos="720"/>
        </w:tabs>
        <w:ind w:left="720" w:hanging="360"/>
      </w:pPr>
      <w:rPr>
        <w:rFonts w:ascii="Arial" w:hAnsi="Arial" w:hint="default"/>
      </w:rPr>
    </w:lvl>
    <w:lvl w:ilvl="1" w:tplc="DB3AB7EA" w:tentative="1">
      <w:start w:val="1"/>
      <w:numFmt w:val="bullet"/>
      <w:lvlText w:val="•"/>
      <w:lvlJc w:val="left"/>
      <w:pPr>
        <w:tabs>
          <w:tab w:val="num" w:pos="1440"/>
        </w:tabs>
        <w:ind w:left="1440" w:hanging="360"/>
      </w:pPr>
      <w:rPr>
        <w:rFonts w:ascii="Arial" w:hAnsi="Arial" w:hint="default"/>
      </w:rPr>
    </w:lvl>
    <w:lvl w:ilvl="2" w:tplc="27D45BCA" w:tentative="1">
      <w:start w:val="1"/>
      <w:numFmt w:val="bullet"/>
      <w:lvlText w:val="•"/>
      <w:lvlJc w:val="left"/>
      <w:pPr>
        <w:tabs>
          <w:tab w:val="num" w:pos="2160"/>
        </w:tabs>
        <w:ind w:left="2160" w:hanging="360"/>
      </w:pPr>
      <w:rPr>
        <w:rFonts w:ascii="Arial" w:hAnsi="Arial" w:hint="default"/>
      </w:rPr>
    </w:lvl>
    <w:lvl w:ilvl="3" w:tplc="ACBAFB82" w:tentative="1">
      <w:start w:val="1"/>
      <w:numFmt w:val="bullet"/>
      <w:lvlText w:val="•"/>
      <w:lvlJc w:val="left"/>
      <w:pPr>
        <w:tabs>
          <w:tab w:val="num" w:pos="2880"/>
        </w:tabs>
        <w:ind w:left="2880" w:hanging="360"/>
      </w:pPr>
      <w:rPr>
        <w:rFonts w:ascii="Arial" w:hAnsi="Arial" w:hint="default"/>
      </w:rPr>
    </w:lvl>
    <w:lvl w:ilvl="4" w:tplc="4F249604" w:tentative="1">
      <w:start w:val="1"/>
      <w:numFmt w:val="bullet"/>
      <w:lvlText w:val="•"/>
      <w:lvlJc w:val="left"/>
      <w:pPr>
        <w:tabs>
          <w:tab w:val="num" w:pos="3600"/>
        </w:tabs>
        <w:ind w:left="3600" w:hanging="360"/>
      </w:pPr>
      <w:rPr>
        <w:rFonts w:ascii="Arial" w:hAnsi="Arial" w:hint="default"/>
      </w:rPr>
    </w:lvl>
    <w:lvl w:ilvl="5" w:tplc="BF0E0168" w:tentative="1">
      <w:start w:val="1"/>
      <w:numFmt w:val="bullet"/>
      <w:lvlText w:val="•"/>
      <w:lvlJc w:val="left"/>
      <w:pPr>
        <w:tabs>
          <w:tab w:val="num" w:pos="4320"/>
        </w:tabs>
        <w:ind w:left="4320" w:hanging="360"/>
      </w:pPr>
      <w:rPr>
        <w:rFonts w:ascii="Arial" w:hAnsi="Arial" w:hint="default"/>
      </w:rPr>
    </w:lvl>
    <w:lvl w:ilvl="6" w:tplc="5E429222" w:tentative="1">
      <w:start w:val="1"/>
      <w:numFmt w:val="bullet"/>
      <w:lvlText w:val="•"/>
      <w:lvlJc w:val="left"/>
      <w:pPr>
        <w:tabs>
          <w:tab w:val="num" w:pos="5040"/>
        </w:tabs>
        <w:ind w:left="5040" w:hanging="360"/>
      </w:pPr>
      <w:rPr>
        <w:rFonts w:ascii="Arial" w:hAnsi="Arial" w:hint="default"/>
      </w:rPr>
    </w:lvl>
    <w:lvl w:ilvl="7" w:tplc="89B214CC" w:tentative="1">
      <w:start w:val="1"/>
      <w:numFmt w:val="bullet"/>
      <w:lvlText w:val="•"/>
      <w:lvlJc w:val="left"/>
      <w:pPr>
        <w:tabs>
          <w:tab w:val="num" w:pos="5760"/>
        </w:tabs>
        <w:ind w:left="5760" w:hanging="360"/>
      </w:pPr>
      <w:rPr>
        <w:rFonts w:ascii="Arial" w:hAnsi="Arial" w:hint="default"/>
      </w:rPr>
    </w:lvl>
    <w:lvl w:ilvl="8" w:tplc="17A45D74" w:tentative="1">
      <w:start w:val="1"/>
      <w:numFmt w:val="bullet"/>
      <w:lvlText w:val="•"/>
      <w:lvlJc w:val="left"/>
      <w:pPr>
        <w:tabs>
          <w:tab w:val="num" w:pos="6480"/>
        </w:tabs>
        <w:ind w:left="6480" w:hanging="360"/>
      </w:pPr>
      <w:rPr>
        <w:rFonts w:ascii="Arial" w:hAnsi="Arial" w:hint="default"/>
      </w:rPr>
    </w:lvl>
  </w:abstractNum>
  <w:abstractNum w:abstractNumId="3">
    <w:nsid w:val="18C91389"/>
    <w:multiLevelType w:val="hybridMultilevel"/>
    <w:tmpl w:val="3EB8821A"/>
    <w:lvl w:ilvl="0" w:tplc="A7ECA3E6">
      <w:start w:val="1"/>
      <w:numFmt w:val="bullet"/>
      <w:lvlText w:val="•"/>
      <w:lvlJc w:val="left"/>
      <w:pPr>
        <w:tabs>
          <w:tab w:val="num" w:pos="720"/>
        </w:tabs>
        <w:ind w:left="720" w:hanging="360"/>
      </w:pPr>
      <w:rPr>
        <w:rFonts w:ascii="Arial" w:hAnsi="Arial" w:hint="default"/>
      </w:rPr>
    </w:lvl>
    <w:lvl w:ilvl="1" w:tplc="2D22D7EE" w:tentative="1">
      <w:start w:val="1"/>
      <w:numFmt w:val="bullet"/>
      <w:lvlText w:val="•"/>
      <w:lvlJc w:val="left"/>
      <w:pPr>
        <w:tabs>
          <w:tab w:val="num" w:pos="1440"/>
        </w:tabs>
        <w:ind w:left="1440" w:hanging="360"/>
      </w:pPr>
      <w:rPr>
        <w:rFonts w:ascii="Arial" w:hAnsi="Arial" w:hint="default"/>
      </w:rPr>
    </w:lvl>
    <w:lvl w:ilvl="2" w:tplc="7F08C3F6" w:tentative="1">
      <w:start w:val="1"/>
      <w:numFmt w:val="bullet"/>
      <w:lvlText w:val="•"/>
      <w:lvlJc w:val="left"/>
      <w:pPr>
        <w:tabs>
          <w:tab w:val="num" w:pos="2160"/>
        </w:tabs>
        <w:ind w:left="2160" w:hanging="360"/>
      </w:pPr>
      <w:rPr>
        <w:rFonts w:ascii="Arial" w:hAnsi="Arial" w:hint="default"/>
      </w:rPr>
    </w:lvl>
    <w:lvl w:ilvl="3" w:tplc="4E98B5AA" w:tentative="1">
      <w:start w:val="1"/>
      <w:numFmt w:val="bullet"/>
      <w:lvlText w:val="•"/>
      <w:lvlJc w:val="left"/>
      <w:pPr>
        <w:tabs>
          <w:tab w:val="num" w:pos="2880"/>
        </w:tabs>
        <w:ind w:left="2880" w:hanging="360"/>
      </w:pPr>
      <w:rPr>
        <w:rFonts w:ascii="Arial" w:hAnsi="Arial" w:hint="default"/>
      </w:rPr>
    </w:lvl>
    <w:lvl w:ilvl="4" w:tplc="CA9413C6" w:tentative="1">
      <w:start w:val="1"/>
      <w:numFmt w:val="bullet"/>
      <w:lvlText w:val="•"/>
      <w:lvlJc w:val="left"/>
      <w:pPr>
        <w:tabs>
          <w:tab w:val="num" w:pos="3600"/>
        </w:tabs>
        <w:ind w:left="3600" w:hanging="360"/>
      </w:pPr>
      <w:rPr>
        <w:rFonts w:ascii="Arial" w:hAnsi="Arial" w:hint="default"/>
      </w:rPr>
    </w:lvl>
    <w:lvl w:ilvl="5" w:tplc="E81AC664" w:tentative="1">
      <w:start w:val="1"/>
      <w:numFmt w:val="bullet"/>
      <w:lvlText w:val="•"/>
      <w:lvlJc w:val="left"/>
      <w:pPr>
        <w:tabs>
          <w:tab w:val="num" w:pos="4320"/>
        </w:tabs>
        <w:ind w:left="4320" w:hanging="360"/>
      </w:pPr>
      <w:rPr>
        <w:rFonts w:ascii="Arial" w:hAnsi="Arial" w:hint="default"/>
      </w:rPr>
    </w:lvl>
    <w:lvl w:ilvl="6" w:tplc="A53691D4" w:tentative="1">
      <w:start w:val="1"/>
      <w:numFmt w:val="bullet"/>
      <w:lvlText w:val="•"/>
      <w:lvlJc w:val="left"/>
      <w:pPr>
        <w:tabs>
          <w:tab w:val="num" w:pos="5040"/>
        </w:tabs>
        <w:ind w:left="5040" w:hanging="360"/>
      </w:pPr>
      <w:rPr>
        <w:rFonts w:ascii="Arial" w:hAnsi="Arial" w:hint="default"/>
      </w:rPr>
    </w:lvl>
    <w:lvl w:ilvl="7" w:tplc="F30CC91C" w:tentative="1">
      <w:start w:val="1"/>
      <w:numFmt w:val="bullet"/>
      <w:lvlText w:val="•"/>
      <w:lvlJc w:val="left"/>
      <w:pPr>
        <w:tabs>
          <w:tab w:val="num" w:pos="5760"/>
        </w:tabs>
        <w:ind w:left="5760" w:hanging="360"/>
      </w:pPr>
      <w:rPr>
        <w:rFonts w:ascii="Arial" w:hAnsi="Arial" w:hint="default"/>
      </w:rPr>
    </w:lvl>
    <w:lvl w:ilvl="8" w:tplc="F13C1F72" w:tentative="1">
      <w:start w:val="1"/>
      <w:numFmt w:val="bullet"/>
      <w:lvlText w:val="•"/>
      <w:lvlJc w:val="left"/>
      <w:pPr>
        <w:tabs>
          <w:tab w:val="num" w:pos="6480"/>
        </w:tabs>
        <w:ind w:left="6480" w:hanging="360"/>
      </w:pPr>
      <w:rPr>
        <w:rFonts w:ascii="Arial" w:hAnsi="Arial" w:hint="default"/>
      </w:rPr>
    </w:lvl>
  </w:abstractNum>
  <w:abstractNum w:abstractNumId="4">
    <w:nsid w:val="3C28091D"/>
    <w:multiLevelType w:val="hybridMultilevel"/>
    <w:tmpl w:val="8326D96C"/>
    <w:lvl w:ilvl="0" w:tplc="C54A4F8A">
      <w:start w:val="1"/>
      <w:numFmt w:val="bullet"/>
      <w:lvlText w:val="•"/>
      <w:lvlJc w:val="left"/>
      <w:pPr>
        <w:tabs>
          <w:tab w:val="num" w:pos="720"/>
        </w:tabs>
        <w:ind w:left="720" w:hanging="360"/>
      </w:pPr>
      <w:rPr>
        <w:rFonts w:ascii="Arial" w:hAnsi="Arial" w:hint="default"/>
      </w:rPr>
    </w:lvl>
    <w:lvl w:ilvl="1" w:tplc="E466C8EA" w:tentative="1">
      <w:start w:val="1"/>
      <w:numFmt w:val="bullet"/>
      <w:lvlText w:val="•"/>
      <w:lvlJc w:val="left"/>
      <w:pPr>
        <w:tabs>
          <w:tab w:val="num" w:pos="1440"/>
        </w:tabs>
        <w:ind w:left="1440" w:hanging="360"/>
      </w:pPr>
      <w:rPr>
        <w:rFonts w:ascii="Arial" w:hAnsi="Arial" w:hint="default"/>
      </w:rPr>
    </w:lvl>
    <w:lvl w:ilvl="2" w:tplc="36B0735E" w:tentative="1">
      <w:start w:val="1"/>
      <w:numFmt w:val="bullet"/>
      <w:lvlText w:val="•"/>
      <w:lvlJc w:val="left"/>
      <w:pPr>
        <w:tabs>
          <w:tab w:val="num" w:pos="2160"/>
        </w:tabs>
        <w:ind w:left="2160" w:hanging="360"/>
      </w:pPr>
      <w:rPr>
        <w:rFonts w:ascii="Arial" w:hAnsi="Arial" w:hint="default"/>
      </w:rPr>
    </w:lvl>
    <w:lvl w:ilvl="3" w:tplc="55ECC6EA" w:tentative="1">
      <w:start w:val="1"/>
      <w:numFmt w:val="bullet"/>
      <w:lvlText w:val="•"/>
      <w:lvlJc w:val="left"/>
      <w:pPr>
        <w:tabs>
          <w:tab w:val="num" w:pos="2880"/>
        </w:tabs>
        <w:ind w:left="2880" w:hanging="360"/>
      </w:pPr>
      <w:rPr>
        <w:rFonts w:ascii="Arial" w:hAnsi="Arial" w:hint="default"/>
      </w:rPr>
    </w:lvl>
    <w:lvl w:ilvl="4" w:tplc="8B3618FC" w:tentative="1">
      <w:start w:val="1"/>
      <w:numFmt w:val="bullet"/>
      <w:lvlText w:val="•"/>
      <w:lvlJc w:val="left"/>
      <w:pPr>
        <w:tabs>
          <w:tab w:val="num" w:pos="3600"/>
        </w:tabs>
        <w:ind w:left="3600" w:hanging="360"/>
      </w:pPr>
      <w:rPr>
        <w:rFonts w:ascii="Arial" w:hAnsi="Arial" w:hint="default"/>
      </w:rPr>
    </w:lvl>
    <w:lvl w:ilvl="5" w:tplc="D4623980" w:tentative="1">
      <w:start w:val="1"/>
      <w:numFmt w:val="bullet"/>
      <w:lvlText w:val="•"/>
      <w:lvlJc w:val="left"/>
      <w:pPr>
        <w:tabs>
          <w:tab w:val="num" w:pos="4320"/>
        </w:tabs>
        <w:ind w:left="4320" w:hanging="360"/>
      </w:pPr>
      <w:rPr>
        <w:rFonts w:ascii="Arial" w:hAnsi="Arial" w:hint="default"/>
      </w:rPr>
    </w:lvl>
    <w:lvl w:ilvl="6" w:tplc="433A6366" w:tentative="1">
      <w:start w:val="1"/>
      <w:numFmt w:val="bullet"/>
      <w:lvlText w:val="•"/>
      <w:lvlJc w:val="left"/>
      <w:pPr>
        <w:tabs>
          <w:tab w:val="num" w:pos="5040"/>
        </w:tabs>
        <w:ind w:left="5040" w:hanging="360"/>
      </w:pPr>
      <w:rPr>
        <w:rFonts w:ascii="Arial" w:hAnsi="Arial" w:hint="default"/>
      </w:rPr>
    </w:lvl>
    <w:lvl w:ilvl="7" w:tplc="BCE8BBA4" w:tentative="1">
      <w:start w:val="1"/>
      <w:numFmt w:val="bullet"/>
      <w:lvlText w:val="•"/>
      <w:lvlJc w:val="left"/>
      <w:pPr>
        <w:tabs>
          <w:tab w:val="num" w:pos="5760"/>
        </w:tabs>
        <w:ind w:left="5760" w:hanging="360"/>
      </w:pPr>
      <w:rPr>
        <w:rFonts w:ascii="Arial" w:hAnsi="Arial" w:hint="default"/>
      </w:rPr>
    </w:lvl>
    <w:lvl w:ilvl="8" w:tplc="21201F4C" w:tentative="1">
      <w:start w:val="1"/>
      <w:numFmt w:val="bullet"/>
      <w:lvlText w:val="•"/>
      <w:lvlJc w:val="left"/>
      <w:pPr>
        <w:tabs>
          <w:tab w:val="num" w:pos="6480"/>
        </w:tabs>
        <w:ind w:left="6480" w:hanging="360"/>
      </w:pPr>
      <w:rPr>
        <w:rFonts w:ascii="Arial" w:hAnsi="Arial" w:hint="default"/>
      </w:rPr>
    </w:lvl>
  </w:abstractNum>
  <w:abstractNum w:abstractNumId="5">
    <w:nsid w:val="3CB650ED"/>
    <w:multiLevelType w:val="hybridMultilevel"/>
    <w:tmpl w:val="9ABED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D2243C"/>
    <w:multiLevelType w:val="hybridMultilevel"/>
    <w:tmpl w:val="88DE3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313E7A"/>
    <w:multiLevelType w:val="hybridMultilevel"/>
    <w:tmpl w:val="296E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0858F3"/>
    <w:multiLevelType w:val="hybridMultilevel"/>
    <w:tmpl w:val="6BFE9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90FB9"/>
    <w:multiLevelType w:val="hybridMultilevel"/>
    <w:tmpl w:val="A332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A5561A"/>
    <w:multiLevelType w:val="hybridMultilevel"/>
    <w:tmpl w:val="F1620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9"/>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F9"/>
    <w:rsid w:val="000924B0"/>
    <w:rsid w:val="001C0BB2"/>
    <w:rsid w:val="0031190D"/>
    <w:rsid w:val="00372FC7"/>
    <w:rsid w:val="0039321A"/>
    <w:rsid w:val="003C3BBB"/>
    <w:rsid w:val="00531EF5"/>
    <w:rsid w:val="007677F9"/>
    <w:rsid w:val="008869B1"/>
    <w:rsid w:val="00C23959"/>
    <w:rsid w:val="00D2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39321A"/>
    <w:pPr>
      <w:keepNext/>
      <w:keepLines/>
      <w:spacing w:before="200" w:after="0"/>
      <w:outlineLvl w:val="1"/>
    </w:pPr>
    <w:rPr>
      <w:rFonts w:ascii="Calibri" w:eastAsia="Times New Roman" w:hAnsi="Calibri" w:cs="Times New Roman"/>
      <w:b/>
      <w:bCs/>
      <w:i/>
      <w:color w:val="4F81BD"/>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7F9"/>
    <w:pPr>
      <w:spacing w:after="0" w:line="240" w:lineRule="auto"/>
    </w:pPr>
  </w:style>
  <w:style w:type="table" w:styleId="TableGrid">
    <w:name w:val="Table Grid"/>
    <w:basedOn w:val="TableNormal"/>
    <w:uiPriority w:val="59"/>
    <w:rsid w:val="00767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190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39321A"/>
    <w:rPr>
      <w:rFonts w:ascii="Calibri" w:eastAsia="Times New Roman" w:hAnsi="Calibri" w:cs="Times New Roman"/>
      <w:b/>
      <w:bCs/>
      <w:i/>
      <w:color w:val="4F81BD"/>
      <w:sz w:val="24"/>
      <w:szCs w:val="26"/>
      <w:lang w:val="x-none" w:eastAsia="x-none"/>
    </w:rPr>
  </w:style>
  <w:style w:type="character" w:styleId="Hyperlink">
    <w:name w:val="Hyperlink"/>
    <w:rsid w:val="0039321A"/>
    <w:rPr>
      <w:rFonts w:cs="Times New Roman"/>
      <w:color w:val="0000FF"/>
      <w:u w:val="single"/>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
    <w:basedOn w:val="Normal"/>
    <w:link w:val="FootnoteTextChar"/>
    <w:uiPriority w:val="99"/>
    <w:rsid w:val="0039321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
    <w:basedOn w:val="DefaultParagraphFont"/>
    <w:link w:val="FootnoteText"/>
    <w:uiPriority w:val="99"/>
    <w:rsid w:val="0039321A"/>
    <w:rPr>
      <w:rFonts w:ascii="Calibri" w:eastAsia="Calibri" w:hAnsi="Calibri" w:cs="Times New Roman"/>
      <w:sz w:val="20"/>
      <w:szCs w:val="20"/>
      <w:lang w:val="x-none" w:eastAsia="x-none"/>
    </w:rPr>
  </w:style>
  <w:style w:type="character" w:styleId="FootnoteReference">
    <w:name w:val="footnote reference"/>
    <w:uiPriority w:val="99"/>
    <w:rsid w:val="0039321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39321A"/>
    <w:pPr>
      <w:keepNext/>
      <w:keepLines/>
      <w:spacing w:before="200" w:after="0"/>
      <w:outlineLvl w:val="1"/>
    </w:pPr>
    <w:rPr>
      <w:rFonts w:ascii="Calibri" w:eastAsia="Times New Roman" w:hAnsi="Calibri" w:cs="Times New Roman"/>
      <w:b/>
      <w:bCs/>
      <w:i/>
      <w:color w:val="4F81BD"/>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7F9"/>
    <w:pPr>
      <w:spacing w:after="0" w:line="240" w:lineRule="auto"/>
    </w:pPr>
  </w:style>
  <w:style w:type="table" w:styleId="TableGrid">
    <w:name w:val="Table Grid"/>
    <w:basedOn w:val="TableNormal"/>
    <w:uiPriority w:val="59"/>
    <w:rsid w:val="00767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190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39321A"/>
    <w:rPr>
      <w:rFonts w:ascii="Calibri" w:eastAsia="Times New Roman" w:hAnsi="Calibri" w:cs="Times New Roman"/>
      <w:b/>
      <w:bCs/>
      <w:i/>
      <w:color w:val="4F81BD"/>
      <w:sz w:val="24"/>
      <w:szCs w:val="26"/>
      <w:lang w:val="x-none" w:eastAsia="x-none"/>
    </w:rPr>
  </w:style>
  <w:style w:type="character" w:styleId="Hyperlink">
    <w:name w:val="Hyperlink"/>
    <w:rsid w:val="0039321A"/>
    <w:rPr>
      <w:rFonts w:cs="Times New Roman"/>
      <w:color w:val="0000FF"/>
      <w:u w:val="single"/>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
    <w:basedOn w:val="Normal"/>
    <w:link w:val="FootnoteTextChar"/>
    <w:uiPriority w:val="99"/>
    <w:rsid w:val="0039321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
    <w:basedOn w:val="DefaultParagraphFont"/>
    <w:link w:val="FootnoteText"/>
    <w:uiPriority w:val="99"/>
    <w:rsid w:val="0039321A"/>
    <w:rPr>
      <w:rFonts w:ascii="Calibri" w:eastAsia="Calibri" w:hAnsi="Calibri" w:cs="Times New Roman"/>
      <w:sz w:val="20"/>
      <w:szCs w:val="20"/>
      <w:lang w:val="x-none" w:eastAsia="x-none"/>
    </w:rPr>
  </w:style>
  <w:style w:type="character" w:styleId="FootnoteReference">
    <w:name w:val="footnote reference"/>
    <w:uiPriority w:val="99"/>
    <w:rsid w:val="003932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5202">
      <w:bodyDiv w:val="1"/>
      <w:marLeft w:val="0"/>
      <w:marRight w:val="0"/>
      <w:marTop w:val="0"/>
      <w:marBottom w:val="0"/>
      <w:divBdr>
        <w:top w:val="none" w:sz="0" w:space="0" w:color="auto"/>
        <w:left w:val="none" w:sz="0" w:space="0" w:color="auto"/>
        <w:bottom w:val="none" w:sz="0" w:space="0" w:color="auto"/>
        <w:right w:val="none" w:sz="0" w:space="0" w:color="auto"/>
      </w:divBdr>
    </w:div>
    <w:div w:id="1006372250">
      <w:bodyDiv w:val="1"/>
      <w:marLeft w:val="0"/>
      <w:marRight w:val="0"/>
      <w:marTop w:val="0"/>
      <w:marBottom w:val="0"/>
      <w:divBdr>
        <w:top w:val="none" w:sz="0" w:space="0" w:color="auto"/>
        <w:left w:val="none" w:sz="0" w:space="0" w:color="auto"/>
        <w:bottom w:val="none" w:sz="0" w:space="0" w:color="auto"/>
        <w:right w:val="none" w:sz="0" w:space="0" w:color="auto"/>
      </w:divBdr>
      <w:divsChild>
        <w:div w:id="454641587">
          <w:marLeft w:val="446"/>
          <w:marRight w:val="0"/>
          <w:marTop w:val="0"/>
          <w:marBottom w:val="0"/>
          <w:divBdr>
            <w:top w:val="none" w:sz="0" w:space="0" w:color="auto"/>
            <w:left w:val="none" w:sz="0" w:space="0" w:color="auto"/>
            <w:bottom w:val="none" w:sz="0" w:space="0" w:color="auto"/>
            <w:right w:val="none" w:sz="0" w:space="0" w:color="auto"/>
          </w:divBdr>
        </w:div>
        <w:div w:id="963077491">
          <w:marLeft w:val="446"/>
          <w:marRight w:val="0"/>
          <w:marTop w:val="0"/>
          <w:marBottom w:val="0"/>
          <w:divBdr>
            <w:top w:val="none" w:sz="0" w:space="0" w:color="auto"/>
            <w:left w:val="none" w:sz="0" w:space="0" w:color="auto"/>
            <w:bottom w:val="none" w:sz="0" w:space="0" w:color="auto"/>
            <w:right w:val="none" w:sz="0" w:space="0" w:color="auto"/>
          </w:divBdr>
        </w:div>
        <w:div w:id="749884610">
          <w:marLeft w:val="547"/>
          <w:marRight w:val="0"/>
          <w:marTop w:val="0"/>
          <w:marBottom w:val="0"/>
          <w:divBdr>
            <w:top w:val="none" w:sz="0" w:space="0" w:color="auto"/>
            <w:left w:val="none" w:sz="0" w:space="0" w:color="auto"/>
            <w:bottom w:val="none" w:sz="0" w:space="0" w:color="auto"/>
            <w:right w:val="none" w:sz="0" w:space="0" w:color="auto"/>
          </w:divBdr>
        </w:div>
        <w:div w:id="1692876921">
          <w:marLeft w:val="547"/>
          <w:marRight w:val="0"/>
          <w:marTop w:val="0"/>
          <w:marBottom w:val="0"/>
          <w:divBdr>
            <w:top w:val="none" w:sz="0" w:space="0" w:color="auto"/>
            <w:left w:val="none" w:sz="0" w:space="0" w:color="auto"/>
            <w:bottom w:val="none" w:sz="0" w:space="0" w:color="auto"/>
            <w:right w:val="none" w:sz="0" w:space="0" w:color="auto"/>
          </w:divBdr>
        </w:div>
        <w:div w:id="1344746213">
          <w:marLeft w:val="547"/>
          <w:marRight w:val="0"/>
          <w:marTop w:val="0"/>
          <w:marBottom w:val="0"/>
          <w:divBdr>
            <w:top w:val="none" w:sz="0" w:space="0" w:color="auto"/>
            <w:left w:val="none" w:sz="0" w:space="0" w:color="auto"/>
            <w:bottom w:val="none" w:sz="0" w:space="0" w:color="auto"/>
            <w:right w:val="none" w:sz="0" w:space="0" w:color="auto"/>
          </w:divBdr>
        </w:div>
        <w:div w:id="86273920">
          <w:marLeft w:val="547"/>
          <w:marRight w:val="0"/>
          <w:marTop w:val="0"/>
          <w:marBottom w:val="0"/>
          <w:divBdr>
            <w:top w:val="none" w:sz="0" w:space="0" w:color="auto"/>
            <w:left w:val="none" w:sz="0" w:space="0" w:color="auto"/>
            <w:bottom w:val="none" w:sz="0" w:space="0" w:color="auto"/>
            <w:right w:val="none" w:sz="0" w:space="0" w:color="auto"/>
          </w:divBdr>
        </w:div>
      </w:divsChild>
    </w:div>
    <w:div w:id="1641883517">
      <w:bodyDiv w:val="1"/>
      <w:marLeft w:val="0"/>
      <w:marRight w:val="0"/>
      <w:marTop w:val="0"/>
      <w:marBottom w:val="0"/>
      <w:divBdr>
        <w:top w:val="none" w:sz="0" w:space="0" w:color="auto"/>
        <w:left w:val="none" w:sz="0" w:space="0" w:color="auto"/>
        <w:bottom w:val="none" w:sz="0" w:space="0" w:color="auto"/>
        <w:right w:val="none" w:sz="0" w:space="0" w:color="auto"/>
      </w:divBdr>
      <w:divsChild>
        <w:div w:id="926621768">
          <w:marLeft w:val="547"/>
          <w:marRight w:val="0"/>
          <w:marTop w:val="0"/>
          <w:marBottom w:val="0"/>
          <w:divBdr>
            <w:top w:val="none" w:sz="0" w:space="0" w:color="auto"/>
            <w:left w:val="none" w:sz="0" w:space="0" w:color="auto"/>
            <w:bottom w:val="none" w:sz="0" w:space="0" w:color="auto"/>
            <w:right w:val="none" w:sz="0" w:space="0" w:color="auto"/>
          </w:divBdr>
        </w:div>
        <w:div w:id="785581233">
          <w:marLeft w:val="547"/>
          <w:marRight w:val="0"/>
          <w:marTop w:val="0"/>
          <w:marBottom w:val="0"/>
          <w:divBdr>
            <w:top w:val="none" w:sz="0" w:space="0" w:color="auto"/>
            <w:left w:val="none" w:sz="0" w:space="0" w:color="auto"/>
            <w:bottom w:val="none" w:sz="0" w:space="0" w:color="auto"/>
            <w:right w:val="none" w:sz="0" w:space="0" w:color="auto"/>
          </w:divBdr>
        </w:div>
        <w:div w:id="1086653577">
          <w:marLeft w:val="547"/>
          <w:marRight w:val="0"/>
          <w:marTop w:val="0"/>
          <w:marBottom w:val="0"/>
          <w:divBdr>
            <w:top w:val="none" w:sz="0" w:space="0" w:color="auto"/>
            <w:left w:val="none" w:sz="0" w:space="0" w:color="auto"/>
            <w:bottom w:val="none" w:sz="0" w:space="0" w:color="auto"/>
            <w:right w:val="none" w:sz="0" w:space="0" w:color="auto"/>
          </w:divBdr>
        </w:div>
        <w:div w:id="1898929997">
          <w:marLeft w:val="547"/>
          <w:marRight w:val="0"/>
          <w:marTop w:val="0"/>
          <w:marBottom w:val="0"/>
          <w:divBdr>
            <w:top w:val="none" w:sz="0" w:space="0" w:color="auto"/>
            <w:left w:val="none" w:sz="0" w:space="0" w:color="auto"/>
            <w:bottom w:val="none" w:sz="0" w:space="0" w:color="auto"/>
            <w:right w:val="none" w:sz="0" w:space="0" w:color="auto"/>
          </w:divBdr>
        </w:div>
        <w:div w:id="434791267">
          <w:marLeft w:val="547"/>
          <w:marRight w:val="0"/>
          <w:marTop w:val="0"/>
          <w:marBottom w:val="0"/>
          <w:divBdr>
            <w:top w:val="none" w:sz="0" w:space="0" w:color="auto"/>
            <w:left w:val="none" w:sz="0" w:space="0" w:color="auto"/>
            <w:bottom w:val="none" w:sz="0" w:space="0" w:color="auto"/>
            <w:right w:val="none" w:sz="0" w:space="0" w:color="auto"/>
          </w:divBdr>
        </w:div>
        <w:div w:id="1820725814">
          <w:marLeft w:val="547"/>
          <w:marRight w:val="0"/>
          <w:marTop w:val="0"/>
          <w:marBottom w:val="0"/>
          <w:divBdr>
            <w:top w:val="none" w:sz="0" w:space="0" w:color="auto"/>
            <w:left w:val="none" w:sz="0" w:space="0" w:color="auto"/>
            <w:bottom w:val="none" w:sz="0" w:space="0" w:color="auto"/>
            <w:right w:val="none" w:sz="0" w:space="0" w:color="auto"/>
          </w:divBdr>
        </w:div>
        <w:div w:id="8586611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df.wri.org/development_without_conflict_fp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Laughlin</dc:creator>
  <cp:lastModifiedBy>Jennifer Laughlin</cp:lastModifiedBy>
  <cp:revision>6</cp:revision>
  <dcterms:created xsi:type="dcterms:W3CDTF">2012-02-09T20:18:00Z</dcterms:created>
  <dcterms:modified xsi:type="dcterms:W3CDTF">2012-02-09T21:29:00Z</dcterms:modified>
</cp:coreProperties>
</file>