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35FD4" w14:textId="77777777" w:rsidR="003B5CAD" w:rsidRPr="000D4785" w:rsidRDefault="003B5CAD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1273"/>
        <w:gridCol w:w="1935"/>
        <w:gridCol w:w="262"/>
        <w:gridCol w:w="3370"/>
      </w:tblGrid>
      <w:tr w:rsidR="0085559D" w:rsidRPr="000D4785" w14:paraId="21083BEF" w14:textId="77777777" w:rsidTr="005953CE">
        <w:trPr>
          <w:trHeight w:val="1586"/>
        </w:trPr>
        <w:tc>
          <w:tcPr>
            <w:tcW w:w="56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6D9F1"/>
          </w:tcPr>
          <w:p w14:paraId="175009CE" w14:textId="77777777" w:rsidR="003B5CAD" w:rsidRPr="000D4785" w:rsidRDefault="00B10945" w:rsidP="00D80954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noProof/>
                <w:color w:val="1F497D"/>
              </w:rPr>
              <w:drawing>
                <wp:inline distT="0" distB="0" distL="0" distR="0" wp14:anchorId="0F3F9580" wp14:editId="155717A9">
                  <wp:extent cx="564515" cy="1096010"/>
                  <wp:effectExtent l="19050" t="0" r="6985" b="0"/>
                  <wp:docPr id="1" name="Picture 1" descr="UNDP_Logo-Blue%20w%20Tagline-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_Logo-Blue%20w%20Tagline-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6D9F1"/>
          </w:tcPr>
          <w:p w14:paraId="7494E9BE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b/>
                <w:color w:val="1F497D"/>
              </w:rPr>
            </w:pPr>
            <w:r w:rsidRPr="000D4785">
              <w:rPr>
                <w:rFonts w:ascii="Arial Narrow" w:hAnsi="Arial Narrow"/>
                <w:b/>
                <w:color w:val="1F497D"/>
              </w:rPr>
              <w:t>Back to Office Report</w:t>
            </w:r>
          </w:p>
          <w:p w14:paraId="0FD809EC" w14:textId="2FDB4AB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b/>
                <w:color w:val="1F497D"/>
              </w:rPr>
              <w:t>Submitted by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>:</w:t>
            </w:r>
            <w:r w:rsidRPr="000D4785">
              <w:rPr>
                <w:rFonts w:ascii="Arial Narrow" w:hAnsi="Arial Narrow"/>
                <w:color w:val="1F497D"/>
              </w:rPr>
              <w:t xml:space="preserve"> </w:t>
            </w:r>
            <w:r w:rsidR="005612EA" w:rsidRPr="000D4785">
              <w:rPr>
                <w:rFonts w:ascii="Arial Narrow" w:hAnsi="Arial Narrow"/>
              </w:rPr>
              <w:t>Clea Paz-</w:t>
            </w:r>
            <w:r w:rsidR="004D1602" w:rsidRPr="000D4785">
              <w:rPr>
                <w:rFonts w:ascii="Arial Narrow" w:hAnsi="Arial Narrow"/>
              </w:rPr>
              <w:t>Rivera</w:t>
            </w:r>
            <w:r w:rsidR="0052214E">
              <w:rPr>
                <w:rFonts w:ascii="Arial Narrow" w:hAnsi="Arial Narrow"/>
              </w:rPr>
              <w:t xml:space="preserve"> and Marco Chiu</w:t>
            </w:r>
          </w:p>
          <w:p w14:paraId="6E016BC9" w14:textId="62E7EACE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b/>
                <w:color w:val="1F497D"/>
              </w:rPr>
              <w:t>Title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 xml:space="preserve">: </w:t>
            </w:r>
            <w:r w:rsidR="00B55D72" w:rsidRPr="000D4785">
              <w:rPr>
                <w:rFonts w:ascii="Arial Narrow" w:hAnsi="Arial Narrow"/>
                <w:b/>
              </w:rPr>
              <w:t xml:space="preserve">BTOR mission to </w:t>
            </w:r>
            <w:r w:rsidR="00B35E20">
              <w:rPr>
                <w:rFonts w:ascii="Arial Narrow" w:hAnsi="Arial Narrow"/>
                <w:b/>
              </w:rPr>
              <w:t>Honduras</w:t>
            </w:r>
          </w:p>
          <w:p w14:paraId="4791020B" w14:textId="4A079B71" w:rsidR="009C6467" w:rsidRPr="000D4785" w:rsidRDefault="009C6467" w:rsidP="00B35E20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 </w:t>
            </w:r>
            <w:r w:rsidRPr="000D4785">
              <w:rPr>
                <w:rFonts w:ascii="Arial Narrow" w:hAnsi="Arial Narrow"/>
                <w:b/>
                <w:color w:val="1F497D"/>
              </w:rPr>
              <w:t>Date submitted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>:</w:t>
            </w:r>
            <w:r w:rsidR="0085559D" w:rsidRPr="000D4785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4D1602" w:rsidRPr="000D4785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B35E20">
              <w:rPr>
                <w:rFonts w:ascii="Arial Narrow" w:hAnsi="Arial Narrow"/>
                <w:b/>
              </w:rPr>
              <w:t>May 17, 2016</w:t>
            </w:r>
          </w:p>
        </w:tc>
      </w:tr>
      <w:tr w:rsidR="009C6467" w:rsidRPr="000D4785" w14:paraId="3C5A88D6" w14:textId="77777777" w:rsidTr="005953CE">
        <w:tc>
          <w:tcPr>
            <w:tcW w:w="1119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F014CB" w14:textId="77777777" w:rsidR="003B5CAD" w:rsidRPr="000D4785" w:rsidRDefault="003B5CAD" w:rsidP="003D4777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1. </w:t>
            </w:r>
            <w:r w:rsidR="009C6467" w:rsidRPr="000D4785">
              <w:rPr>
                <w:rFonts w:ascii="Arial Narrow" w:hAnsi="Arial Narrow"/>
                <w:color w:val="1F497D"/>
              </w:rPr>
              <w:t>Practice area </w:t>
            </w:r>
            <w:r w:rsidR="009C6467" w:rsidRPr="000D4785">
              <w:rPr>
                <w:rFonts w:ascii="Arial Narrow" w:hAnsi="Arial Narrow"/>
              </w:rPr>
              <w:t xml:space="preserve">: </w:t>
            </w:r>
            <w:r w:rsidR="00087503" w:rsidRPr="000D4785">
              <w:rPr>
                <w:rFonts w:ascii="Arial Narrow" w:hAnsi="Arial Narrow"/>
              </w:rPr>
              <w:t>BPPS</w:t>
            </w:r>
          </w:p>
        </w:tc>
      </w:tr>
      <w:tr w:rsidR="003B5CAD" w:rsidRPr="000D4785" w14:paraId="1F147258" w14:textId="77777777" w:rsidTr="005953CE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8405274" w14:textId="77777777" w:rsidR="003B5CAD" w:rsidRPr="000D4785" w:rsidRDefault="003B5CAD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color w:val="1F497D"/>
              </w:rPr>
              <w:t>2. Mission period (incl. of travel days)</w:t>
            </w:r>
            <w:r w:rsidRPr="000D4785">
              <w:rPr>
                <w:rFonts w:ascii="Arial Narrow" w:hAnsi="Arial Narrow"/>
              </w:rPr>
              <w:t xml:space="preserve"> </w:t>
            </w:r>
          </w:p>
          <w:p w14:paraId="0D15F995" w14:textId="7BD7E7DA" w:rsidR="00127060" w:rsidRPr="000D4785" w:rsidRDefault="005E158A" w:rsidP="00B35E20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From</w:t>
            </w:r>
            <w:r w:rsidR="003B5CAD" w:rsidRPr="000D4785">
              <w:rPr>
                <w:rFonts w:ascii="Arial Narrow" w:hAnsi="Arial Narrow"/>
                <w:color w:val="1F497D"/>
              </w:rPr>
              <w:t xml:space="preserve">: </w:t>
            </w:r>
            <w:r w:rsidR="00B35E20">
              <w:rPr>
                <w:rFonts w:ascii="Arial Narrow" w:hAnsi="Arial Narrow"/>
                <w:bCs/>
              </w:rPr>
              <w:t>May 9</w:t>
            </w:r>
            <w:r w:rsidR="00DE3D72" w:rsidRPr="000D4785">
              <w:rPr>
                <w:rFonts w:ascii="Arial Narrow" w:hAnsi="Arial Narrow"/>
                <w:bCs/>
              </w:rPr>
              <w:t xml:space="preserve">  </w:t>
            </w:r>
            <w:r w:rsidR="003B5CAD" w:rsidRPr="000D4785">
              <w:rPr>
                <w:rFonts w:ascii="Arial Narrow" w:hAnsi="Arial Narrow"/>
                <w:color w:val="1F497D"/>
              </w:rPr>
              <w:t>to:</w:t>
            </w:r>
            <w:r w:rsidR="00127060" w:rsidRPr="000D4785">
              <w:rPr>
                <w:rFonts w:ascii="Arial Narrow" w:hAnsi="Arial Narrow"/>
                <w:color w:val="1F497D"/>
              </w:rPr>
              <w:t xml:space="preserve"> </w:t>
            </w:r>
            <w:r w:rsidR="00B35E20">
              <w:rPr>
                <w:rFonts w:ascii="Arial Narrow" w:hAnsi="Arial Narrow"/>
                <w:bCs/>
              </w:rPr>
              <w:t>May 12</w:t>
            </w:r>
            <w:r w:rsidR="00B55D72" w:rsidRPr="000D4785">
              <w:rPr>
                <w:rFonts w:ascii="Arial Narrow" w:hAnsi="Arial Narrow"/>
                <w:bCs/>
              </w:rPr>
              <w:t xml:space="preserve"> </w:t>
            </w:r>
            <w:r w:rsidR="00127060" w:rsidRPr="000D4785">
              <w:rPr>
                <w:rFonts w:ascii="Arial Narrow" w:hAnsi="Arial Narrow"/>
                <w:bCs/>
                <w:vertAlign w:val="superscript"/>
              </w:rPr>
              <w:t xml:space="preserve"> </w:t>
            </w:r>
          </w:p>
        </w:tc>
      </w:tr>
      <w:tr w:rsidR="009C6467" w:rsidRPr="000D4785" w14:paraId="503BEF9A" w14:textId="77777777" w:rsidTr="005953CE"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7349B2" w14:textId="77777777" w:rsidR="008A1301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3. </w:t>
            </w:r>
            <w:r w:rsidR="009C6467" w:rsidRPr="000D4785">
              <w:rPr>
                <w:rFonts w:ascii="Arial Narrow" w:hAnsi="Arial Narrow"/>
                <w:color w:val="1F497D"/>
              </w:rPr>
              <w:t>Type of mission</w:t>
            </w:r>
            <w:r w:rsidRPr="000D4785">
              <w:rPr>
                <w:rFonts w:ascii="Arial Narrow" w:hAnsi="Arial Narrow"/>
                <w:color w:val="1F497D"/>
              </w:rPr>
              <w:t>:</w:t>
            </w:r>
            <w:r w:rsidRPr="000D4785">
              <w:rPr>
                <w:rFonts w:ascii="Arial Narrow" w:hAnsi="Arial Narrow"/>
                <w:bCs/>
              </w:rPr>
              <w:t xml:space="preserve"> </w:t>
            </w:r>
            <w:r w:rsidR="00443609" w:rsidRPr="000D4785">
              <w:rPr>
                <w:rFonts w:ascii="Arial Narrow" w:hAnsi="Arial Narrow"/>
                <w:bCs/>
              </w:rPr>
              <w:t>Official</w:t>
            </w:r>
          </w:p>
          <w:p w14:paraId="57DF268D" w14:textId="77777777" w:rsidR="009C6467" w:rsidRPr="000D4785" w:rsidRDefault="009C6467" w:rsidP="001A58AC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6D6D6DA" w14:textId="77777777" w:rsidR="00443609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4. </w:t>
            </w:r>
            <w:r w:rsidR="009C6467" w:rsidRPr="000D4785">
              <w:rPr>
                <w:rFonts w:ascii="Arial Narrow" w:hAnsi="Arial Narrow"/>
                <w:color w:val="1F497D"/>
              </w:rPr>
              <w:t>Clients</w:t>
            </w:r>
          </w:p>
          <w:p w14:paraId="2E2EB0A8" w14:textId="31D097F4" w:rsidR="004034D4" w:rsidRPr="000D4785" w:rsidRDefault="00B35E20" w:rsidP="00560C65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proofErr w:type="spellStart"/>
            <w:r>
              <w:rPr>
                <w:rFonts w:ascii="Arial Narrow" w:hAnsi="Arial Narrow"/>
                <w:bCs/>
              </w:rPr>
              <w:t>Miambiente</w:t>
            </w:r>
            <w:proofErr w:type="spellEnd"/>
            <w:r>
              <w:rPr>
                <w:rFonts w:ascii="Arial Narrow" w:hAnsi="Arial Narrow"/>
                <w:bCs/>
              </w:rPr>
              <w:t>, PNUD CO</w:t>
            </w:r>
          </w:p>
        </w:tc>
      </w:tr>
      <w:tr w:rsidR="009C6467" w:rsidRPr="000D4785" w14:paraId="4A5DF4BD" w14:textId="77777777" w:rsidTr="00B35E20">
        <w:trPr>
          <w:trHeight w:val="1603"/>
        </w:trPr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663C73B" w14:textId="104AA0F8" w:rsidR="009C6467" w:rsidRPr="000D4785" w:rsidRDefault="003B5CAD" w:rsidP="00B533E9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5. </w:t>
            </w:r>
            <w:r w:rsidR="009C6467" w:rsidRPr="000D4785">
              <w:rPr>
                <w:rFonts w:ascii="Arial Narrow" w:hAnsi="Arial Narrow"/>
                <w:color w:val="1F497D"/>
              </w:rPr>
              <w:t xml:space="preserve">Purpose of mission </w:t>
            </w:r>
          </w:p>
          <w:p w14:paraId="652D288F" w14:textId="67E68BE3" w:rsidR="00215106" w:rsidRDefault="00215106" w:rsidP="00B35E20">
            <w:pPr>
              <w:pStyle w:val="PlainText"/>
              <w:rPr>
                <w:rFonts w:ascii="Arial Narrow" w:hAnsi="Arial Narrow"/>
                <w:bCs/>
              </w:rPr>
            </w:pPr>
            <w:r w:rsidRPr="000D4785">
              <w:rPr>
                <w:rFonts w:ascii="Arial Narrow" w:hAnsi="Arial Narrow"/>
                <w:bCs/>
              </w:rPr>
              <w:t xml:space="preserve">1. </w:t>
            </w:r>
            <w:r w:rsidR="00B35E20">
              <w:rPr>
                <w:rFonts w:ascii="Arial Narrow" w:hAnsi="Arial Narrow"/>
                <w:bCs/>
              </w:rPr>
              <w:t xml:space="preserve">Introduce C Paz as the new REDD+ RTA to national and CO counterparts </w:t>
            </w:r>
          </w:p>
          <w:p w14:paraId="129182C6" w14:textId="77777777" w:rsidR="00B35E20" w:rsidRPr="000D4785" w:rsidRDefault="00B35E20" w:rsidP="00B35E20">
            <w:pPr>
              <w:pStyle w:val="PlainText"/>
              <w:rPr>
                <w:rFonts w:ascii="Arial Narrow" w:hAnsi="Arial Narrow"/>
                <w:bCs/>
              </w:rPr>
            </w:pPr>
          </w:p>
          <w:p w14:paraId="2CCD7274" w14:textId="757EB6A1" w:rsidR="00215106" w:rsidRDefault="00215106" w:rsidP="00215106">
            <w:pPr>
              <w:pStyle w:val="PlainText"/>
              <w:rPr>
                <w:rFonts w:ascii="Arial Narrow" w:hAnsi="Arial Narrow"/>
                <w:bCs/>
              </w:rPr>
            </w:pPr>
            <w:r w:rsidRPr="000D4785">
              <w:rPr>
                <w:rFonts w:ascii="Arial Narrow" w:hAnsi="Arial Narrow"/>
                <w:bCs/>
              </w:rPr>
              <w:t xml:space="preserve">2. </w:t>
            </w:r>
            <w:r w:rsidR="00B35E20">
              <w:rPr>
                <w:rFonts w:ascii="Arial Narrow" w:hAnsi="Arial Narrow"/>
                <w:bCs/>
              </w:rPr>
              <w:t xml:space="preserve">Propose a conceptual approach to integrate REDD+ to the national </w:t>
            </w:r>
            <w:r w:rsidR="00202BFB">
              <w:rPr>
                <w:rFonts w:ascii="Arial Narrow" w:hAnsi="Arial Narrow"/>
                <w:bCs/>
              </w:rPr>
              <w:t xml:space="preserve">development </w:t>
            </w:r>
            <w:r w:rsidR="00B35E20">
              <w:rPr>
                <w:rFonts w:ascii="Arial Narrow" w:hAnsi="Arial Narrow"/>
                <w:bCs/>
              </w:rPr>
              <w:t>agenda and broader UNDP portfolio</w:t>
            </w:r>
          </w:p>
          <w:p w14:paraId="37E611EE" w14:textId="77777777" w:rsidR="00560C65" w:rsidRDefault="00560C65" w:rsidP="00215106">
            <w:pPr>
              <w:pStyle w:val="PlainText"/>
              <w:rPr>
                <w:rFonts w:ascii="Arial Narrow" w:hAnsi="Arial Narrow"/>
                <w:bCs/>
              </w:rPr>
            </w:pPr>
          </w:p>
          <w:p w14:paraId="1A0E04D7" w14:textId="1E961365" w:rsidR="00560C65" w:rsidRPr="000D4785" w:rsidRDefault="00560C65" w:rsidP="00215106">
            <w:pPr>
              <w:pStyle w:val="PlainTex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3. </w:t>
            </w:r>
            <w:r w:rsidR="00B35E20">
              <w:rPr>
                <w:rFonts w:ascii="Arial Narrow" w:hAnsi="Arial Narrow"/>
                <w:bCs/>
              </w:rPr>
              <w:t>Review progress of the FCPF project in particular participation and safeguards issues</w:t>
            </w:r>
          </w:p>
          <w:p w14:paraId="0A402695" w14:textId="2C231581" w:rsidR="00215106" w:rsidRPr="000D4785" w:rsidRDefault="00215106" w:rsidP="00215106">
            <w:pPr>
              <w:pStyle w:val="PlainText"/>
              <w:rPr>
                <w:rFonts w:ascii="Arial Narrow" w:hAnsi="Arial Narrow"/>
                <w:color w:val="1F497D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A14CC64" w14:textId="77777777" w:rsidR="004D1602" w:rsidRPr="000D4785" w:rsidRDefault="003B5CAD" w:rsidP="00822784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6. </w:t>
            </w:r>
            <w:r w:rsidR="009C6467" w:rsidRPr="000D4785">
              <w:rPr>
                <w:rFonts w:ascii="Arial Narrow" w:hAnsi="Arial Narrow"/>
                <w:color w:val="1F497D"/>
              </w:rPr>
              <w:t>Documents, materials, resources</w:t>
            </w:r>
            <w:r w:rsidR="00574AB1" w:rsidRPr="000D4785">
              <w:rPr>
                <w:rFonts w:ascii="Arial Narrow" w:hAnsi="Arial Narrow"/>
              </w:rPr>
              <w:t xml:space="preserve"> </w:t>
            </w:r>
          </w:p>
          <w:p w14:paraId="6AF1F3E1" w14:textId="77777777" w:rsidR="004D1602" w:rsidRPr="000D4785" w:rsidRDefault="004D1602" w:rsidP="00822784">
            <w:pPr>
              <w:spacing w:after="0" w:line="240" w:lineRule="auto"/>
              <w:rPr>
                <w:rFonts w:ascii="Arial Narrow" w:hAnsi="Arial Narrow"/>
              </w:rPr>
            </w:pPr>
          </w:p>
          <w:p w14:paraId="3370951E" w14:textId="33F6551A" w:rsidR="00215106" w:rsidRPr="00B35E20" w:rsidRDefault="00B35E20" w:rsidP="00D23F4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Conceptual approach</w:t>
            </w:r>
          </w:p>
          <w:p w14:paraId="5DC99BED" w14:textId="1A6FABE4" w:rsidR="00B35E20" w:rsidRPr="003A3570" w:rsidRDefault="00B35E20" w:rsidP="00D23F4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Organigram</w:t>
            </w:r>
          </w:p>
          <w:p w14:paraId="56BA0938" w14:textId="3A008C06" w:rsidR="003A3570" w:rsidRPr="00560C65" w:rsidRDefault="003A3570" w:rsidP="00D23F4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Financing chart</w:t>
            </w:r>
          </w:p>
          <w:p w14:paraId="1C8526F7" w14:textId="77777777" w:rsidR="00560C65" w:rsidRPr="000D4785" w:rsidRDefault="00560C65" w:rsidP="00560C65">
            <w:pPr>
              <w:pStyle w:val="ListParagraph"/>
              <w:ind w:left="360"/>
              <w:rPr>
                <w:rFonts w:ascii="Arial Narrow" w:hAnsi="Arial Narrow"/>
                <w:color w:val="1F497D"/>
                <w:lang w:val="en-US"/>
              </w:rPr>
            </w:pPr>
          </w:p>
          <w:p w14:paraId="5B1E6F92" w14:textId="77777777" w:rsidR="000D4785" w:rsidRPr="000D4785" w:rsidRDefault="000D4785" w:rsidP="000D4785">
            <w:pPr>
              <w:pStyle w:val="ListParagraph"/>
              <w:ind w:left="360"/>
              <w:rPr>
                <w:rFonts w:ascii="Arial Narrow" w:hAnsi="Arial Narrow"/>
                <w:color w:val="1F497D"/>
                <w:lang w:val="en-US"/>
              </w:rPr>
            </w:pPr>
          </w:p>
          <w:p w14:paraId="5FD35B2F" w14:textId="77F730F1" w:rsidR="002E0A2C" w:rsidRPr="000D4785" w:rsidRDefault="002E0A2C" w:rsidP="002E0A2C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</w:tc>
      </w:tr>
      <w:tr w:rsidR="009C6467" w:rsidRPr="000D4785" w14:paraId="04E77C9D" w14:textId="77777777" w:rsidTr="005953CE">
        <w:tc>
          <w:tcPr>
            <w:tcW w:w="755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182C843" w14:textId="3B34A461" w:rsidR="00B533E9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7. </w:t>
            </w:r>
            <w:r w:rsidR="009C6467" w:rsidRPr="000D4785">
              <w:rPr>
                <w:rFonts w:ascii="Arial Narrow" w:hAnsi="Arial Narrow"/>
                <w:color w:val="1F497D"/>
              </w:rPr>
              <w:t>Mission members</w:t>
            </w:r>
            <w:r w:rsidR="00087503" w:rsidRPr="000D4785">
              <w:rPr>
                <w:rFonts w:ascii="Arial Narrow" w:hAnsi="Arial Narrow"/>
                <w:color w:val="1F497D"/>
              </w:rPr>
              <w:t xml:space="preserve"> </w:t>
            </w:r>
          </w:p>
          <w:p w14:paraId="61495E65" w14:textId="75F9B76D" w:rsidR="000D4785" w:rsidRPr="00B35E20" w:rsidRDefault="00B35E20" w:rsidP="00D23F42">
            <w:pPr>
              <w:pStyle w:val="ListParagraph"/>
              <w:numPr>
                <w:ilvl w:val="0"/>
                <w:numId w:val="7"/>
              </w:numPr>
              <w:tabs>
                <w:tab w:val="left" w:pos="7755"/>
              </w:tabs>
              <w:jc w:val="both"/>
              <w:rPr>
                <w:rFonts w:ascii="Arial Narrow" w:hAnsi="Arial Narrow"/>
                <w:color w:val="1F497D"/>
                <w:lang w:val="es-419"/>
              </w:rPr>
            </w:pPr>
            <w:r w:rsidRPr="00B35E20">
              <w:rPr>
                <w:rFonts w:ascii="Arial Narrow" w:hAnsi="Arial Narrow"/>
                <w:lang w:val="es-419"/>
              </w:rPr>
              <w:t>Marco Chiu and Clea Paz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6B74166" w14:textId="77777777" w:rsidR="003B5CAD" w:rsidRPr="000D4785" w:rsidRDefault="003B5CAD" w:rsidP="003D477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8. </w:t>
            </w:r>
            <w:r w:rsidR="009C6467" w:rsidRPr="000D4785">
              <w:rPr>
                <w:rFonts w:ascii="Arial Narrow" w:hAnsi="Arial Narrow"/>
                <w:color w:val="1F497D"/>
              </w:rPr>
              <w:t>Costs</w:t>
            </w:r>
          </w:p>
          <w:p w14:paraId="4F54D7CC" w14:textId="7BD53528" w:rsidR="004D1602" w:rsidRPr="000D4785" w:rsidRDefault="004D1602" w:rsidP="00D0610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C6467" w:rsidRPr="000D4785" w14:paraId="2E799EF9" w14:textId="77777777" w:rsidTr="005953CE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A43BCC" w14:textId="4DBB0652" w:rsidR="00866975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 xml:space="preserve">9. </w:t>
            </w:r>
            <w:r w:rsidR="009C6467" w:rsidRPr="000D4785">
              <w:rPr>
                <w:rFonts w:ascii="Arial Narrow" w:hAnsi="Arial Narrow"/>
                <w:color w:val="1F497D"/>
              </w:rPr>
              <w:t xml:space="preserve">Brief summary of the mission </w:t>
            </w:r>
          </w:p>
          <w:p w14:paraId="1A96D3C2" w14:textId="77777777" w:rsidR="00F643C4" w:rsidRPr="000D4785" w:rsidRDefault="00F643C4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  <w:p w14:paraId="27467A5E" w14:textId="77777777" w:rsidR="00087503" w:rsidRDefault="003B5CAD" w:rsidP="004D02B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0D4785">
              <w:rPr>
                <w:rFonts w:ascii="Arial Narrow" w:hAnsi="Arial Narrow"/>
                <w:i/>
                <w:color w:val="1F497D"/>
              </w:rPr>
              <w:t>9.a</w:t>
            </w:r>
            <w:proofErr w:type="gramEnd"/>
            <w:r w:rsidRPr="000D4785">
              <w:rPr>
                <w:rFonts w:ascii="Arial Narrow" w:hAnsi="Arial Narrow"/>
                <w:i/>
                <w:color w:val="1F497D"/>
              </w:rPr>
              <w:t xml:space="preserve"> </w:t>
            </w:r>
            <w:r w:rsidR="009C6467" w:rsidRPr="000D4785">
              <w:rPr>
                <w:rFonts w:ascii="Arial Narrow" w:hAnsi="Arial Narrow"/>
                <w:i/>
                <w:color w:val="1F497D"/>
              </w:rPr>
              <w:t>Findings</w:t>
            </w:r>
            <w:r w:rsidR="005F26E8" w:rsidRPr="000D4785">
              <w:rPr>
                <w:rFonts w:ascii="Arial Narrow" w:hAnsi="Arial Narrow"/>
              </w:rPr>
              <w:t>.</w:t>
            </w:r>
          </w:p>
          <w:p w14:paraId="32D403C3" w14:textId="77777777" w:rsidR="00F4102C" w:rsidRPr="00F4102C" w:rsidRDefault="00F4102C" w:rsidP="004D02B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0AA1209E" w14:textId="19313268" w:rsidR="00F4102C" w:rsidRPr="00F4102C" w:rsidRDefault="00F4102C" w:rsidP="00F4102C">
            <w:pPr>
              <w:pStyle w:val="PlainText"/>
              <w:rPr>
                <w:rFonts w:ascii="Arial Narrow" w:hAnsi="Arial Narrow"/>
                <w:b/>
              </w:rPr>
            </w:pPr>
            <w:r w:rsidRPr="00F4102C">
              <w:rPr>
                <w:rFonts w:ascii="Arial Narrow" w:hAnsi="Arial Narrow"/>
                <w:b/>
                <w:bCs/>
              </w:rPr>
              <w:t xml:space="preserve">Integrating REDD+ to the national </w:t>
            </w:r>
            <w:r w:rsidR="00202BFB">
              <w:rPr>
                <w:rFonts w:ascii="Arial Narrow" w:hAnsi="Arial Narrow"/>
                <w:b/>
                <w:bCs/>
              </w:rPr>
              <w:t xml:space="preserve">development </w:t>
            </w:r>
            <w:r w:rsidRPr="00F4102C">
              <w:rPr>
                <w:rFonts w:ascii="Arial Narrow" w:hAnsi="Arial Narrow"/>
                <w:b/>
                <w:bCs/>
              </w:rPr>
              <w:t>agenda and</w:t>
            </w:r>
            <w:r>
              <w:rPr>
                <w:rFonts w:ascii="Arial Narrow" w:hAnsi="Arial Narrow"/>
                <w:b/>
                <w:bCs/>
              </w:rPr>
              <w:t xml:space="preserve"> with</w:t>
            </w:r>
            <w:r w:rsidRPr="00F4102C">
              <w:rPr>
                <w:rFonts w:ascii="Arial Narrow" w:hAnsi="Arial Narrow"/>
                <w:b/>
                <w:bCs/>
              </w:rPr>
              <w:t xml:space="preserve"> broader UNDP portfolio</w:t>
            </w:r>
          </w:p>
          <w:p w14:paraId="607ADE23" w14:textId="77777777" w:rsidR="00E42518" w:rsidRPr="00F4102C" w:rsidRDefault="00E42518" w:rsidP="004D02B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CADECFE" w14:textId="63532F70" w:rsidR="00D23F42" w:rsidRDefault="00B35E20" w:rsidP="00B35E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Thanks to the FCPF project, the REDD+ team in </w:t>
            </w:r>
            <w:proofErr w:type="spellStart"/>
            <w:r>
              <w:rPr>
                <w:rFonts w:ascii="Arial Narrow" w:hAnsi="Arial Narrow"/>
                <w:lang w:val="en-US"/>
              </w:rPr>
              <w:t>Miambiente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is complete and has good understanding of the REDD+ process and UNFCCC requirements</w:t>
            </w:r>
          </w:p>
          <w:p w14:paraId="5ACB6985" w14:textId="489BF82B" w:rsidR="00B35E20" w:rsidRDefault="00B35E20" w:rsidP="00B35E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They recently carried a review of the positions and functions, and developed a new organigram (attached)</w:t>
            </w:r>
          </w:p>
          <w:p w14:paraId="228C7632" w14:textId="1989048C" w:rsidR="00B35E20" w:rsidRDefault="00B35E20" w:rsidP="00B35E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The Cabinet is revising a Productive Landscapes Policy (PLP), which can provide an umbrella for REDD+ activities, as well as integrating REDD+ with the larger UNDP portfolio, positioning </w:t>
            </w:r>
            <w:proofErr w:type="spellStart"/>
            <w:r>
              <w:rPr>
                <w:rFonts w:ascii="Arial Narrow" w:hAnsi="Arial Narrow"/>
                <w:lang w:val="en-US"/>
              </w:rPr>
              <w:t>Miambiente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as the technical lead on this process</w:t>
            </w:r>
          </w:p>
          <w:p w14:paraId="094FCB1C" w14:textId="709F0157" w:rsidR="00B35E20" w:rsidRDefault="00B35E20" w:rsidP="00B35E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The mission along the national team and the CO reviewed the implications of the policy, means to operationalize it, and strategic lines to connect existing related UNDP projects</w:t>
            </w:r>
            <w:r w:rsidR="00202BFB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="00202BFB">
              <w:rPr>
                <w:rFonts w:ascii="Arial Narrow" w:hAnsi="Arial Narrow"/>
                <w:lang w:val="en-US"/>
              </w:rPr>
              <w:t xml:space="preserve">Key </w:t>
            </w:r>
            <w:r>
              <w:rPr>
                <w:rFonts w:ascii="Arial Narrow" w:hAnsi="Arial Narrow"/>
                <w:lang w:val="en-US"/>
              </w:rPr>
              <w:t>conclusions were:</w:t>
            </w:r>
          </w:p>
          <w:p w14:paraId="78E7AE39" w14:textId="1F03477D" w:rsidR="00B35E20" w:rsidRDefault="00B35E20" w:rsidP="00B35E20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It is necessary to </w:t>
            </w:r>
            <w:r w:rsidR="00202BFB">
              <w:rPr>
                <w:rFonts w:ascii="Arial Narrow" w:hAnsi="Arial Narrow"/>
                <w:lang w:val="en-US"/>
              </w:rPr>
              <w:t xml:space="preserve">support national counterparts on integrating </w:t>
            </w:r>
            <w:r>
              <w:rPr>
                <w:rFonts w:ascii="Arial Narrow" w:hAnsi="Arial Narrow"/>
                <w:lang w:val="en-US"/>
              </w:rPr>
              <w:t>Honduras international commitments and processes related to the UNFCCC and other Conventions</w:t>
            </w:r>
            <w:r w:rsidR="00202BFB">
              <w:rPr>
                <w:rFonts w:ascii="Arial Narrow" w:hAnsi="Arial Narrow"/>
                <w:lang w:val="en-US"/>
              </w:rPr>
              <w:t>, with those responding to the national development priorities.</w:t>
            </w:r>
          </w:p>
          <w:p w14:paraId="29331107" w14:textId="59C67B2E" w:rsidR="00317A20" w:rsidRPr="003A3570" w:rsidRDefault="00B35E20" w:rsidP="00317A20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To operationalize the PL</w:t>
            </w:r>
            <w:r w:rsidR="00317A20">
              <w:rPr>
                <w:rFonts w:ascii="Arial Narrow" w:hAnsi="Arial Narrow"/>
                <w:lang w:val="en-US"/>
              </w:rPr>
              <w:t>P</w:t>
            </w:r>
            <w:r>
              <w:rPr>
                <w:rFonts w:ascii="Arial Narrow" w:hAnsi="Arial Narrow"/>
                <w:lang w:val="en-US"/>
              </w:rPr>
              <w:t xml:space="preserve">, it would be necessary to develop </w:t>
            </w:r>
            <w:r w:rsidR="003A3570">
              <w:rPr>
                <w:rFonts w:ascii="Arial Narrow" w:hAnsi="Arial Narrow"/>
                <w:lang w:val="en-US"/>
              </w:rPr>
              <w:t xml:space="preserve">a Sustainable Productive Landscapes </w:t>
            </w:r>
            <w:r w:rsidR="003A3570" w:rsidRPr="003A3570">
              <w:rPr>
                <w:rFonts w:ascii="Arial Narrow" w:hAnsi="Arial Narrow"/>
                <w:b/>
                <w:lang w:val="en-US"/>
              </w:rPr>
              <w:t>Program</w:t>
            </w:r>
          </w:p>
          <w:p w14:paraId="2E707D49" w14:textId="6AE7D2E4" w:rsidR="003A3570" w:rsidRPr="003A3570" w:rsidRDefault="003A3570" w:rsidP="00317A20">
            <w:pPr>
              <w:pStyle w:val="ListParagraph"/>
              <w:numPr>
                <w:ilvl w:val="1"/>
                <w:numId w:val="7"/>
              </w:numPr>
              <w:rPr>
                <w:rFonts w:ascii="Arial Narrow" w:hAnsi="Arial Narrow"/>
                <w:lang w:val="en-US"/>
              </w:rPr>
            </w:pPr>
            <w:r w:rsidRPr="003A3570">
              <w:rPr>
                <w:rFonts w:ascii="Arial Narrow" w:hAnsi="Arial Narrow"/>
                <w:lang w:val="en-US"/>
              </w:rPr>
              <w:t xml:space="preserve">Existing </w:t>
            </w:r>
            <w:r>
              <w:rPr>
                <w:rFonts w:ascii="Arial Narrow" w:hAnsi="Arial Narrow"/>
                <w:lang w:val="en-US"/>
              </w:rPr>
              <w:t xml:space="preserve">and potential related projects were identified and grouped under 4 strategic areas: Reducing deforestation and forest degradation, Restoration/Reforestation, Incentives for sustainability in productive sectors, Reducing emissions from selected productive sectors </w:t>
            </w:r>
          </w:p>
          <w:p w14:paraId="5AE6D218" w14:textId="7C494AF5" w:rsidR="003A3570" w:rsidRDefault="003A3570" w:rsidP="00317A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Existing budget in implementation </w:t>
            </w:r>
            <w:r w:rsidR="00F4102C">
              <w:rPr>
                <w:rFonts w:ascii="Arial Narrow" w:hAnsi="Arial Narrow"/>
                <w:lang w:val="en-US"/>
              </w:rPr>
              <w:t xml:space="preserve">and a roadmap were </w:t>
            </w:r>
            <w:r>
              <w:rPr>
                <w:rFonts w:ascii="Arial Narrow" w:hAnsi="Arial Narrow"/>
                <w:lang w:val="en-US"/>
              </w:rPr>
              <w:t>also analyzed (see financing chart)</w:t>
            </w:r>
          </w:p>
          <w:p w14:paraId="44638D6E" w14:textId="125DE132" w:rsidR="00317A20" w:rsidRDefault="003A3570" w:rsidP="00317A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On May 11 the conceptual approach </w:t>
            </w:r>
            <w:r w:rsidR="00F4102C">
              <w:rPr>
                <w:rFonts w:ascii="Arial Narrow" w:hAnsi="Arial Narrow"/>
                <w:lang w:val="en-US"/>
              </w:rPr>
              <w:t xml:space="preserve">and financing chart were </w:t>
            </w:r>
            <w:r>
              <w:rPr>
                <w:rFonts w:ascii="Arial Narrow" w:hAnsi="Arial Narrow"/>
                <w:lang w:val="en-US"/>
              </w:rPr>
              <w:t>presented to the Minister, who welcomed it and provided some recommendations to improve it (include references to Pro-Honduras, mangroves and shrimps, and the messages from the President on Water, Soils and Forest as cornerstones of the PLP) and a revised diagram was produced</w:t>
            </w:r>
          </w:p>
          <w:p w14:paraId="3B8A34BA" w14:textId="7A96281D" w:rsidR="003A3570" w:rsidRDefault="003A3570" w:rsidP="00317A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The diagram will be presented to the Cabinet for Economic Development by the Minister the week of May 16</w:t>
            </w:r>
          </w:p>
          <w:p w14:paraId="4C10F995" w14:textId="77777777" w:rsidR="003A3570" w:rsidRDefault="003A3570" w:rsidP="00317A2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Based on the results of the meeting support from the President and SEFIN will be seek</w:t>
            </w:r>
          </w:p>
          <w:p w14:paraId="67408FA8" w14:textId="77777777" w:rsidR="00F4102C" w:rsidRDefault="00F4102C" w:rsidP="00F4102C">
            <w:pPr>
              <w:rPr>
                <w:rFonts w:ascii="Arial Narrow" w:hAnsi="Arial Narrow"/>
              </w:rPr>
            </w:pPr>
          </w:p>
          <w:p w14:paraId="463B223C" w14:textId="622CB067" w:rsidR="00F4102C" w:rsidRPr="0052214E" w:rsidRDefault="00F4102C" w:rsidP="00F4102C">
            <w:pPr>
              <w:rPr>
                <w:rFonts w:ascii="Arial Narrow" w:hAnsi="Arial Narrow"/>
                <w:b/>
              </w:rPr>
            </w:pPr>
            <w:r w:rsidRPr="0052214E">
              <w:rPr>
                <w:rFonts w:ascii="Arial Narrow" w:hAnsi="Arial Narrow"/>
                <w:b/>
              </w:rPr>
              <w:t>Meetings with the team to discuss progress on the FCPF and UN-REDD initiatives, and participation safeguard support</w:t>
            </w:r>
          </w:p>
          <w:p w14:paraId="5206F699" w14:textId="754B5D20" w:rsidR="00F4102C" w:rsidRPr="00F4102C" w:rsidRDefault="00F4102C" w:rsidP="00F4102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lang w:val="en-US"/>
              </w:rPr>
            </w:pPr>
            <w:r w:rsidRPr="00400D99">
              <w:rPr>
                <w:rFonts w:ascii="Arial Narrow" w:hAnsi="Arial Narrow"/>
                <w:lang w:val="en-US"/>
              </w:rPr>
              <w:t>The organigram was revised and clarified (see organigram)</w:t>
            </w:r>
          </w:p>
          <w:p w14:paraId="02EC13D2" w14:textId="46C712E7" w:rsidR="00F4102C" w:rsidRPr="00F4102C" w:rsidRDefault="00F4102C" w:rsidP="00F4102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lang w:val="en-US"/>
              </w:rPr>
            </w:pPr>
            <w:r w:rsidRPr="00F4102C">
              <w:rPr>
                <w:rFonts w:ascii="Arial Narrow" w:hAnsi="Arial Narrow"/>
                <w:lang w:val="en-US"/>
              </w:rPr>
              <w:t>On participation, we agreed on discussing the potential implications of the existing FPIC law proposals with the CO senior management, recommending a cautious approach, looking to make sure UNDP supports capacity building to the platforms discussing the law and alignment with WTO guidance.</w:t>
            </w:r>
          </w:p>
          <w:p w14:paraId="4C3FFC33" w14:textId="62E211F9" w:rsidR="00F4102C" w:rsidRPr="00F4102C" w:rsidRDefault="00F4102C" w:rsidP="00F4102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On safeguards, CARE will submit a proposal for providing complementary technical support, the proposal will be discuss</w:t>
            </w:r>
            <w:r w:rsidR="00202BFB">
              <w:rPr>
                <w:rFonts w:ascii="Arial Narrow" w:hAnsi="Arial Narrow"/>
                <w:lang w:val="en-US"/>
              </w:rPr>
              <w:t>ed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="00202BFB">
              <w:rPr>
                <w:rFonts w:ascii="Arial Narrow" w:hAnsi="Arial Narrow"/>
                <w:lang w:val="en-US"/>
              </w:rPr>
              <w:t>to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="00202BFB">
              <w:rPr>
                <w:rFonts w:ascii="Arial Narrow" w:hAnsi="Arial Narrow"/>
                <w:lang w:val="en-US"/>
              </w:rPr>
              <w:t>en</w:t>
            </w:r>
            <w:r>
              <w:rPr>
                <w:rFonts w:ascii="Arial Narrow" w:hAnsi="Arial Narrow"/>
                <w:lang w:val="en-US"/>
              </w:rPr>
              <w:t xml:space="preserve">sure that there is conceptual alignment. It was recommended that the product on: conceptual approach to safeguards is kept under </w:t>
            </w:r>
            <w:r w:rsidR="00202BFB">
              <w:rPr>
                <w:rFonts w:ascii="Arial Narrow" w:hAnsi="Arial Narrow"/>
                <w:lang w:val="en-US"/>
              </w:rPr>
              <w:t xml:space="preserve">FCPF support, with guidance from the tools and </w:t>
            </w:r>
            <w:r w:rsidR="00AE4674">
              <w:rPr>
                <w:rFonts w:ascii="Arial Narrow" w:hAnsi="Arial Narrow"/>
                <w:lang w:val="en-US"/>
              </w:rPr>
              <w:t>approaches developed by</w:t>
            </w:r>
            <w:r>
              <w:rPr>
                <w:rFonts w:ascii="Arial Narrow" w:hAnsi="Arial Narrow"/>
                <w:lang w:val="en-US"/>
              </w:rPr>
              <w:t xml:space="preserve"> UN-REDD</w:t>
            </w:r>
            <w:r w:rsidR="00AE4674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25CB3244" w14:textId="77777777" w:rsidR="00B35E20" w:rsidRDefault="00B35E20" w:rsidP="00D23F42">
            <w:pPr>
              <w:pStyle w:val="ListParagraph"/>
              <w:rPr>
                <w:rFonts w:ascii="Arial Narrow" w:hAnsi="Arial Narrow"/>
                <w:lang w:val="en-US"/>
              </w:rPr>
            </w:pPr>
          </w:p>
          <w:p w14:paraId="0DF2B65B" w14:textId="77777777" w:rsidR="00F25DAA" w:rsidRPr="000D4785" w:rsidRDefault="003B5CAD" w:rsidP="00F25DAA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 w:rsidRPr="000D4785">
              <w:rPr>
                <w:rFonts w:ascii="Arial Narrow" w:hAnsi="Arial Narrow"/>
                <w:i/>
                <w:color w:val="1F497D"/>
              </w:rPr>
              <w:t xml:space="preserve">9.b </w:t>
            </w:r>
            <w:r w:rsidR="009C6467" w:rsidRPr="000D4785">
              <w:rPr>
                <w:rFonts w:ascii="Arial Narrow" w:hAnsi="Arial Narrow"/>
                <w:i/>
                <w:color w:val="1F497D"/>
              </w:rPr>
              <w:t>Results achieve</w:t>
            </w:r>
            <w:r w:rsidR="00337815" w:rsidRPr="000D4785">
              <w:rPr>
                <w:rFonts w:ascii="Arial Narrow" w:hAnsi="Arial Narrow"/>
                <w:i/>
                <w:color w:val="1F497D"/>
              </w:rPr>
              <w:t>d (key outputs)</w:t>
            </w:r>
          </w:p>
          <w:p w14:paraId="334A7776" w14:textId="77777777" w:rsidR="00F50BA8" w:rsidRPr="000D4785" w:rsidRDefault="00F50BA8" w:rsidP="00F25DAA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</w:p>
          <w:p w14:paraId="382AC935" w14:textId="4C3C6BAA" w:rsidR="00F4102C" w:rsidRPr="00F4102C" w:rsidRDefault="00F4102C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New RTA introduced to the team</w:t>
            </w:r>
          </w:p>
          <w:p w14:paraId="7DDA446D" w14:textId="0FA9489A" w:rsidR="00AF5EBC" w:rsidRPr="00F4102C" w:rsidRDefault="00F4102C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Conceptual approach to align REDD+ with the national </w:t>
            </w:r>
            <w:r w:rsidR="00AE4674">
              <w:rPr>
                <w:rFonts w:ascii="Arial Narrow" w:hAnsi="Arial Narrow"/>
                <w:color w:val="000000" w:themeColor="text1"/>
              </w:rPr>
              <w:t xml:space="preserve">development </w:t>
            </w:r>
            <w:r>
              <w:rPr>
                <w:rFonts w:ascii="Arial Narrow" w:hAnsi="Arial Narrow"/>
                <w:color w:val="000000" w:themeColor="text1"/>
              </w:rPr>
              <w:t>agenda and UNDP portfolio, finance charts and roadmap produced</w:t>
            </w:r>
          </w:p>
          <w:p w14:paraId="436FEED9" w14:textId="18B24D9B" w:rsidR="00F4102C" w:rsidRPr="00F4102C" w:rsidRDefault="00F4102C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Organigram for UN-REDD and FCPF revised </w:t>
            </w:r>
          </w:p>
          <w:p w14:paraId="0B57F7CC" w14:textId="48CA0156" w:rsidR="00F4102C" w:rsidRPr="00D23F42" w:rsidRDefault="00F4102C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Participation and safeguards work revised and clarified</w:t>
            </w:r>
          </w:p>
          <w:p w14:paraId="4B4FF628" w14:textId="77777777" w:rsidR="00724524" w:rsidRPr="000D4785" w:rsidRDefault="00724524" w:rsidP="00724524">
            <w:pPr>
              <w:tabs>
                <w:tab w:val="left" w:pos="7755"/>
              </w:tabs>
              <w:spacing w:after="0" w:line="240" w:lineRule="auto"/>
              <w:ind w:left="360"/>
              <w:jc w:val="both"/>
              <w:rPr>
                <w:rFonts w:ascii="Arial Narrow" w:hAnsi="Arial Narrow"/>
                <w:i/>
                <w:color w:val="1F497D"/>
              </w:rPr>
            </w:pPr>
          </w:p>
          <w:p w14:paraId="55A347FA" w14:textId="77777777" w:rsidR="009C6467" w:rsidRPr="000D4785" w:rsidRDefault="003B5CAD" w:rsidP="00891E40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 w:rsidRPr="000D4785">
              <w:rPr>
                <w:rFonts w:ascii="Arial Narrow" w:hAnsi="Arial Narrow"/>
                <w:i/>
                <w:color w:val="1F497D"/>
              </w:rPr>
              <w:t xml:space="preserve">9.c </w:t>
            </w:r>
            <w:r w:rsidR="009C6467" w:rsidRPr="000D4785">
              <w:rPr>
                <w:rFonts w:ascii="Arial Narrow" w:hAnsi="Arial Narrow"/>
                <w:i/>
                <w:color w:val="1F497D"/>
              </w:rPr>
              <w:t>Expected outcomes and impacts</w:t>
            </w:r>
          </w:p>
          <w:p w14:paraId="1C92E136" w14:textId="32D1D1E1" w:rsidR="00536825" w:rsidRPr="00F4102C" w:rsidRDefault="00D630C6" w:rsidP="00A0111D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F4102C">
              <w:rPr>
                <w:rFonts w:ascii="Arial Narrow" w:hAnsi="Arial Narrow"/>
              </w:rPr>
              <w:t>As a result of this mission,</w:t>
            </w:r>
            <w:r w:rsidR="008E3EFD" w:rsidRPr="00F4102C">
              <w:rPr>
                <w:rFonts w:ascii="Arial Narrow" w:hAnsi="Arial Narrow"/>
              </w:rPr>
              <w:t xml:space="preserve"> </w:t>
            </w:r>
            <w:r w:rsidR="00536825" w:rsidRPr="00F4102C">
              <w:rPr>
                <w:rFonts w:ascii="Arial Narrow" w:hAnsi="Arial Narrow"/>
              </w:rPr>
              <w:t>the</w:t>
            </w:r>
            <w:r w:rsidR="002E0A2C" w:rsidRPr="00F4102C">
              <w:rPr>
                <w:rFonts w:ascii="Arial Narrow" w:hAnsi="Arial Narrow"/>
              </w:rPr>
              <w:t xml:space="preserve"> </w:t>
            </w:r>
            <w:r w:rsidR="00F4102C" w:rsidRPr="00F4102C">
              <w:rPr>
                <w:rFonts w:ascii="Arial Narrow" w:hAnsi="Arial Narrow"/>
              </w:rPr>
              <w:t xml:space="preserve">Ministry of Environment is better equipped to scale up the REDD+ work to a political level </w:t>
            </w:r>
          </w:p>
          <w:p w14:paraId="5032231B" w14:textId="1A2BC78B" w:rsidR="00E97A45" w:rsidRPr="000D4785" w:rsidRDefault="00E97A45" w:rsidP="00536825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3B5CAD" w:rsidRPr="000D4785" w14:paraId="16BB793F" w14:textId="77777777" w:rsidTr="005953CE">
        <w:tc>
          <w:tcPr>
            <w:tcW w:w="111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AD479F9" w14:textId="77777777" w:rsidR="003B5CAD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lastRenderedPageBreak/>
              <w:t>10. Key counterparts</w:t>
            </w:r>
          </w:p>
          <w:p w14:paraId="1457EBD3" w14:textId="6AEDC08A" w:rsidR="008E3EFD" w:rsidRPr="000D4785" w:rsidRDefault="00F4102C" w:rsidP="00D23F42">
            <w:pPr>
              <w:numPr>
                <w:ilvl w:val="0"/>
                <w:numId w:val="4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Minister of Environment and Energy, </w:t>
            </w:r>
            <w:proofErr w:type="spellStart"/>
            <w:r>
              <w:rPr>
                <w:rFonts w:ascii="Arial Narrow" w:hAnsi="Arial Narrow"/>
              </w:rPr>
              <w:t>MiAmbiente</w:t>
            </w:r>
            <w:proofErr w:type="spellEnd"/>
            <w:r>
              <w:rPr>
                <w:rFonts w:ascii="Arial Narrow" w:hAnsi="Arial Narrow"/>
              </w:rPr>
              <w:t xml:space="preserve"> REDD+ team UNDP CO</w:t>
            </w:r>
            <w:r w:rsidR="00034DDA">
              <w:rPr>
                <w:rFonts w:ascii="Arial Narrow" w:hAnsi="Arial Narrow"/>
              </w:rPr>
              <w:t>, UNDP-REDD+ Team, Regional colleagues</w:t>
            </w:r>
          </w:p>
          <w:p w14:paraId="1631FCC9" w14:textId="72B75229" w:rsidR="00540D5F" w:rsidRPr="000D4785" w:rsidRDefault="00540D5F" w:rsidP="00E42518">
            <w:pPr>
              <w:tabs>
                <w:tab w:val="left" w:pos="7755"/>
              </w:tabs>
              <w:spacing w:after="0" w:line="240" w:lineRule="auto"/>
              <w:ind w:left="720"/>
              <w:jc w:val="both"/>
              <w:rPr>
                <w:rFonts w:ascii="Arial Narrow" w:eastAsia="Myriad Pro" w:hAnsi="Arial Narrow" w:cs="Myriad Pro"/>
                <w:color w:val="000000"/>
                <w:sz w:val="20"/>
                <w:szCs w:val="20"/>
              </w:rPr>
            </w:pPr>
          </w:p>
        </w:tc>
      </w:tr>
      <w:tr w:rsidR="003B5CAD" w:rsidRPr="000D4785" w14:paraId="47A82C8E" w14:textId="77777777" w:rsidTr="005953CE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14:paraId="312731A4" w14:textId="77777777" w:rsidR="003B5CAD" w:rsidRPr="000D4785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11. Follow up action matrix</w:t>
            </w:r>
          </w:p>
        </w:tc>
      </w:tr>
      <w:tr w:rsidR="003B5CAD" w:rsidRPr="000D4785" w14:paraId="10D169CB" w14:textId="77777777" w:rsidTr="005953CE">
        <w:tc>
          <w:tcPr>
            <w:tcW w:w="4350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19C22479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Action to be taken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FDE41D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By whom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7225022D" w14:textId="77777777" w:rsidR="009C6467" w:rsidRPr="000D4785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Expected completion date</w:t>
            </w:r>
          </w:p>
        </w:tc>
      </w:tr>
      <w:tr w:rsidR="00111386" w:rsidRPr="000D4785" w14:paraId="1FCB5987" w14:textId="77777777" w:rsidTr="005953CE"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CD44485" w14:textId="501515DC" w:rsidR="00111386" w:rsidRPr="000D4785" w:rsidRDefault="00F4102C" w:rsidP="00F4102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 with Honduras DRR re. FPIC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8FDE" w14:textId="5A122B75" w:rsidR="00111386" w:rsidRPr="000D4785" w:rsidRDefault="00D23F42" w:rsidP="00DC481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Clea</w:t>
            </w:r>
            <w:r w:rsidR="00F4102C">
              <w:rPr>
                <w:rFonts w:ascii="Arial Narrow" w:hAnsi="Arial Narrow"/>
              </w:rPr>
              <w:t xml:space="preserve"> and José Arturo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B7CDA31" w14:textId="7188A5D8" w:rsidR="00111386" w:rsidRPr="000D4785" w:rsidRDefault="005832D3" w:rsidP="00F64755">
            <w:pPr>
              <w:spacing w:after="0" w:line="240" w:lineRule="auto"/>
              <w:rPr>
                <w:rFonts w:ascii="Arial Narrow" w:hAnsi="Arial Narrow"/>
              </w:rPr>
            </w:pPr>
            <w:r w:rsidRPr="000D4785">
              <w:rPr>
                <w:rFonts w:ascii="Arial Narrow" w:hAnsi="Arial Narrow"/>
              </w:rPr>
              <w:t>done</w:t>
            </w:r>
          </w:p>
        </w:tc>
      </w:tr>
      <w:tr w:rsidR="00111386" w:rsidRPr="000D4785" w14:paraId="122610C7" w14:textId="77777777" w:rsidTr="005953CE"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7364DB5" w14:textId="53F46B91" w:rsidR="00111386" w:rsidRPr="000D4785" w:rsidRDefault="00F4102C" w:rsidP="00DC481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Follow up on the results of the Cabinet meeting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0566" w14:textId="71B6BDF1" w:rsidR="00111386" w:rsidRPr="000D4785" w:rsidRDefault="00F4102C" w:rsidP="00AF5EB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Dennis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DEC026D" w14:textId="0AA1B17A" w:rsidR="00111386" w:rsidRPr="000D4785" w:rsidRDefault="00F4102C" w:rsidP="001907B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20</w:t>
            </w:r>
          </w:p>
        </w:tc>
      </w:tr>
      <w:tr w:rsidR="00AF5EBC" w:rsidRPr="000D4785" w14:paraId="46B31872" w14:textId="77777777" w:rsidTr="005953CE">
        <w:tc>
          <w:tcPr>
            <w:tcW w:w="435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2B674DB" w14:textId="78225096" w:rsidR="00AF5EBC" w:rsidRPr="000D4785" w:rsidRDefault="00F4102C" w:rsidP="008553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 a document based on the diagrams</w:t>
            </w:r>
          </w:p>
        </w:tc>
        <w:tc>
          <w:tcPr>
            <w:tcW w:w="34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506" w14:textId="15D86AC8" w:rsidR="00AF5EBC" w:rsidRPr="000D4785" w:rsidRDefault="00400D99" w:rsidP="0032465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Dennis, Valeria, </w:t>
            </w:r>
            <w:r w:rsidR="00F4102C">
              <w:rPr>
                <w:rFonts w:ascii="Arial Narrow" w:hAnsi="Arial Narrow"/>
              </w:rPr>
              <w:t>Clea and Bruno G.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F067B40" w14:textId="114D55D4" w:rsidR="00AF5EBC" w:rsidRPr="000D4785" w:rsidRDefault="00F4102C" w:rsidP="002C5EB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27</w:t>
            </w:r>
          </w:p>
        </w:tc>
      </w:tr>
      <w:tr w:rsidR="00AF5EBC" w:rsidRPr="000D4785" w14:paraId="3549B98D" w14:textId="77777777" w:rsidTr="005953CE">
        <w:tc>
          <w:tcPr>
            <w:tcW w:w="435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9FEEE45" w14:textId="317D3627" w:rsidR="00D23F42" w:rsidRPr="00F4102C" w:rsidRDefault="00F4102C" w:rsidP="00F410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Brief FAO and UNEP the results of the meeting</w:t>
            </w:r>
          </w:p>
        </w:tc>
        <w:tc>
          <w:tcPr>
            <w:tcW w:w="34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8DE1" w14:textId="46258352" w:rsidR="00D23F42" w:rsidRPr="00F4102C" w:rsidRDefault="00D23F42" w:rsidP="00D23F42">
            <w:pPr>
              <w:pStyle w:val="ListParagraph"/>
              <w:rPr>
                <w:rFonts w:ascii="Arial Narrow" w:hAnsi="Arial Narrow"/>
                <w:lang w:val="en-US"/>
              </w:rPr>
            </w:pPr>
            <w:bookmarkStart w:id="0" w:name="_GoBack"/>
            <w:bookmarkEnd w:id="0"/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0DACF27" w14:textId="221E617F" w:rsidR="00AF5EBC" w:rsidRPr="000D4785" w:rsidRDefault="00AF5EBC" w:rsidP="002C5EB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C481D" w:rsidRPr="000D4785" w14:paraId="072776B6" w14:textId="77777777" w:rsidTr="005953CE">
        <w:trPr>
          <w:trHeight w:val="83"/>
        </w:trPr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</w:tcPr>
          <w:p w14:paraId="38A5974A" w14:textId="77777777" w:rsidR="00DC481D" w:rsidRPr="000D4785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A9CCB2" w14:textId="77777777" w:rsidR="00DC481D" w:rsidRPr="000D4785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14:paraId="641EA832" w14:textId="77777777" w:rsidR="00DC481D" w:rsidRPr="000D4785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</w:tr>
      <w:tr w:rsidR="00DC481D" w:rsidRPr="00F4102C" w14:paraId="7C1BF9CB" w14:textId="77777777" w:rsidTr="005953CE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1D0DA" w14:textId="73AADE55" w:rsidR="00DC481D" w:rsidRPr="000D4785" w:rsidRDefault="00DC481D" w:rsidP="00F25DAA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0D4785">
              <w:rPr>
                <w:rFonts w:ascii="Arial Narrow" w:hAnsi="Arial Narrow"/>
                <w:color w:val="1F497D"/>
              </w:rPr>
              <w:t>12. Distribution list</w:t>
            </w:r>
          </w:p>
          <w:p w14:paraId="17D90831" w14:textId="4CF6EB09" w:rsidR="00DC481D" w:rsidRPr="00F4102C" w:rsidRDefault="00F4102C" w:rsidP="00D23F4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 Narrow" w:hAnsi="Arial Narrow"/>
                <w:lang w:val="es-419"/>
              </w:rPr>
            </w:pPr>
            <w:proofErr w:type="spellStart"/>
            <w:r w:rsidRPr="00F4102C">
              <w:rPr>
                <w:rFonts w:ascii="Arial Narrow" w:hAnsi="Arial Narrow"/>
                <w:lang w:val="es-419"/>
              </w:rPr>
              <w:t>Miambiente</w:t>
            </w:r>
            <w:proofErr w:type="spellEnd"/>
            <w:r w:rsidRPr="00F4102C">
              <w:rPr>
                <w:rFonts w:ascii="Arial Narrow" w:hAnsi="Arial Narrow"/>
                <w:lang w:val="es-419"/>
              </w:rPr>
              <w:t xml:space="preserve">, UNDP CO, </w:t>
            </w:r>
            <w:r w:rsidR="00D23F42" w:rsidRPr="00F4102C">
              <w:rPr>
                <w:rFonts w:ascii="Arial Narrow" w:hAnsi="Arial Narrow"/>
                <w:lang w:val="es-419"/>
              </w:rPr>
              <w:t xml:space="preserve">UNDP-UN-REDD </w:t>
            </w:r>
            <w:proofErr w:type="spellStart"/>
            <w:r w:rsidR="00D23F42" w:rsidRPr="00F4102C">
              <w:rPr>
                <w:rFonts w:ascii="Arial Narrow" w:hAnsi="Arial Narrow"/>
                <w:lang w:val="es-419"/>
              </w:rPr>
              <w:t>team</w:t>
            </w:r>
            <w:proofErr w:type="spellEnd"/>
            <w:r>
              <w:rPr>
                <w:rFonts w:ascii="Arial Narrow" w:hAnsi="Arial Narrow"/>
                <w:lang w:val="es-419"/>
              </w:rPr>
              <w:t xml:space="preserve">, Matilde Mordt, Santiago Carrizosa, </w:t>
            </w:r>
          </w:p>
        </w:tc>
      </w:tr>
    </w:tbl>
    <w:p w14:paraId="4948F72F" w14:textId="77777777" w:rsidR="004D02B3" w:rsidRPr="00F4102C" w:rsidRDefault="004D02B3" w:rsidP="00D0338C">
      <w:pPr>
        <w:rPr>
          <w:rFonts w:ascii="Arial Narrow" w:hAnsi="Arial Narrow"/>
          <w:lang w:val="es-419"/>
        </w:rPr>
      </w:pPr>
    </w:p>
    <w:sectPr w:rsidR="004D02B3" w:rsidRPr="00F4102C" w:rsidSect="001A58AC">
      <w:pgSz w:w="12240" w:h="15840"/>
      <w:pgMar w:top="340" w:right="510" w:bottom="454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828"/>
    <w:multiLevelType w:val="hybridMultilevel"/>
    <w:tmpl w:val="9F4A843A"/>
    <w:lvl w:ilvl="0" w:tplc="F1DAC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72B94"/>
    <w:multiLevelType w:val="hybridMultilevel"/>
    <w:tmpl w:val="7388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02B"/>
    <w:multiLevelType w:val="hybridMultilevel"/>
    <w:tmpl w:val="BF56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813"/>
    <w:multiLevelType w:val="hybridMultilevel"/>
    <w:tmpl w:val="D264FFB6"/>
    <w:lvl w:ilvl="0" w:tplc="A1605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5CB4"/>
    <w:multiLevelType w:val="hybridMultilevel"/>
    <w:tmpl w:val="A874D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90887"/>
    <w:multiLevelType w:val="hybridMultilevel"/>
    <w:tmpl w:val="A07A19D2"/>
    <w:lvl w:ilvl="0" w:tplc="1028137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A3E"/>
    <w:multiLevelType w:val="hybridMultilevel"/>
    <w:tmpl w:val="4E9AF1FE"/>
    <w:lvl w:ilvl="0" w:tplc="91ECA7B4">
      <w:start w:val="6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2476B"/>
    <w:multiLevelType w:val="hybridMultilevel"/>
    <w:tmpl w:val="69E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1316A"/>
    <w:multiLevelType w:val="hybridMultilevel"/>
    <w:tmpl w:val="AAFA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24CD"/>
    <w:multiLevelType w:val="hybridMultilevel"/>
    <w:tmpl w:val="095458F6"/>
    <w:lvl w:ilvl="0" w:tplc="91ECA7B4">
      <w:start w:val="6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E3B6C"/>
    <w:multiLevelType w:val="hybridMultilevel"/>
    <w:tmpl w:val="E5D6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922B8"/>
    <w:multiLevelType w:val="hybridMultilevel"/>
    <w:tmpl w:val="6082B642"/>
    <w:lvl w:ilvl="0" w:tplc="2AAA37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70A72"/>
    <w:multiLevelType w:val="hybridMultilevel"/>
    <w:tmpl w:val="EA78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0150"/>
    <w:multiLevelType w:val="hybridMultilevel"/>
    <w:tmpl w:val="D294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719A1"/>
    <w:multiLevelType w:val="hybridMultilevel"/>
    <w:tmpl w:val="F5A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67"/>
    <w:rsid w:val="000023A6"/>
    <w:rsid w:val="000062A8"/>
    <w:rsid w:val="000130B1"/>
    <w:rsid w:val="00034DDA"/>
    <w:rsid w:val="0006171C"/>
    <w:rsid w:val="00082781"/>
    <w:rsid w:val="00087503"/>
    <w:rsid w:val="000967A3"/>
    <w:rsid w:val="000B4C96"/>
    <w:rsid w:val="000C1E95"/>
    <w:rsid w:val="000D4785"/>
    <w:rsid w:val="000D6EAA"/>
    <w:rsid w:val="000F3936"/>
    <w:rsid w:val="00102FEC"/>
    <w:rsid w:val="00111386"/>
    <w:rsid w:val="001126B6"/>
    <w:rsid w:val="0011432A"/>
    <w:rsid w:val="00123FAC"/>
    <w:rsid w:val="00123FC9"/>
    <w:rsid w:val="00127060"/>
    <w:rsid w:val="00132A98"/>
    <w:rsid w:val="001501B7"/>
    <w:rsid w:val="001907BF"/>
    <w:rsid w:val="0019087A"/>
    <w:rsid w:val="00196F5B"/>
    <w:rsid w:val="001A58AC"/>
    <w:rsid w:val="001B6409"/>
    <w:rsid w:val="001C0DBB"/>
    <w:rsid w:val="001E4DCE"/>
    <w:rsid w:val="001E6E90"/>
    <w:rsid w:val="001F30AE"/>
    <w:rsid w:val="00202BFB"/>
    <w:rsid w:val="00210A69"/>
    <w:rsid w:val="00215106"/>
    <w:rsid w:val="00225C7C"/>
    <w:rsid w:val="00233F9A"/>
    <w:rsid w:val="002453FD"/>
    <w:rsid w:val="0026106F"/>
    <w:rsid w:val="002778C9"/>
    <w:rsid w:val="002915ED"/>
    <w:rsid w:val="002A3E86"/>
    <w:rsid w:val="002A72E3"/>
    <w:rsid w:val="002B7E1C"/>
    <w:rsid w:val="002C5EB3"/>
    <w:rsid w:val="002E0A2C"/>
    <w:rsid w:val="002F4F75"/>
    <w:rsid w:val="0031710B"/>
    <w:rsid w:val="00317A20"/>
    <w:rsid w:val="00324657"/>
    <w:rsid w:val="00337815"/>
    <w:rsid w:val="003413D6"/>
    <w:rsid w:val="00341614"/>
    <w:rsid w:val="00343061"/>
    <w:rsid w:val="0034698A"/>
    <w:rsid w:val="003629BF"/>
    <w:rsid w:val="003857A9"/>
    <w:rsid w:val="00385F3F"/>
    <w:rsid w:val="003A3570"/>
    <w:rsid w:val="003A4269"/>
    <w:rsid w:val="003B5CAD"/>
    <w:rsid w:val="003C131F"/>
    <w:rsid w:val="003D4777"/>
    <w:rsid w:val="003D78C3"/>
    <w:rsid w:val="003E203A"/>
    <w:rsid w:val="003F610D"/>
    <w:rsid w:val="00400D99"/>
    <w:rsid w:val="004034D4"/>
    <w:rsid w:val="00421B8F"/>
    <w:rsid w:val="00422A60"/>
    <w:rsid w:val="00443609"/>
    <w:rsid w:val="00445883"/>
    <w:rsid w:val="0045354B"/>
    <w:rsid w:val="004743CB"/>
    <w:rsid w:val="00493AEC"/>
    <w:rsid w:val="004B3A2F"/>
    <w:rsid w:val="004C504A"/>
    <w:rsid w:val="004D02B3"/>
    <w:rsid w:val="004D1602"/>
    <w:rsid w:val="004F1105"/>
    <w:rsid w:val="005007FB"/>
    <w:rsid w:val="00501493"/>
    <w:rsid w:val="00516AA3"/>
    <w:rsid w:val="005218D1"/>
    <w:rsid w:val="0052214E"/>
    <w:rsid w:val="00522543"/>
    <w:rsid w:val="00531D3E"/>
    <w:rsid w:val="00536825"/>
    <w:rsid w:val="00536EEA"/>
    <w:rsid w:val="00540B3F"/>
    <w:rsid w:val="00540D5F"/>
    <w:rsid w:val="00560C65"/>
    <w:rsid w:val="005612EA"/>
    <w:rsid w:val="00574AB1"/>
    <w:rsid w:val="005832D3"/>
    <w:rsid w:val="005945C1"/>
    <w:rsid w:val="005953CE"/>
    <w:rsid w:val="005A5180"/>
    <w:rsid w:val="005D0F8F"/>
    <w:rsid w:val="005E158A"/>
    <w:rsid w:val="005E1867"/>
    <w:rsid w:val="005E3A00"/>
    <w:rsid w:val="005F26E8"/>
    <w:rsid w:val="00600C0E"/>
    <w:rsid w:val="00601FA6"/>
    <w:rsid w:val="006052C4"/>
    <w:rsid w:val="00607204"/>
    <w:rsid w:val="00615B2E"/>
    <w:rsid w:val="006174B4"/>
    <w:rsid w:val="00630419"/>
    <w:rsid w:val="0063698A"/>
    <w:rsid w:val="0064344D"/>
    <w:rsid w:val="006616A0"/>
    <w:rsid w:val="00670206"/>
    <w:rsid w:val="006715AA"/>
    <w:rsid w:val="00673D47"/>
    <w:rsid w:val="00690BD1"/>
    <w:rsid w:val="00691B56"/>
    <w:rsid w:val="006B30E7"/>
    <w:rsid w:val="006C3964"/>
    <w:rsid w:val="006C4FF3"/>
    <w:rsid w:val="006C5953"/>
    <w:rsid w:val="006F445A"/>
    <w:rsid w:val="00724524"/>
    <w:rsid w:val="00747AFB"/>
    <w:rsid w:val="00767741"/>
    <w:rsid w:val="0077435E"/>
    <w:rsid w:val="00774BFD"/>
    <w:rsid w:val="007B04C7"/>
    <w:rsid w:val="007B702F"/>
    <w:rsid w:val="008156AD"/>
    <w:rsid w:val="008207E6"/>
    <w:rsid w:val="00822784"/>
    <w:rsid w:val="0082708B"/>
    <w:rsid w:val="00855304"/>
    <w:rsid w:val="0085559D"/>
    <w:rsid w:val="00866975"/>
    <w:rsid w:val="008735A9"/>
    <w:rsid w:val="0088446B"/>
    <w:rsid w:val="00885959"/>
    <w:rsid w:val="00891E40"/>
    <w:rsid w:val="00892A57"/>
    <w:rsid w:val="008A1301"/>
    <w:rsid w:val="008B43AF"/>
    <w:rsid w:val="008C2A5C"/>
    <w:rsid w:val="008D0303"/>
    <w:rsid w:val="008D6FEB"/>
    <w:rsid w:val="008E3EFD"/>
    <w:rsid w:val="008F3003"/>
    <w:rsid w:val="00914D4C"/>
    <w:rsid w:val="00920234"/>
    <w:rsid w:val="00936BA3"/>
    <w:rsid w:val="0094659B"/>
    <w:rsid w:val="00947391"/>
    <w:rsid w:val="00947DBE"/>
    <w:rsid w:val="00950368"/>
    <w:rsid w:val="00950603"/>
    <w:rsid w:val="00987C30"/>
    <w:rsid w:val="00997004"/>
    <w:rsid w:val="009A1BF6"/>
    <w:rsid w:val="009A4919"/>
    <w:rsid w:val="009C6467"/>
    <w:rsid w:val="009F0FCB"/>
    <w:rsid w:val="00A013C9"/>
    <w:rsid w:val="00A03D5E"/>
    <w:rsid w:val="00A27B6A"/>
    <w:rsid w:val="00A310F2"/>
    <w:rsid w:val="00A3404B"/>
    <w:rsid w:val="00A4419C"/>
    <w:rsid w:val="00A4613C"/>
    <w:rsid w:val="00A6641A"/>
    <w:rsid w:val="00A66A55"/>
    <w:rsid w:val="00A86970"/>
    <w:rsid w:val="00A94C4D"/>
    <w:rsid w:val="00A9559D"/>
    <w:rsid w:val="00AB29D3"/>
    <w:rsid w:val="00AE24BB"/>
    <w:rsid w:val="00AE4674"/>
    <w:rsid w:val="00AE65AC"/>
    <w:rsid w:val="00AF5EBC"/>
    <w:rsid w:val="00B10945"/>
    <w:rsid w:val="00B113E0"/>
    <w:rsid w:val="00B22C07"/>
    <w:rsid w:val="00B35E20"/>
    <w:rsid w:val="00B41FDC"/>
    <w:rsid w:val="00B533E9"/>
    <w:rsid w:val="00B55D72"/>
    <w:rsid w:val="00B75C47"/>
    <w:rsid w:val="00B927FC"/>
    <w:rsid w:val="00BA1157"/>
    <w:rsid w:val="00C44EAB"/>
    <w:rsid w:val="00C50922"/>
    <w:rsid w:val="00C53D99"/>
    <w:rsid w:val="00C723A5"/>
    <w:rsid w:val="00C7335B"/>
    <w:rsid w:val="00C81C9D"/>
    <w:rsid w:val="00CA117F"/>
    <w:rsid w:val="00CA7DC2"/>
    <w:rsid w:val="00CB7F09"/>
    <w:rsid w:val="00CC52CE"/>
    <w:rsid w:val="00CE34E7"/>
    <w:rsid w:val="00CF00DF"/>
    <w:rsid w:val="00CF2EB0"/>
    <w:rsid w:val="00D0338C"/>
    <w:rsid w:val="00D0610F"/>
    <w:rsid w:val="00D12A5F"/>
    <w:rsid w:val="00D23F42"/>
    <w:rsid w:val="00D254F7"/>
    <w:rsid w:val="00D52AC3"/>
    <w:rsid w:val="00D630C6"/>
    <w:rsid w:val="00D80954"/>
    <w:rsid w:val="00D9431A"/>
    <w:rsid w:val="00DB0DA8"/>
    <w:rsid w:val="00DC481D"/>
    <w:rsid w:val="00DE0CDE"/>
    <w:rsid w:val="00DE3D72"/>
    <w:rsid w:val="00DE4C9E"/>
    <w:rsid w:val="00E0012C"/>
    <w:rsid w:val="00E003A7"/>
    <w:rsid w:val="00E104EC"/>
    <w:rsid w:val="00E12161"/>
    <w:rsid w:val="00E24ABB"/>
    <w:rsid w:val="00E26D7F"/>
    <w:rsid w:val="00E3655A"/>
    <w:rsid w:val="00E42518"/>
    <w:rsid w:val="00E603D1"/>
    <w:rsid w:val="00E7324C"/>
    <w:rsid w:val="00E97A45"/>
    <w:rsid w:val="00EA3159"/>
    <w:rsid w:val="00EB51FE"/>
    <w:rsid w:val="00EF2D3C"/>
    <w:rsid w:val="00F10DBD"/>
    <w:rsid w:val="00F25DAA"/>
    <w:rsid w:val="00F4102C"/>
    <w:rsid w:val="00F44CF2"/>
    <w:rsid w:val="00F50BA8"/>
    <w:rsid w:val="00F603E1"/>
    <w:rsid w:val="00F643C4"/>
    <w:rsid w:val="00F64755"/>
    <w:rsid w:val="00F66A4E"/>
    <w:rsid w:val="00F90F92"/>
    <w:rsid w:val="00FC0BF0"/>
    <w:rsid w:val="00FC36CB"/>
    <w:rsid w:val="00FC4D66"/>
    <w:rsid w:val="00FD343A"/>
    <w:rsid w:val="00FE088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7D29"/>
  <w15:docId w15:val="{1242D976-E79B-4321-AD17-B3E14D6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E95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2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E95"/>
    <w:pPr>
      <w:keepNext/>
      <w:numPr>
        <w:numId w:val="2"/>
      </w:numPr>
      <w:spacing w:before="240" w:after="60"/>
      <w:outlineLvl w:val="1"/>
    </w:pPr>
    <w:rPr>
      <w:rFonts w:eastAsia="Times New Roman"/>
      <w:b/>
      <w:bCs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1E95"/>
    <w:rPr>
      <w:rFonts w:eastAsia="Times New Roman"/>
      <w:b/>
      <w:bCs/>
      <w:kern w:val="32"/>
      <w:sz w:val="26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0C1E95"/>
    <w:rPr>
      <w:rFonts w:eastAsia="Times New Roman"/>
      <w:b/>
      <w:bCs/>
      <w:iCs/>
      <w:sz w:val="22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467"/>
    <w:rPr>
      <w:rFonts w:ascii="Tahoma" w:hAnsi="Tahoma" w:cs="Tahoma"/>
      <w:noProof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9C6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5559D"/>
    <w:pPr>
      <w:spacing w:after="60" w:line="240" w:lineRule="auto"/>
    </w:pPr>
    <w:rPr>
      <w:rFonts w:ascii="Myriad Pro" w:eastAsia="Myriad Pro" w:hAnsi="Myriad Pro"/>
      <w:color w:val="000000"/>
      <w:sz w:val="20"/>
      <w:szCs w:val="20"/>
    </w:rPr>
  </w:style>
  <w:style w:type="character" w:customStyle="1" w:styleId="BodyTextChar">
    <w:name w:val="Body Text Char"/>
    <w:link w:val="BodyText"/>
    <w:rsid w:val="0085559D"/>
    <w:rPr>
      <w:rFonts w:ascii="Myriad Pro" w:eastAsia="Myriad Pro" w:hAnsi="Myriad Pro" w:cs="Myriad Pro"/>
      <w:color w:val="000000"/>
    </w:rPr>
  </w:style>
  <w:style w:type="paragraph" w:customStyle="1" w:styleId="Formfieldtext">
    <w:name w:val="Form field text"/>
    <w:basedOn w:val="Normal"/>
    <w:next w:val="BodyText"/>
    <w:link w:val="FormfieldtextChar"/>
    <w:rsid w:val="00337815"/>
    <w:pPr>
      <w:spacing w:after="0" w:line="240" w:lineRule="auto"/>
    </w:pPr>
    <w:rPr>
      <w:rFonts w:ascii="Arial Narrow" w:eastAsia="Times New Roman" w:hAnsi="Arial Narrow"/>
      <w:color w:val="000080"/>
      <w:sz w:val="20"/>
      <w:szCs w:val="18"/>
    </w:rPr>
  </w:style>
  <w:style w:type="character" w:customStyle="1" w:styleId="FormfieldtextChar">
    <w:name w:val="Form field text Char"/>
    <w:link w:val="Formfieldtext"/>
    <w:rsid w:val="00337815"/>
    <w:rPr>
      <w:rFonts w:ascii="Arial Narrow" w:eastAsia="Times New Roman" w:hAnsi="Arial Narrow" w:cs="Arial"/>
      <w:color w:val="000080"/>
      <w:szCs w:val="18"/>
    </w:rPr>
  </w:style>
  <w:style w:type="character" w:styleId="Hyperlink">
    <w:name w:val="Hyperlink"/>
    <w:uiPriority w:val="99"/>
    <w:unhideWhenUsed/>
    <w:rsid w:val="008A13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13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0B1"/>
    <w:rPr>
      <w:noProof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0B1"/>
    <w:rPr>
      <w:b/>
      <w:bCs/>
      <w:noProof/>
      <w:lang w:val="fr-FR" w:eastAsia="en-US"/>
    </w:rPr>
  </w:style>
  <w:style w:type="paragraph" w:styleId="ListParagraph">
    <w:name w:val="List Paragraph"/>
    <w:basedOn w:val="Normal"/>
    <w:uiPriority w:val="34"/>
    <w:qFormat/>
    <w:rsid w:val="001A58AC"/>
    <w:pPr>
      <w:spacing w:after="0" w:line="240" w:lineRule="auto"/>
      <w:ind w:left="720"/>
    </w:pPr>
    <w:rPr>
      <w:rFonts w:cs="Calibri"/>
      <w:lang w:val="fr-CH"/>
    </w:rPr>
  </w:style>
  <w:style w:type="character" w:customStyle="1" w:styleId="apple-converted-space">
    <w:name w:val="apple-converted-space"/>
    <w:basedOn w:val="DefaultParagraphFont"/>
    <w:rsid w:val="00B55D72"/>
  </w:style>
  <w:style w:type="table" w:styleId="LightShading-Accent1">
    <w:name w:val="Light Shading Accent 1"/>
    <w:basedOn w:val="TableNormal"/>
    <w:uiPriority w:val="60"/>
    <w:rsid w:val="001E6E9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396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510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5106"/>
    <w:rPr>
      <w:rFonts w:eastAsiaTheme="minorHAns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493AE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3AEC"/>
    <w:rPr>
      <w:rFonts w:ascii="Times New Roman" w:eastAsiaTheme="minorHAnsi" w:hAnsi="Times New Roman" w:cstheme="minorBidi"/>
      <w:sz w:val="24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E24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B89F-44AD-46DF-B370-1EC1815F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4582</CharactersWithSpaces>
  <SharedDoc>false</SharedDoc>
  <HLinks>
    <vt:vector size="12" baseType="variant"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http://www.mrv.mx/index.php/en/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http://www.encc.gob.mx/en/documentos/general-climate-change-law.pdf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Fach</dc:creator>
  <cp:lastModifiedBy>Clea Paz</cp:lastModifiedBy>
  <cp:revision>5</cp:revision>
  <cp:lastPrinted>2014-07-25T13:25:00Z</cp:lastPrinted>
  <dcterms:created xsi:type="dcterms:W3CDTF">2016-05-18T14:41:00Z</dcterms:created>
  <dcterms:modified xsi:type="dcterms:W3CDTF">2016-05-18T15:46:00Z</dcterms:modified>
</cp:coreProperties>
</file>