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35FD4" w14:textId="77777777" w:rsidR="003B5CAD" w:rsidRPr="009F0FCB" w:rsidRDefault="003B5CAD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1273"/>
        <w:gridCol w:w="1935"/>
        <w:gridCol w:w="262"/>
        <w:gridCol w:w="3370"/>
      </w:tblGrid>
      <w:tr w:rsidR="0085559D" w:rsidRPr="009F0FCB" w14:paraId="21083BEF" w14:textId="77777777" w:rsidTr="00876661">
        <w:trPr>
          <w:trHeight w:val="1586"/>
        </w:trPr>
        <w:tc>
          <w:tcPr>
            <w:tcW w:w="56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6D9F1"/>
          </w:tcPr>
          <w:p w14:paraId="175009CE" w14:textId="77777777" w:rsidR="003B5CAD" w:rsidRPr="009F0FCB" w:rsidRDefault="00B10945" w:rsidP="00D8095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noProof/>
                <w:color w:val="1F497D"/>
                <w:lang w:val="en-US"/>
              </w:rPr>
              <w:drawing>
                <wp:inline distT="0" distB="0" distL="0" distR="0" wp14:anchorId="0F3F9580" wp14:editId="155717A9">
                  <wp:extent cx="564515" cy="1096010"/>
                  <wp:effectExtent l="19050" t="0" r="6985" b="0"/>
                  <wp:docPr id="1" name="Picture 1" descr="UNDP_Logo-Blue%20w%20Tagline-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-Blue%20w%20Tagline-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6D9F1"/>
          </w:tcPr>
          <w:p w14:paraId="7494E9BE" w14:textId="77777777" w:rsidR="009C6467" w:rsidRPr="00DD4BFE" w:rsidRDefault="009C6467" w:rsidP="009C6467">
            <w:pPr>
              <w:spacing w:after="0" w:line="240" w:lineRule="auto"/>
              <w:rPr>
                <w:rFonts w:ascii="Arial Narrow" w:hAnsi="Arial Narrow"/>
                <w:b/>
                <w:color w:val="1F497D"/>
                <w:lang w:val="en-US"/>
              </w:rPr>
            </w:pPr>
            <w:r w:rsidRPr="00DD4BFE">
              <w:rPr>
                <w:rFonts w:ascii="Arial Narrow" w:hAnsi="Arial Narrow"/>
                <w:b/>
                <w:color w:val="1F497D"/>
                <w:lang w:val="en-US"/>
              </w:rPr>
              <w:t>Back to Office Report</w:t>
            </w:r>
          </w:p>
          <w:p w14:paraId="0FD809EC" w14:textId="347C5E04" w:rsidR="009C6467" w:rsidRPr="00DD4BFE" w:rsidRDefault="009C6467" w:rsidP="009C6467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D4BFE">
              <w:rPr>
                <w:rFonts w:ascii="Arial Narrow" w:hAnsi="Arial Narrow"/>
                <w:b/>
                <w:color w:val="1F497D"/>
                <w:lang w:val="en-US"/>
              </w:rPr>
              <w:t>Submitted by</w:t>
            </w:r>
            <w:r w:rsidR="004D1602" w:rsidRPr="00DD4BFE">
              <w:rPr>
                <w:rFonts w:ascii="Arial Narrow" w:hAnsi="Arial Narrow"/>
                <w:b/>
                <w:color w:val="1F497D"/>
                <w:lang w:val="en-US"/>
              </w:rPr>
              <w:t>:</w:t>
            </w:r>
            <w:r w:rsidRPr="00DD4BFE">
              <w:rPr>
                <w:rFonts w:ascii="Arial Narrow" w:hAnsi="Arial Narrow"/>
                <w:color w:val="1F497D"/>
                <w:lang w:val="en-US"/>
              </w:rPr>
              <w:t xml:space="preserve"> </w:t>
            </w:r>
            <w:r w:rsidR="00472EC4" w:rsidRPr="00DD4BFE">
              <w:rPr>
                <w:rFonts w:ascii="Arial Narrow" w:hAnsi="Arial Narrow"/>
                <w:lang w:val="en-US"/>
              </w:rPr>
              <w:t>Jose Arturo Santos</w:t>
            </w:r>
          </w:p>
          <w:p w14:paraId="6E016BC9" w14:textId="44FF78BF" w:rsidR="009C6467" w:rsidRPr="009F0FCB" w:rsidRDefault="009C6467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b/>
                <w:color w:val="1F497D"/>
              </w:rPr>
              <w:t>Title</w:t>
            </w:r>
            <w:r w:rsidR="004D1602" w:rsidRPr="009F0FCB">
              <w:rPr>
                <w:rFonts w:ascii="Arial Narrow" w:hAnsi="Arial Narrow"/>
                <w:b/>
                <w:color w:val="1F497D"/>
              </w:rPr>
              <w:t xml:space="preserve">: </w:t>
            </w:r>
            <w:r w:rsidR="00576258">
              <w:rPr>
                <w:rFonts w:ascii="Arial Narrow" w:hAnsi="Arial Narrow"/>
                <w:b/>
              </w:rPr>
              <w:t xml:space="preserve">BTOR misión a Colombia </w:t>
            </w:r>
          </w:p>
          <w:p w14:paraId="4791020B" w14:textId="1326C976" w:rsidR="009C6467" w:rsidRPr="009F0FCB" w:rsidRDefault="009C6467" w:rsidP="004034D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 </w:t>
            </w:r>
            <w:r w:rsidRPr="009F0FCB">
              <w:rPr>
                <w:rFonts w:ascii="Arial Narrow" w:hAnsi="Arial Narrow"/>
                <w:b/>
                <w:color w:val="1F497D"/>
              </w:rPr>
              <w:t>Date submitted</w:t>
            </w:r>
            <w:r w:rsidR="004D1602" w:rsidRPr="009F0FCB">
              <w:rPr>
                <w:rFonts w:ascii="Arial Narrow" w:hAnsi="Arial Narrow"/>
                <w:b/>
                <w:color w:val="1F497D"/>
              </w:rPr>
              <w:t>:</w:t>
            </w:r>
            <w:r w:rsidR="0085559D" w:rsidRPr="009F0FCB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4D1602" w:rsidRPr="009F0FCB">
              <w:rPr>
                <w:rFonts w:ascii="Arial Narrow" w:hAnsi="Arial Narrow"/>
                <w:b/>
                <w:color w:val="1F497D"/>
              </w:rPr>
              <w:t xml:space="preserve"> </w:t>
            </w:r>
            <w:r w:rsidR="00576258">
              <w:rPr>
                <w:rFonts w:ascii="Arial Narrow" w:hAnsi="Arial Narrow"/>
                <w:b/>
                <w:color w:val="1F497D"/>
              </w:rPr>
              <w:t>13-16</w:t>
            </w:r>
            <w:r w:rsidR="00576258">
              <w:rPr>
                <w:rFonts w:ascii="Arial Narrow" w:hAnsi="Arial Narrow"/>
                <w:b/>
              </w:rPr>
              <w:t xml:space="preserve"> Enero 2016</w:t>
            </w:r>
          </w:p>
        </w:tc>
      </w:tr>
      <w:tr w:rsidR="009C6467" w:rsidRPr="009F0FCB" w14:paraId="3C5A88D6" w14:textId="77777777" w:rsidTr="00876661">
        <w:tc>
          <w:tcPr>
            <w:tcW w:w="11190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F014CB" w14:textId="77777777" w:rsidR="003B5CAD" w:rsidRPr="009F0FCB" w:rsidRDefault="003B5CAD" w:rsidP="003D4777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1. </w:t>
            </w:r>
            <w:r w:rsidR="009C6467" w:rsidRPr="009F0FCB">
              <w:rPr>
                <w:rFonts w:ascii="Arial Narrow" w:hAnsi="Arial Narrow"/>
                <w:color w:val="1F497D"/>
              </w:rPr>
              <w:t>Practice area </w:t>
            </w:r>
            <w:r w:rsidR="009C6467" w:rsidRPr="009F0FCB">
              <w:rPr>
                <w:rFonts w:ascii="Arial Narrow" w:hAnsi="Arial Narrow"/>
              </w:rPr>
              <w:t xml:space="preserve">: </w:t>
            </w:r>
            <w:r w:rsidR="00087503" w:rsidRPr="009F0FCB">
              <w:rPr>
                <w:rFonts w:ascii="Arial Narrow" w:hAnsi="Arial Narrow"/>
              </w:rPr>
              <w:t>BPPS</w:t>
            </w:r>
          </w:p>
        </w:tc>
      </w:tr>
      <w:tr w:rsidR="003B5CAD" w:rsidRPr="009F0FCB" w14:paraId="1F147258" w14:textId="77777777" w:rsidTr="00876661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8405274" w14:textId="77777777" w:rsidR="003B5CAD" w:rsidRPr="00DD4BFE" w:rsidRDefault="003B5CAD" w:rsidP="009C6467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DD4BFE">
              <w:rPr>
                <w:rFonts w:ascii="Arial Narrow" w:hAnsi="Arial Narrow"/>
                <w:color w:val="1F497D"/>
                <w:lang w:val="en-US"/>
              </w:rPr>
              <w:t>2. Mission period (incl. of travel days)</w:t>
            </w:r>
            <w:r w:rsidRPr="00DD4BFE">
              <w:rPr>
                <w:rFonts w:ascii="Arial Narrow" w:hAnsi="Arial Narrow"/>
                <w:lang w:val="en-US"/>
              </w:rPr>
              <w:t xml:space="preserve"> </w:t>
            </w:r>
          </w:p>
          <w:p w14:paraId="0D15F995" w14:textId="7AE6C3F2" w:rsidR="00127060" w:rsidRPr="009F0FCB" w:rsidRDefault="005E158A" w:rsidP="004034D4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>From</w:t>
            </w:r>
            <w:r w:rsidR="003B5CAD" w:rsidRPr="009F0FCB">
              <w:rPr>
                <w:rFonts w:ascii="Arial Narrow" w:hAnsi="Arial Narrow"/>
                <w:color w:val="1F497D"/>
              </w:rPr>
              <w:t xml:space="preserve">: </w:t>
            </w:r>
            <w:r w:rsidR="00576258" w:rsidRPr="00576258">
              <w:rPr>
                <w:rFonts w:ascii="Arial Narrow" w:hAnsi="Arial Narrow"/>
                <w:color w:val="000000" w:themeColor="text1"/>
              </w:rPr>
              <w:t xml:space="preserve">13 </w:t>
            </w:r>
            <w:r w:rsidR="00576258" w:rsidRPr="00576258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472EC4" w:rsidRPr="00576258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576258">
              <w:rPr>
                <w:rFonts w:ascii="Arial Narrow" w:hAnsi="Arial Narrow"/>
                <w:bCs/>
                <w:color w:val="000000" w:themeColor="text1"/>
              </w:rPr>
              <w:t>al 16 de E</w:t>
            </w:r>
            <w:r w:rsidR="00576258" w:rsidRPr="00576258">
              <w:rPr>
                <w:rFonts w:ascii="Arial Narrow" w:hAnsi="Arial Narrow"/>
                <w:bCs/>
                <w:color w:val="000000" w:themeColor="text1"/>
              </w:rPr>
              <w:t>nero 2016</w:t>
            </w:r>
            <w:r w:rsidR="00472EC4" w:rsidRPr="00576258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127060" w:rsidRPr="00576258">
              <w:rPr>
                <w:rFonts w:ascii="Arial Narrow" w:hAnsi="Arial Narrow"/>
                <w:bCs/>
                <w:color w:val="000000" w:themeColor="text1"/>
                <w:vertAlign w:val="superscript"/>
              </w:rPr>
              <w:t xml:space="preserve"> </w:t>
            </w:r>
          </w:p>
        </w:tc>
      </w:tr>
      <w:tr w:rsidR="009C6467" w:rsidRPr="009F0FCB" w14:paraId="503BEF9A" w14:textId="77777777" w:rsidTr="00876661"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7349B2" w14:textId="231BC357" w:rsidR="008A1301" w:rsidRPr="009F0FCB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3. </w:t>
            </w:r>
            <w:r w:rsidR="009C6467" w:rsidRPr="009F0FCB">
              <w:rPr>
                <w:rFonts w:ascii="Arial Narrow" w:hAnsi="Arial Narrow"/>
                <w:color w:val="1F497D"/>
              </w:rPr>
              <w:t>Type of mission</w:t>
            </w:r>
            <w:r w:rsidRPr="009F0FCB">
              <w:rPr>
                <w:rFonts w:ascii="Arial Narrow" w:hAnsi="Arial Narrow"/>
                <w:color w:val="1F497D"/>
              </w:rPr>
              <w:t>:</w:t>
            </w:r>
            <w:r w:rsidRPr="009F0FCB">
              <w:rPr>
                <w:rFonts w:ascii="Arial Narrow" w:hAnsi="Arial Narrow"/>
                <w:bCs/>
              </w:rPr>
              <w:t xml:space="preserve"> </w:t>
            </w:r>
            <w:r w:rsidR="00576258">
              <w:rPr>
                <w:rFonts w:ascii="Arial Narrow" w:hAnsi="Arial Narrow"/>
                <w:bCs/>
              </w:rPr>
              <w:t xml:space="preserve">Oficial </w:t>
            </w:r>
          </w:p>
          <w:p w14:paraId="57DF268D" w14:textId="77777777" w:rsidR="009C6467" w:rsidRPr="009F0FCB" w:rsidRDefault="009C6467" w:rsidP="001A58AC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6D6D6DA" w14:textId="77777777" w:rsidR="00443609" w:rsidRPr="009F0FCB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4. </w:t>
            </w:r>
            <w:r w:rsidR="009C6467" w:rsidRPr="009F0FCB">
              <w:rPr>
                <w:rFonts w:ascii="Arial Narrow" w:hAnsi="Arial Narrow"/>
                <w:color w:val="1F497D"/>
              </w:rPr>
              <w:t>Clients</w:t>
            </w:r>
          </w:p>
          <w:p w14:paraId="2E2EB0A8" w14:textId="1C3F66A5" w:rsidR="004034D4" w:rsidRPr="00472EC4" w:rsidRDefault="00576258" w:rsidP="00B55D72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MADS, </w:t>
            </w:r>
            <w:r w:rsidR="00681D56">
              <w:rPr>
                <w:rFonts w:ascii="Arial Narrow" w:hAnsi="Arial Narrow"/>
                <w:bCs/>
              </w:rPr>
              <w:t>UOC</w:t>
            </w:r>
            <w:r>
              <w:rPr>
                <w:rFonts w:ascii="Arial Narrow" w:hAnsi="Arial Narrow"/>
                <w:bCs/>
              </w:rPr>
              <w:t xml:space="preserve"> , PNUD </w:t>
            </w:r>
          </w:p>
        </w:tc>
      </w:tr>
      <w:tr w:rsidR="009C6467" w:rsidRPr="009F0FCB" w14:paraId="4A5DF4BD" w14:textId="77777777" w:rsidTr="00876661">
        <w:trPr>
          <w:trHeight w:val="3493"/>
        </w:trPr>
        <w:tc>
          <w:tcPr>
            <w:tcW w:w="7558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703B3F20" w14:textId="77777777" w:rsidR="00DD4BFE" w:rsidRPr="004D02B3" w:rsidRDefault="00DD4BFE" w:rsidP="00DD4BFE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4D02B3">
              <w:rPr>
                <w:rFonts w:ascii="Arial Narrow" w:hAnsi="Arial Narrow"/>
                <w:color w:val="1F497D"/>
              </w:rPr>
              <w:t>5</w:t>
            </w:r>
            <w:r w:rsidRPr="00C53D99">
              <w:rPr>
                <w:rFonts w:ascii="Arial Narrow" w:hAnsi="Arial Narrow"/>
                <w:color w:val="1F497D"/>
              </w:rPr>
              <w:t>. Purpose of mission</w:t>
            </w:r>
            <w:r w:rsidRPr="004D02B3">
              <w:rPr>
                <w:rFonts w:ascii="Arial Narrow" w:hAnsi="Arial Narrow"/>
                <w:color w:val="1F497D"/>
              </w:rPr>
              <w:t xml:space="preserve"> </w:t>
            </w:r>
          </w:p>
          <w:p w14:paraId="295EB192" w14:textId="4532A238" w:rsidR="0061014F" w:rsidRPr="00A2296D" w:rsidRDefault="0061014F" w:rsidP="00610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96D">
              <w:rPr>
                <w:rFonts w:ascii="Arial" w:hAnsi="Arial" w:cs="Arial"/>
                <w:sz w:val="20"/>
                <w:szCs w:val="20"/>
              </w:rPr>
              <w:t>Generar un espacio de trabajo con el equipo de ONU-REDD nacional y funcionarios del MADS así como de otros programas (</w:t>
            </w:r>
            <w:r w:rsidR="004809A7" w:rsidRPr="00A2296D">
              <w:rPr>
                <w:rFonts w:ascii="Arial" w:hAnsi="Arial" w:cs="Arial"/>
                <w:sz w:val="20"/>
                <w:szCs w:val="20"/>
              </w:rPr>
              <w:t>GIZ,</w:t>
            </w:r>
            <w:r w:rsidRPr="00A22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0EA">
              <w:rPr>
                <w:rFonts w:ascii="Arial" w:hAnsi="Arial" w:cs="Arial"/>
                <w:sz w:val="20"/>
                <w:szCs w:val="20"/>
              </w:rPr>
              <w:t>FCPF</w:t>
            </w:r>
            <w:r w:rsidR="004809A7" w:rsidRPr="00A2296D">
              <w:rPr>
                <w:rFonts w:ascii="Arial" w:hAnsi="Arial" w:cs="Arial"/>
                <w:sz w:val="20"/>
                <w:szCs w:val="20"/>
              </w:rPr>
              <w:t>,</w:t>
            </w:r>
            <w:r w:rsidRPr="00A2296D">
              <w:rPr>
                <w:rFonts w:ascii="Arial" w:hAnsi="Arial" w:cs="Arial"/>
                <w:sz w:val="20"/>
                <w:szCs w:val="20"/>
              </w:rPr>
              <w:t xml:space="preserve"> Visión Amazonia</w:t>
            </w:r>
            <w:r w:rsidR="004809A7" w:rsidRPr="00A2296D">
              <w:rPr>
                <w:rFonts w:ascii="Arial" w:hAnsi="Arial" w:cs="Arial"/>
                <w:sz w:val="20"/>
                <w:szCs w:val="20"/>
              </w:rPr>
              <w:t>),</w:t>
            </w:r>
            <w:r w:rsidRPr="00A2296D">
              <w:rPr>
                <w:rFonts w:ascii="Arial" w:hAnsi="Arial" w:cs="Arial"/>
                <w:sz w:val="20"/>
                <w:szCs w:val="20"/>
              </w:rPr>
              <w:t xml:space="preserve"> para avanzar en el desarrollo del  plan de  participación e involucramiento de actores  REDD+ y su articulación con todos los </w:t>
            </w:r>
            <w:r w:rsidR="005D10EA">
              <w:rPr>
                <w:rFonts w:ascii="Arial" w:hAnsi="Arial" w:cs="Arial"/>
                <w:sz w:val="20"/>
                <w:szCs w:val="20"/>
              </w:rPr>
              <w:t>resultado</w:t>
            </w:r>
            <w:r w:rsidRPr="00A2296D">
              <w:rPr>
                <w:rFonts w:ascii="Arial" w:hAnsi="Arial" w:cs="Arial"/>
                <w:sz w:val="20"/>
                <w:szCs w:val="20"/>
              </w:rPr>
              <w:t>s del Programa.</w:t>
            </w:r>
            <w:r w:rsidR="005D10EA">
              <w:rPr>
                <w:rFonts w:ascii="Arial" w:hAnsi="Arial" w:cs="Arial"/>
                <w:sz w:val="20"/>
                <w:szCs w:val="20"/>
              </w:rPr>
              <w:t xml:space="preserve"> En particular:</w:t>
            </w:r>
          </w:p>
          <w:p w14:paraId="52F31E30" w14:textId="0FA5641A" w:rsidR="0061014F" w:rsidRPr="00A2296D" w:rsidRDefault="0061014F" w:rsidP="0061014F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902762">
              <w:rPr>
                <w:rFonts w:ascii="Arial" w:hAnsi="Arial" w:cs="Arial"/>
                <w:sz w:val="20"/>
                <w:szCs w:val="20"/>
                <w:lang w:val="es-CO"/>
              </w:rPr>
              <w:t>eguimiento de acuerdos</w:t>
            </w: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902762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>misión noviembre del 2015</w:t>
            </w:r>
            <w:r w:rsidR="00902762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  <w:p w14:paraId="5AE5B8E8" w14:textId="29A862FB" w:rsidR="0061014F" w:rsidRPr="00A2296D" w:rsidRDefault="0061014F" w:rsidP="0061014F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 xml:space="preserve">Revisión y ajuste del mapeo análisis y caracterización de actores </w:t>
            </w:r>
          </w:p>
          <w:p w14:paraId="119C1258" w14:textId="6953EA6D" w:rsidR="0061014F" w:rsidRPr="00A2296D" w:rsidRDefault="00902762" w:rsidP="0061014F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Revisión y ajuste del borrador </w:t>
            </w:r>
            <w:r w:rsidR="0061014F" w:rsidRPr="00A2296D">
              <w:rPr>
                <w:rFonts w:ascii="Arial" w:hAnsi="Arial" w:cs="Arial"/>
                <w:sz w:val="20"/>
                <w:szCs w:val="20"/>
                <w:lang w:val="es-CO"/>
              </w:rPr>
              <w:t xml:space="preserve"> del Plan de Participación e Involucramiento de actores REDD+ Colombia </w:t>
            </w:r>
          </w:p>
          <w:p w14:paraId="2B7877C9" w14:textId="42861137" w:rsidR="0061014F" w:rsidRPr="00A2296D" w:rsidRDefault="0061014F" w:rsidP="0061014F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 xml:space="preserve">Revisión de resultados del POA 2015  y plan de trabajo 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>resultado</w:t>
            </w:r>
            <w:r w:rsidR="005D10EA" w:rsidRPr="00A2296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A2296D">
              <w:rPr>
                <w:rFonts w:ascii="Arial" w:hAnsi="Arial" w:cs="Arial"/>
                <w:sz w:val="20"/>
                <w:szCs w:val="20"/>
                <w:lang w:val="es-CO"/>
              </w:rPr>
              <w:t>1 para 2016: Alcances y Retos</w:t>
            </w:r>
          </w:p>
          <w:p w14:paraId="0A402695" w14:textId="07EBD331" w:rsidR="00574AB1" w:rsidRPr="00DD4BFE" w:rsidRDefault="00574AB1" w:rsidP="0061014F">
            <w:pPr>
              <w:jc w:val="both"/>
              <w:rPr>
                <w:rFonts w:ascii="Arial Narrow" w:hAnsi="Arial Narrow"/>
                <w:color w:val="1F497D"/>
                <w:lang w:val="es-419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14CC64" w14:textId="77777777" w:rsidR="004D1602" w:rsidRPr="009F0FCB" w:rsidRDefault="003B5CAD" w:rsidP="00822784">
            <w:pPr>
              <w:spacing w:after="0" w:line="240" w:lineRule="auto"/>
              <w:rPr>
                <w:rFonts w:ascii="Arial Narrow" w:hAnsi="Arial Narrow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6. </w:t>
            </w:r>
            <w:r w:rsidR="009C6467" w:rsidRPr="009F0FCB">
              <w:rPr>
                <w:rFonts w:ascii="Arial Narrow" w:hAnsi="Arial Narrow"/>
                <w:color w:val="1F497D"/>
              </w:rPr>
              <w:t>Documents, materials, resources</w:t>
            </w:r>
            <w:r w:rsidR="00574AB1" w:rsidRPr="009F0FCB">
              <w:rPr>
                <w:rFonts w:ascii="Arial Narrow" w:hAnsi="Arial Narrow"/>
              </w:rPr>
              <w:t xml:space="preserve"> </w:t>
            </w:r>
          </w:p>
          <w:p w14:paraId="6AF1F3E1" w14:textId="77777777" w:rsidR="004D1602" w:rsidRPr="009F0FCB" w:rsidRDefault="004D1602" w:rsidP="00822784">
            <w:pPr>
              <w:spacing w:after="0" w:line="240" w:lineRule="auto"/>
              <w:rPr>
                <w:rFonts w:ascii="Arial Narrow" w:hAnsi="Arial Narrow"/>
              </w:rPr>
            </w:pPr>
          </w:p>
          <w:p w14:paraId="455E1C3D" w14:textId="324EB23A" w:rsidR="002E0A2C" w:rsidRPr="00876661" w:rsidRDefault="001B03B2" w:rsidP="0087666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661">
              <w:rPr>
                <w:rFonts w:ascii="Arial" w:hAnsi="Arial" w:cs="Arial"/>
                <w:sz w:val="20"/>
                <w:szCs w:val="20"/>
              </w:rPr>
              <w:t>Tabla de seguimiento</w:t>
            </w:r>
          </w:p>
          <w:p w14:paraId="5FD35B2F" w14:textId="77F730F1" w:rsidR="002E0A2C" w:rsidRPr="009F0FCB" w:rsidRDefault="002E0A2C" w:rsidP="002E0A2C">
            <w:pPr>
              <w:pStyle w:val="ListParagraph"/>
              <w:rPr>
                <w:rFonts w:ascii="Arial Narrow" w:hAnsi="Arial Narrow"/>
                <w:color w:val="1F497D"/>
                <w:lang w:val="en-US"/>
              </w:rPr>
            </w:pPr>
          </w:p>
        </w:tc>
      </w:tr>
      <w:tr w:rsidR="009C6467" w:rsidRPr="009F0FCB" w14:paraId="04E77C9D" w14:textId="77777777" w:rsidTr="00876661">
        <w:tc>
          <w:tcPr>
            <w:tcW w:w="755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82C843" w14:textId="466E20A2" w:rsidR="00B533E9" w:rsidRPr="009F0FCB" w:rsidRDefault="003B5CAD" w:rsidP="009C646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7. </w:t>
            </w:r>
            <w:r w:rsidR="009C6467" w:rsidRPr="009F0FCB">
              <w:rPr>
                <w:rFonts w:ascii="Arial Narrow" w:hAnsi="Arial Narrow"/>
                <w:color w:val="1F497D"/>
              </w:rPr>
              <w:t>Mission members</w:t>
            </w:r>
            <w:r w:rsidR="00087503" w:rsidRPr="009F0FCB">
              <w:rPr>
                <w:rFonts w:ascii="Arial Narrow" w:hAnsi="Arial Narrow"/>
                <w:color w:val="1F497D"/>
              </w:rPr>
              <w:t xml:space="preserve"> </w:t>
            </w:r>
          </w:p>
          <w:p w14:paraId="61495E65" w14:textId="4BC727C1" w:rsidR="009C6467" w:rsidRPr="00E3314F" w:rsidRDefault="008D25BD" w:rsidP="00681D56">
            <w:pPr>
              <w:tabs>
                <w:tab w:val="left" w:pos="7755"/>
              </w:tabs>
              <w:jc w:val="both"/>
              <w:rPr>
                <w:rFonts w:ascii="Arial Narrow" w:hAnsi="Arial Narrow"/>
                <w:color w:val="1F497D"/>
                <w:lang w:val="es-419"/>
              </w:rPr>
            </w:pPr>
            <w:r>
              <w:rPr>
                <w:rFonts w:ascii="Arial Narrow" w:hAnsi="Arial Narrow"/>
                <w:bCs/>
                <w:lang w:val="es-419"/>
              </w:rPr>
              <w:t xml:space="preserve">Arturo Santos (UN-REDD) </w:t>
            </w:r>
            <w:r w:rsidR="00A2296D">
              <w:rPr>
                <w:rFonts w:ascii="Arial Narrow" w:hAnsi="Arial Narrow"/>
                <w:bCs/>
                <w:lang w:val="es-419"/>
              </w:rPr>
              <w:t>, U</w:t>
            </w:r>
            <w:r w:rsidR="00681D56">
              <w:rPr>
                <w:rFonts w:ascii="Arial Narrow" w:hAnsi="Arial Narrow"/>
                <w:bCs/>
                <w:lang w:val="es-419"/>
              </w:rPr>
              <w:t>nidad de Coordinación del Programa Nacional ONU-REDD Colombia (UOC)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6B74166" w14:textId="77777777" w:rsidR="003B5CAD" w:rsidRPr="009F0FCB" w:rsidRDefault="003B5CAD" w:rsidP="003D4777">
            <w:pPr>
              <w:spacing w:after="0" w:line="240" w:lineRule="auto"/>
              <w:rPr>
                <w:rFonts w:ascii="Arial Narrow" w:hAnsi="Arial Narrow"/>
                <w:color w:val="1F497D"/>
              </w:rPr>
            </w:pPr>
            <w:r w:rsidRPr="009F0FCB">
              <w:rPr>
                <w:rFonts w:ascii="Arial Narrow" w:hAnsi="Arial Narrow"/>
                <w:color w:val="1F497D"/>
              </w:rPr>
              <w:t xml:space="preserve">8. </w:t>
            </w:r>
            <w:r w:rsidR="009C6467" w:rsidRPr="009F0FCB">
              <w:rPr>
                <w:rFonts w:ascii="Arial Narrow" w:hAnsi="Arial Narrow"/>
                <w:color w:val="1F497D"/>
              </w:rPr>
              <w:t>Costs</w:t>
            </w:r>
          </w:p>
          <w:p w14:paraId="4F54D7CC" w14:textId="4823CDFD" w:rsidR="004D1602" w:rsidRPr="009F0FCB" w:rsidRDefault="005612EA" w:rsidP="00D0610F">
            <w:pPr>
              <w:spacing w:after="0" w:line="240" w:lineRule="auto"/>
              <w:rPr>
                <w:rFonts w:ascii="Arial Narrow" w:hAnsi="Arial Narrow"/>
              </w:rPr>
            </w:pPr>
            <w:r w:rsidRPr="009F0FCB">
              <w:rPr>
                <w:rFonts w:ascii="Arial Narrow" w:hAnsi="Arial Narrow"/>
              </w:rPr>
              <w:t>US $</w:t>
            </w:r>
            <w:r w:rsidR="00D0610F" w:rsidRPr="009F0FCB">
              <w:rPr>
                <w:rFonts w:ascii="Arial Narrow" w:hAnsi="Arial Narrow"/>
              </w:rPr>
              <w:t xml:space="preserve">905,5 </w:t>
            </w:r>
          </w:p>
        </w:tc>
      </w:tr>
      <w:tr w:rsidR="009C6467" w:rsidRPr="00AE74AE" w14:paraId="2E799EF9" w14:textId="77777777" w:rsidTr="00876661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A43BCC" w14:textId="2FC7BC01" w:rsidR="00866975" w:rsidRDefault="003B5CA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02762">
              <w:rPr>
                <w:rFonts w:ascii="Arial" w:hAnsi="Arial" w:cs="Arial"/>
                <w:color w:val="1F497D"/>
                <w:sz w:val="20"/>
                <w:szCs w:val="20"/>
              </w:rPr>
              <w:t xml:space="preserve">9. </w:t>
            </w:r>
            <w:r w:rsidR="009C6467" w:rsidRPr="00902762">
              <w:rPr>
                <w:rFonts w:ascii="Arial" w:hAnsi="Arial" w:cs="Arial"/>
                <w:color w:val="1F497D"/>
                <w:sz w:val="20"/>
                <w:szCs w:val="20"/>
              </w:rPr>
              <w:t xml:space="preserve">Brief summary of the mission </w:t>
            </w:r>
          </w:p>
          <w:p w14:paraId="01325EE7" w14:textId="77777777" w:rsidR="005D10EA" w:rsidRPr="00902762" w:rsidRDefault="005D10EA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ABE53C8" w14:textId="69472498" w:rsidR="00681D56" w:rsidRDefault="00681D56" w:rsidP="00681D56">
            <w:pPr>
              <w:spacing w:after="0" w:line="240" w:lineRule="auto"/>
              <w:rPr>
                <w:rFonts w:ascii="Arial" w:hAnsi="Arial" w:cs="Arial"/>
                <w:i/>
                <w:color w:val="1F497D"/>
                <w:sz w:val="20"/>
                <w:szCs w:val="20"/>
              </w:rPr>
            </w:pPr>
            <w:r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 xml:space="preserve">9.a </w:t>
            </w:r>
            <w:r>
              <w:rPr>
                <w:rFonts w:ascii="Arial" w:hAnsi="Arial" w:cs="Arial"/>
                <w:i/>
                <w:color w:val="1F497D"/>
                <w:sz w:val="20"/>
                <w:szCs w:val="20"/>
              </w:rPr>
              <w:t>Background</w:t>
            </w:r>
          </w:p>
          <w:p w14:paraId="62841BFB" w14:textId="77777777" w:rsidR="005D10EA" w:rsidRPr="00902762" w:rsidRDefault="005D10EA" w:rsidP="00681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CE67F" w14:textId="1F01D860" w:rsidR="0061014F" w:rsidRPr="00902762" w:rsidRDefault="00A2296D" w:rsidP="00610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762">
              <w:rPr>
                <w:rFonts w:ascii="Arial" w:hAnsi="Arial" w:cs="Arial"/>
                <w:sz w:val="20"/>
                <w:szCs w:val="20"/>
              </w:rPr>
              <w:t xml:space="preserve">El proceso de participación de actores </w:t>
            </w:r>
            <w:r w:rsidR="00DD4BFE">
              <w:rPr>
                <w:rFonts w:ascii="Arial" w:hAnsi="Arial" w:cs="Arial"/>
                <w:sz w:val="20"/>
                <w:szCs w:val="20"/>
              </w:rPr>
              <w:t>del proceso</w:t>
            </w:r>
            <w:r w:rsidR="00DD4BFE" w:rsidRPr="00902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762">
              <w:rPr>
                <w:rFonts w:ascii="Arial" w:hAnsi="Arial" w:cs="Arial"/>
                <w:sz w:val="20"/>
                <w:szCs w:val="20"/>
              </w:rPr>
              <w:t>REDD+</w:t>
            </w:r>
            <w:r w:rsidR="00DD4BFE">
              <w:rPr>
                <w:rFonts w:ascii="Arial" w:hAnsi="Arial" w:cs="Arial"/>
                <w:sz w:val="20"/>
                <w:szCs w:val="20"/>
              </w:rPr>
              <w:t xml:space="preserve"> en Colombia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014F" w:rsidRPr="00902762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681D56">
              <w:rPr>
                <w:rFonts w:ascii="Arial" w:hAnsi="Arial" w:cs="Arial"/>
                <w:sz w:val="20"/>
                <w:szCs w:val="20"/>
              </w:rPr>
              <w:t>inició</w:t>
            </w:r>
            <w:r w:rsidR="00DD4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sobre la base </w:t>
            </w:r>
            <w:r w:rsidR="0061014F" w:rsidRPr="00902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</w:rPr>
              <w:t>de</w:t>
            </w:r>
            <w:r w:rsidR="0061014F" w:rsidRPr="00902762">
              <w:rPr>
                <w:rFonts w:ascii="Arial" w:hAnsi="Arial" w:cs="Arial"/>
                <w:sz w:val="20"/>
                <w:szCs w:val="20"/>
              </w:rPr>
              <w:t xml:space="preserve"> diálogos tempranos iniciados en el  2009 por MADS  y tomando como referencia los procesos participativos que se están llevando adelante en el marco de FCPF</w:t>
            </w:r>
            <w:r w:rsidRPr="00902762">
              <w:rPr>
                <w:rFonts w:ascii="Arial" w:hAnsi="Arial" w:cs="Arial"/>
                <w:sz w:val="20"/>
                <w:szCs w:val="20"/>
              </w:rPr>
              <w:t>, ONU-REDD, GIZ, Visión Amazonia</w:t>
            </w:r>
            <w:r w:rsidR="00681D56">
              <w:rPr>
                <w:rFonts w:ascii="Arial" w:hAnsi="Arial" w:cs="Arial"/>
                <w:sz w:val="20"/>
                <w:szCs w:val="20"/>
              </w:rPr>
              <w:t xml:space="preserve">, así como siguiendo los </w:t>
            </w:r>
            <w:r w:rsidR="0061014F" w:rsidRPr="00902762">
              <w:rPr>
                <w:rFonts w:ascii="Arial" w:hAnsi="Arial" w:cs="Arial"/>
                <w:sz w:val="20"/>
                <w:szCs w:val="20"/>
              </w:rPr>
              <w:t xml:space="preserve"> lineamientos específicos  indicados por el Ministerio del Interior. </w:t>
            </w:r>
          </w:p>
          <w:p w14:paraId="72735560" w14:textId="3EE0C187" w:rsidR="0061014F" w:rsidRPr="00902762" w:rsidRDefault="0061014F" w:rsidP="00610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762">
              <w:rPr>
                <w:rFonts w:ascii="Arial" w:hAnsi="Arial" w:cs="Arial"/>
                <w:sz w:val="20"/>
                <w:szCs w:val="20"/>
              </w:rPr>
              <w:t xml:space="preserve">Hasta la fecha, se llevaron a cabo </w:t>
            </w:r>
            <w:r w:rsidR="00681D56">
              <w:rPr>
                <w:rFonts w:ascii="Arial" w:hAnsi="Arial" w:cs="Arial"/>
                <w:sz w:val="20"/>
                <w:szCs w:val="20"/>
              </w:rPr>
              <w:t>diálogos tempranos</w:t>
            </w:r>
            <w:r w:rsidR="00681D56" w:rsidRPr="009027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1D56">
              <w:rPr>
                <w:rFonts w:ascii="Arial" w:hAnsi="Arial" w:cs="Arial"/>
                <w:sz w:val="20"/>
                <w:szCs w:val="20"/>
              </w:rPr>
              <w:t>sobre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REDD</w:t>
            </w:r>
            <w:r w:rsidR="00681D56">
              <w:rPr>
                <w:rFonts w:ascii="Arial" w:hAnsi="Arial" w:cs="Arial"/>
                <w:sz w:val="20"/>
                <w:szCs w:val="20"/>
              </w:rPr>
              <w:t>+ en el marco de la preparación del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D4BFE">
              <w:rPr>
                <w:rFonts w:ascii="Arial" w:hAnsi="Arial" w:cs="Arial"/>
                <w:sz w:val="20"/>
                <w:szCs w:val="20"/>
              </w:rPr>
              <w:t>-</w:t>
            </w:r>
            <w:r w:rsidRPr="00902762">
              <w:rPr>
                <w:rFonts w:ascii="Arial" w:hAnsi="Arial" w:cs="Arial"/>
                <w:sz w:val="20"/>
                <w:szCs w:val="20"/>
              </w:rPr>
              <w:t>PP y el proceso FCPF/SESA</w:t>
            </w:r>
            <w:r w:rsidR="00681D56">
              <w:rPr>
                <w:rFonts w:ascii="Arial" w:hAnsi="Arial" w:cs="Arial"/>
                <w:sz w:val="20"/>
                <w:szCs w:val="20"/>
              </w:rPr>
              <w:t>,</w:t>
            </w:r>
            <w:r w:rsidR="00DD4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DD4BFE">
              <w:rPr>
                <w:rFonts w:ascii="Arial" w:hAnsi="Arial" w:cs="Arial"/>
                <w:sz w:val="20"/>
                <w:szCs w:val="20"/>
              </w:rPr>
              <w:t>incluye</w:t>
            </w:r>
            <w:r w:rsidR="00681D56">
              <w:rPr>
                <w:rFonts w:ascii="Arial" w:hAnsi="Arial" w:cs="Arial"/>
                <w:sz w:val="20"/>
                <w:szCs w:val="20"/>
              </w:rPr>
              <w:t>ron</w:t>
            </w:r>
            <w:r w:rsidR="004809A7" w:rsidRPr="00902762">
              <w:rPr>
                <w:rFonts w:ascii="Arial" w:hAnsi="Arial" w:cs="Arial"/>
                <w:sz w:val="20"/>
                <w:szCs w:val="20"/>
              </w:rPr>
              <w:t xml:space="preserve"> reuniones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formales e informale</w:t>
            </w:r>
            <w:r w:rsidR="00681D5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902762">
              <w:rPr>
                <w:rFonts w:ascii="Arial" w:hAnsi="Arial" w:cs="Arial"/>
                <w:sz w:val="20"/>
                <w:szCs w:val="20"/>
              </w:rPr>
              <w:t>con organizaciones académicas e instituciones de investigación, funcionarios gubernamentales, líderes civiles y la sociedad civil organizada. Por el otro,</w:t>
            </w:r>
            <w:r w:rsidR="00876661">
              <w:rPr>
                <w:rFonts w:ascii="Arial" w:hAnsi="Arial" w:cs="Arial"/>
                <w:sz w:val="20"/>
                <w:szCs w:val="20"/>
              </w:rPr>
              <w:t xml:space="preserve"> MADS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 organiz</w:t>
            </w:r>
            <w:r w:rsidR="00876661">
              <w:rPr>
                <w:rFonts w:ascii="Arial" w:hAnsi="Arial" w:cs="Arial"/>
                <w:sz w:val="20"/>
                <w:szCs w:val="20"/>
              </w:rPr>
              <w:t>o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talleres en distintas localidades regionales  donde se logró la participación de actores que pueden llegar a ser afectados por REDD+ o que podrían ser posibles receptores de eventuales beneficios (por ejemplo, Pueblos Originarios (PO), comunidades locales y agricultores familiares) Comunidades Afros, como así también del sector privado (empresas madereras, grandes agricultores rurales, empresas que desarrollan proyectos, etc.), muchas veces está directamente vinculado a las causas de deforestación.</w:t>
            </w:r>
          </w:p>
          <w:p w14:paraId="1EA5D3E3" w14:textId="7D323F41" w:rsidR="004809A7" w:rsidRPr="00902762" w:rsidRDefault="004809A7" w:rsidP="00610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762">
              <w:rPr>
                <w:rFonts w:ascii="Arial" w:hAnsi="Arial" w:cs="Arial"/>
                <w:sz w:val="20"/>
                <w:szCs w:val="20"/>
              </w:rPr>
              <w:t xml:space="preserve">A pesar de los diversos esfuerzos realizados por </w:t>
            </w:r>
            <w:r w:rsidR="00681D56" w:rsidRPr="00902762">
              <w:rPr>
                <w:rFonts w:ascii="Arial" w:hAnsi="Arial" w:cs="Arial"/>
                <w:sz w:val="20"/>
                <w:szCs w:val="20"/>
              </w:rPr>
              <w:t>Colombia,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uno de los grandes vacíos del procesos REDD+, es no contar  con un Plan de Participación e </w:t>
            </w:r>
            <w:r w:rsidR="00681D56">
              <w:rPr>
                <w:rFonts w:ascii="Arial" w:hAnsi="Arial" w:cs="Arial"/>
                <w:sz w:val="20"/>
                <w:szCs w:val="20"/>
              </w:rPr>
              <w:t>I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nvolucramiento de </w:t>
            </w:r>
            <w:r w:rsidR="00681D56">
              <w:rPr>
                <w:rFonts w:ascii="Arial" w:hAnsi="Arial" w:cs="Arial"/>
                <w:sz w:val="20"/>
                <w:szCs w:val="20"/>
              </w:rPr>
              <w:t>A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ctores consensuado entre </w:t>
            </w:r>
            <w:r w:rsidR="00681D56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organizaciones que cooperan </w:t>
            </w:r>
            <w:r w:rsidR="00681D56">
              <w:rPr>
                <w:rFonts w:ascii="Arial" w:hAnsi="Arial" w:cs="Arial"/>
                <w:sz w:val="20"/>
                <w:szCs w:val="20"/>
              </w:rPr>
              <w:t>en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REDD+ (GIZ, </w:t>
            </w:r>
            <w:bookmarkStart w:id="0" w:name="_GoBack"/>
            <w:bookmarkEnd w:id="0"/>
            <w:r w:rsidRPr="00902762">
              <w:rPr>
                <w:rFonts w:ascii="Arial" w:hAnsi="Arial" w:cs="Arial"/>
                <w:sz w:val="20"/>
                <w:szCs w:val="20"/>
              </w:rPr>
              <w:t>FCPF, Visión Amazonia</w:t>
            </w:r>
            <w:r w:rsidR="00DD4BFE">
              <w:rPr>
                <w:rFonts w:ascii="Arial" w:hAnsi="Arial" w:cs="Arial"/>
                <w:sz w:val="20"/>
                <w:szCs w:val="20"/>
              </w:rPr>
              <w:t>, y otros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5D10EA">
              <w:rPr>
                <w:rFonts w:ascii="Arial" w:hAnsi="Arial" w:cs="Arial"/>
                <w:sz w:val="20"/>
                <w:szCs w:val="20"/>
              </w:rPr>
              <w:t>El resultado 1 del Programa Nacional ONU-RED pretende apoyar a que los actores relevantes tome</w:t>
            </w:r>
            <w:r w:rsidR="005D10EA" w:rsidRPr="005D10EA">
              <w:rPr>
                <w:rFonts w:ascii="Arial" w:hAnsi="Arial" w:cs="Arial"/>
                <w:sz w:val="20"/>
                <w:szCs w:val="20"/>
              </w:rPr>
              <w:t>n decisiones informadas en la preparación e implementación de la estrategia nacional REDD+</w:t>
            </w:r>
            <w:r w:rsidR="005D10EA">
              <w:rPr>
                <w:rFonts w:ascii="Arial" w:hAnsi="Arial" w:cs="Arial"/>
                <w:sz w:val="20"/>
                <w:szCs w:val="20"/>
              </w:rPr>
              <w:t>, e incluye la preparación de dicho plan.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 Este documento </w:t>
            </w:r>
            <w:r w:rsidR="00AB7525">
              <w:rPr>
                <w:rFonts w:ascii="Arial" w:hAnsi="Arial" w:cs="Arial"/>
                <w:sz w:val="20"/>
                <w:szCs w:val="20"/>
              </w:rPr>
              <w:t xml:space="preserve">podría aportar  las bases para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la participación e involucramiento de actores  a diversos niveles y con claridad de espacios por fortalecer y/o generar</w:t>
            </w:r>
            <w:r w:rsidR="00A2296D" w:rsidRPr="00902762">
              <w:rPr>
                <w:rFonts w:ascii="Arial" w:hAnsi="Arial" w:cs="Arial"/>
                <w:sz w:val="20"/>
                <w:szCs w:val="20"/>
              </w:rPr>
              <w:t>,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roles y funciones definidas para cada espacio de </w:t>
            </w:r>
            <w:r w:rsidRPr="00902762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participación,  lineamientos básicos que </w:t>
            </w:r>
            <w:r w:rsidR="005D10EA" w:rsidRPr="00902762">
              <w:rPr>
                <w:rFonts w:ascii="Arial" w:hAnsi="Arial" w:cs="Arial"/>
                <w:sz w:val="20"/>
                <w:szCs w:val="20"/>
              </w:rPr>
              <w:t>permi</w:t>
            </w:r>
            <w:r w:rsidR="005D10EA">
              <w:rPr>
                <w:rFonts w:ascii="Arial" w:hAnsi="Arial" w:cs="Arial"/>
                <w:sz w:val="20"/>
                <w:szCs w:val="20"/>
              </w:rPr>
              <w:t>tirán</w:t>
            </w:r>
            <w:r w:rsidR="005D10EA" w:rsidRPr="009027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sin importar quien  implementa los procesos en cada  una de las 6 regiones del país,  que  los resultados </w:t>
            </w:r>
            <w:r w:rsidR="005D10EA" w:rsidRPr="00902762">
              <w:rPr>
                <w:rFonts w:ascii="Arial" w:hAnsi="Arial" w:cs="Arial"/>
                <w:sz w:val="20"/>
                <w:szCs w:val="20"/>
              </w:rPr>
              <w:t>sum</w:t>
            </w:r>
            <w:r w:rsidR="005D10EA">
              <w:rPr>
                <w:rFonts w:ascii="Arial" w:hAnsi="Arial" w:cs="Arial"/>
                <w:sz w:val="20"/>
                <w:szCs w:val="20"/>
              </w:rPr>
              <w:t>e</w:t>
            </w:r>
            <w:r w:rsidR="005D10EA" w:rsidRPr="0090276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5D10EA">
              <w:rPr>
                <w:rFonts w:ascii="Arial" w:hAnsi="Arial" w:cs="Arial"/>
                <w:sz w:val="20"/>
                <w:szCs w:val="20"/>
              </w:rPr>
              <w:t xml:space="preserve">a la estrategia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nacional </w:t>
            </w:r>
            <w:r w:rsidR="005D10E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REDD+.  </w:t>
            </w:r>
          </w:p>
          <w:p w14:paraId="5ABE5DE4" w14:textId="43515E0A" w:rsidR="004809A7" w:rsidRPr="00902762" w:rsidRDefault="004809A7" w:rsidP="00610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762">
              <w:rPr>
                <w:rFonts w:ascii="Arial" w:hAnsi="Arial" w:cs="Arial"/>
                <w:sz w:val="20"/>
                <w:szCs w:val="20"/>
              </w:rPr>
              <w:t>En reuniones pr</w:t>
            </w:r>
            <w:r w:rsidR="00902762" w:rsidRPr="00902762">
              <w:rPr>
                <w:rFonts w:ascii="Arial" w:hAnsi="Arial" w:cs="Arial"/>
                <w:sz w:val="20"/>
                <w:szCs w:val="20"/>
              </w:rPr>
              <w:t xml:space="preserve">evias con el MADS (Nov 2015) se </w:t>
            </w:r>
            <w:r w:rsidR="00DD4BFE">
              <w:rPr>
                <w:rFonts w:ascii="Arial" w:hAnsi="Arial" w:cs="Arial"/>
                <w:sz w:val="20"/>
                <w:szCs w:val="20"/>
              </w:rPr>
              <w:t>acordó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un diagrama q</w:t>
            </w:r>
            <w:r w:rsidR="00902762" w:rsidRPr="00902762">
              <w:rPr>
                <w:rFonts w:ascii="Arial" w:hAnsi="Arial" w:cs="Arial"/>
                <w:sz w:val="20"/>
                <w:szCs w:val="20"/>
              </w:rPr>
              <w:t>ue presenta la ruta del proceso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de participación e involucramiento de actores generado por el PNC, indicando a un nivel macro los componentes, momentos, acciones y resultados por lograr</w:t>
            </w:r>
            <w:r w:rsidR="00902762" w:rsidRPr="00902762">
              <w:rPr>
                <w:rFonts w:ascii="Arial" w:hAnsi="Arial" w:cs="Arial"/>
                <w:sz w:val="20"/>
                <w:szCs w:val="20"/>
              </w:rPr>
              <w:t>. MADS solicitó que se avanzara</w:t>
            </w:r>
            <w:r w:rsidRPr="00902762">
              <w:rPr>
                <w:rFonts w:ascii="Arial" w:hAnsi="Arial" w:cs="Arial"/>
                <w:sz w:val="20"/>
                <w:szCs w:val="20"/>
              </w:rPr>
              <w:t xml:space="preserve"> en PPIA (Plan de participación e involucramiento de actores) para que el mismo sea consensuado con otras iniciativas que impulsan REDD+. </w:t>
            </w:r>
          </w:p>
          <w:p w14:paraId="1A96D3C2" w14:textId="77777777" w:rsidR="00F643C4" w:rsidRPr="00902762" w:rsidRDefault="00F643C4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7467A5E" w14:textId="23917FEC" w:rsidR="00087503" w:rsidRPr="00902762" w:rsidRDefault="003B5CAD" w:rsidP="004D02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>9.</w:t>
            </w:r>
            <w:r w:rsidR="00681D56">
              <w:rPr>
                <w:rFonts w:ascii="Arial" w:hAnsi="Arial" w:cs="Arial"/>
                <w:i/>
                <w:color w:val="1F497D"/>
                <w:sz w:val="20"/>
                <w:szCs w:val="20"/>
              </w:rPr>
              <w:t>b</w:t>
            </w:r>
            <w:r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 xml:space="preserve"> </w:t>
            </w:r>
            <w:r w:rsidR="009C6467"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>Findings</w:t>
            </w:r>
            <w:r w:rsidR="005F26E8" w:rsidRPr="009027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489587" w14:textId="2E91A907" w:rsidR="00133956" w:rsidRPr="00902762" w:rsidRDefault="004809A7" w:rsidP="004809A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 xml:space="preserve">xiste un avance limitado de los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productos y resultados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 xml:space="preserve"> acordados en  la misión Nov del 2015 con el equipo de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participación e involucramiento de actores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 xml:space="preserve">. A la vez,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las demandas crecen por parte de MADS y la coordinación del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PN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="004738E0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ya que al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no contar con el mapeo de actores, caracterización de sectores (indígenas, campesino y  afros), 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 xml:space="preserve">ni el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primer borrador del PPIA, 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 xml:space="preserve">se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limita el avance del 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>resultado 1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de</w:t>
            </w:r>
            <w:r w:rsidR="00DD4BFE">
              <w:rPr>
                <w:rFonts w:ascii="Arial" w:hAnsi="Arial" w:cs="Arial"/>
                <w:sz w:val="20"/>
                <w:szCs w:val="20"/>
                <w:lang w:val="es-CO"/>
              </w:rPr>
              <w:t>l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PN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14:paraId="5E584E56" w14:textId="77777777" w:rsidR="00AE2D6D" w:rsidRPr="00902762" w:rsidRDefault="00AE2D6D" w:rsidP="00AE2D6D">
            <w:pPr>
              <w:pStyle w:val="ListParagrap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0DAEFA5" w14:textId="250E4ADC" w:rsidR="00AE2D6D" w:rsidRPr="00902762" w:rsidRDefault="00AE2D6D" w:rsidP="00AE2D6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El tema de participación e involucramiento de actores, adolece de claridad  por parte del MADS y esto tiene un efecto directo en la ejecución del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PN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. Las responsabilidades, roles y funciones de cada una de las agencias de cooperación, no son claras y en algunas casos duplican esfuerzo e incluso llega a ser contradictorios. </w:t>
            </w:r>
          </w:p>
          <w:p w14:paraId="306BD889" w14:textId="77777777" w:rsidR="00AE2D6D" w:rsidRPr="00902762" w:rsidRDefault="00AE2D6D" w:rsidP="00AE2D6D">
            <w:pPr>
              <w:pStyle w:val="ListParagrap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C9DB9C8" w14:textId="77777777" w:rsidR="00876661" w:rsidRDefault="00AE2D6D" w:rsidP="00AE2D6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El desarrollo del tema de participación ha sido muy heterogéneo entre sectores y regiones, generando avances significativos en algunas regiones, como lo son Amazonia y Pacifico, pero solo vinculando a sectores Indígenas, Afros, en algunos casos campesinos y con gran debilidad el sector privado e instancias gobernativas. Esto provoca desigualdad de los procesos y genera confusión por parte de los actores s</w:t>
            </w:r>
            <w:r w:rsidR="00902762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in lograr definir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el status  de REDD+ en el país.</w:t>
            </w:r>
          </w:p>
          <w:p w14:paraId="09D7502D" w14:textId="77777777" w:rsidR="00876661" w:rsidRPr="00876661" w:rsidRDefault="00876661" w:rsidP="00876661">
            <w:pPr>
              <w:pStyle w:val="ListParagrap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F735720" w14:textId="02DF420F" w:rsidR="00AE2D6D" w:rsidRPr="00876661" w:rsidRDefault="00AE2D6D" w:rsidP="0087666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La </w:t>
            </w:r>
            <w:r w:rsidR="00681D56" w:rsidRPr="00876661">
              <w:rPr>
                <w:rFonts w:ascii="Arial" w:hAnsi="Arial" w:cs="Arial"/>
                <w:sz w:val="20"/>
                <w:szCs w:val="20"/>
                <w:lang w:val="es-CO"/>
              </w:rPr>
              <w:t>UOC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del </w:t>
            </w:r>
            <w:r w:rsidR="00681D56" w:rsidRPr="00876661">
              <w:rPr>
                <w:rFonts w:ascii="Arial" w:hAnsi="Arial" w:cs="Arial"/>
                <w:sz w:val="20"/>
                <w:szCs w:val="20"/>
                <w:lang w:val="es-CO"/>
              </w:rPr>
              <w:t>PN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presentó al MADS un diagrama/ruta REDD+ en el país,</w:t>
            </w:r>
            <w:r w:rsidR="000A4C4A"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mismo que sirve para 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comprender los momentos por desarrollar y definir donde se encuentra cada una de las 6 regiones en las cuales se divide el país para abordar el tema REDD+, esto permitirá  enfocar esfuerzos con mayor claridad por parte de la cooperación  y/o agencias que apoyan REDD+  y ordenar el procesos para lograr convergir en la Mesa Nacional REDD</w:t>
            </w:r>
          </w:p>
          <w:p w14:paraId="28DA080B" w14:textId="3992BBD4" w:rsidR="00AE2D6D" w:rsidRPr="00902762" w:rsidRDefault="00AE2D6D" w:rsidP="00AE2D6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Las demandas de tiempo, lineamientos,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y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orientación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para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REDD+ sobrepasan las capacidades del personal técnico del  MADS, generando un cuello de botella que no permite ni al MADS ni a los cooperantes avanzar. Se tiene poca claridad de la visión política en términos del tema de participación, generando incertidumbre del cómo avanzar en esta temática sin causar tensiones políticas dentro y fuera de instancias de gobierno. Entre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las preguntas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discutid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as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y sin resolver están  ¿</w:t>
            </w:r>
            <w:r w:rsidR="000A4C4A" w:rsidRPr="00902762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uál será el rol de ministerio del interior? ¿Quién será responsable de trabajar el tema de participación con el sector privado? ¿Los espacios de participación serán a nivel regional, sub-regional? ¿Roles y funciones de estos espacios? </w:t>
            </w:r>
            <w:r w:rsidR="000A4C4A" w:rsidRPr="00902762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Preguntas que quizá un primer borrador del PIA podrían dar sugerencia del cómo abordar y llegar a acuerdos con implementadores REDD+  </w:t>
            </w:r>
          </w:p>
          <w:p w14:paraId="390C9BA0" w14:textId="77777777" w:rsidR="00AE2D6D" w:rsidRPr="00902762" w:rsidRDefault="00AE2D6D" w:rsidP="00AE2D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E5641" w14:textId="062DE958" w:rsidR="00A12341" w:rsidRDefault="00A12341" w:rsidP="004809A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A pesar de la poca claridad en algunos temas por parte del MADS,</w:t>
            </w:r>
            <w:r w:rsidR="00AE2D6D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se tiene </w:t>
            </w:r>
            <w:r w:rsidR="00902762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interés de trabajar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y muestran mucha confianza en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PN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, esto genera presión para avanzar lo antes posible y lejos de llevar preguntas es necesario presentar propuesta.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Se recomienda que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la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UOC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organice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mejor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lo</w:t>
            </w:r>
            <w:r w:rsidR="00681D56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s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>esfuerzo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="00191AB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d</w:t>
            </w:r>
            <w:r w:rsidR="00AE2D6D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el personal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de participación e involucramiento,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a través de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una mejor </w:t>
            </w:r>
            <w:r w:rsidR="00AE2D6D" w:rsidRPr="00902762">
              <w:rPr>
                <w:rFonts w:ascii="Arial" w:hAnsi="Arial" w:cs="Arial"/>
                <w:sz w:val="20"/>
                <w:szCs w:val="20"/>
                <w:lang w:val="es-CO"/>
              </w:rPr>
              <w:t>programación,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coordinación y planificación para ser más eficientes y efectivos.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Se recomienda en particular:</w:t>
            </w:r>
            <w:r w:rsidR="00681D56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>i) clarificar y comprender que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el proceso de participación no es solo un resultado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r w:rsidR="00191AB3">
              <w:rPr>
                <w:rFonts w:ascii="Arial" w:hAnsi="Arial" w:cs="Arial"/>
                <w:sz w:val="20"/>
                <w:szCs w:val="20"/>
                <w:lang w:val="es-CO"/>
              </w:rPr>
              <w:t>sino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 un proceso transversal que permite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alc</w:t>
            </w:r>
            <w:r w:rsidR="00AE2D6D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anzar resultados, 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ii) 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organizar mejor  roles y funciones de cada uno de los miembros del equipo en relación a sus responsabilidades pero también teniendo en cuenta sus aptitudes y capacidades,</w:t>
            </w:r>
            <w:r w:rsidR="00681D56">
              <w:rPr>
                <w:rFonts w:ascii="Arial" w:hAnsi="Arial" w:cs="Arial"/>
                <w:sz w:val="20"/>
                <w:szCs w:val="20"/>
                <w:lang w:val="es-CO"/>
              </w:rPr>
              <w:t xml:space="preserve"> y iii)</w:t>
            </w:r>
            <w:r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 </w:t>
            </w:r>
            <w:r w:rsidR="00AE2D6D" w:rsidRPr="00902762">
              <w:rPr>
                <w:rFonts w:ascii="Arial" w:hAnsi="Arial" w:cs="Arial"/>
                <w:sz w:val="20"/>
                <w:szCs w:val="20"/>
                <w:lang w:val="es-CO"/>
              </w:rPr>
              <w:t>tener reuniones de planificación periódicas para supervisar avanzar y resultado bajo una ruta de trabajo detalladas y acordada.</w:t>
            </w:r>
          </w:p>
          <w:p w14:paraId="27605402" w14:textId="77777777" w:rsidR="00B767D3" w:rsidRPr="00B767D3" w:rsidRDefault="00B767D3" w:rsidP="00B767D3">
            <w:pPr>
              <w:pStyle w:val="ListParagrap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BC0327F" w14:textId="1193BE55" w:rsidR="00AE2D6D" w:rsidRPr="00876661" w:rsidRDefault="00B767D3" w:rsidP="0087666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Actualmente Colombia está bajo mucha presión por parte de la cooperación de generar procesos de participación efectivos y transparentes, no solo en el tema REDD+, esto provoca la necesidad de generar   espacios de dialogo que permitan la participación de </w:t>
            </w:r>
            <w:r w:rsidR="00876661"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actores </w:t>
            </w:r>
            <w:r w:rsidR="00191AB3"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claves. 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>Sin embargo, la generación de estos espacios necesitan un tercer actor que tenga la capacidad y confianza de las partes para generar mesas de discusión abiertas y efectivas</w:t>
            </w:r>
            <w:r w:rsidR="00191AB3" w:rsidRPr="00876661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 PNUD</w:t>
            </w:r>
            <w:r w:rsidR="00AB7525" w:rsidRPr="00876661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ha mostrado por años que estés es uno de sus principales roles y funciones, teniendo plena capacidad para atender estas necesidades y generar los resultados esperados. Se considera necesario el poder remarcar estas capacidades de PNUD</w:t>
            </w:r>
            <w:r w:rsidR="00876661"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para </w:t>
            </w:r>
            <w:r w:rsidR="00191AB3" w:rsidRPr="00876661">
              <w:rPr>
                <w:rFonts w:ascii="Arial" w:hAnsi="Arial" w:cs="Arial"/>
                <w:sz w:val="20"/>
                <w:szCs w:val="20"/>
                <w:lang w:val="es-CO"/>
              </w:rPr>
              <w:t>ello,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se </w:t>
            </w:r>
            <w:r w:rsidR="00D51282" w:rsidRPr="00876661">
              <w:rPr>
                <w:rFonts w:ascii="Arial" w:hAnsi="Arial" w:cs="Arial"/>
                <w:sz w:val="20"/>
                <w:szCs w:val="20"/>
                <w:lang w:val="es-CO"/>
              </w:rPr>
              <w:t>está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analizando con la </w:t>
            </w:r>
            <w:r w:rsidR="00D51282" w:rsidRPr="00876661">
              <w:rPr>
                <w:rFonts w:ascii="Arial" w:hAnsi="Arial" w:cs="Arial"/>
                <w:sz w:val="20"/>
                <w:szCs w:val="20"/>
                <w:lang w:val="es-CO"/>
              </w:rPr>
              <w:t>CO,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la viabilidad de poder desarrollar un taller nacional en el cual el gobierno presentará ante </w:t>
            </w:r>
            <w:r w:rsidR="00D51282" w:rsidRPr="00876661">
              <w:rPr>
                <w:rFonts w:ascii="Arial" w:hAnsi="Arial" w:cs="Arial"/>
                <w:sz w:val="20"/>
                <w:szCs w:val="20"/>
                <w:lang w:val="es-CO"/>
              </w:rPr>
              <w:t>líderes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51282" w:rsidRPr="00876661">
              <w:rPr>
                <w:rFonts w:ascii="Arial" w:hAnsi="Arial" w:cs="Arial"/>
                <w:sz w:val="20"/>
                <w:szCs w:val="20"/>
                <w:lang w:val="es-CO"/>
              </w:rPr>
              <w:t>indígenas,</w:t>
            </w:r>
            <w:r w:rsidRP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 afros y campesinos  los resultados obtenidos por el país en la pasada COP. </w:t>
            </w:r>
          </w:p>
          <w:p w14:paraId="6B84649C" w14:textId="77777777" w:rsidR="00CC3E37" w:rsidRPr="00902762" w:rsidRDefault="00CC3E37" w:rsidP="004D02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379A9" w14:textId="77777777" w:rsidR="00CC3E37" w:rsidRPr="00902762" w:rsidRDefault="00CC3E37" w:rsidP="004D02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F2B65B" w14:textId="676F3CC5" w:rsidR="00F25DAA" w:rsidRPr="00DD4BFE" w:rsidRDefault="003B5CAD" w:rsidP="00F25DAA">
            <w:pPr>
              <w:spacing w:after="0" w:line="240" w:lineRule="auto"/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</w:pPr>
            <w:r w:rsidRPr="00DD4BFE"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  <w:t>9.</w:t>
            </w:r>
            <w:r w:rsidR="00681D56"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  <w:t>c</w:t>
            </w:r>
            <w:r w:rsidRPr="00DD4BFE"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  <w:t xml:space="preserve"> </w:t>
            </w:r>
            <w:r w:rsidR="009C6467" w:rsidRPr="00DD4BFE"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  <w:t>Results achieve</w:t>
            </w:r>
            <w:r w:rsidR="00337815" w:rsidRPr="00DD4BFE">
              <w:rPr>
                <w:rFonts w:ascii="Arial" w:hAnsi="Arial" w:cs="Arial"/>
                <w:i/>
                <w:color w:val="1F497D"/>
                <w:sz w:val="20"/>
                <w:szCs w:val="20"/>
                <w:lang w:val="en-US"/>
              </w:rPr>
              <w:t>d (key outputs)</w:t>
            </w:r>
          </w:p>
          <w:p w14:paraId="53330AE9" w14:textId="77777777" w:rsidR="0018235A" w:rsidRPr="00DD4BFE" w:rsidRDefault="0018235A" w:rsidP="0018235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D592718" w14:textId="36846419" w:rsidR="0018235A" w:rsidRDefault="000A4C4A" w:rsidP="00AE2D6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lastRenderedPageBreak/>
              <w:t xml:space="preserve">Se </w:t>
            </w:r>
            <w:r w:rsidR="00681D56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eval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uaron</w:t>
            </w:r>
            <w:r w:rsidR="00681D56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los avances de</w:t>
            </w:r>
            <w:r w:rsidR="0018235A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l </w:t>
            </w:r>
            <w:r w:rsidR="005D10E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resultado</w:t>
            </w:r>
            <w:r w:rsidR="0018235A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I acorde a matriz desarrollada con el equipo en Nov 2015 y se 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dieron</w:t>
            </w:r>
            <w:r w:rsidR="00681D56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18235A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recomendaciones sobre los alcances a la fecha. Fue necesario el rediseñar  la matriz de seguimiento  para tener mayor claridad de los temas por abordar, las actividades, resultados esperados, productos y verificadores de cumplimiento. </w:t>
            </w:r>
          </w:p>
          <w:p w14:paraId="2BBBE0F0" w14:textId="77777777" w:rsidR="00AB7525" w:rsidRPr="00902762" w:rsidRDefault="00AB7525" w:rsidP="00AB7525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20055422" w14:textId="0D9A41DF" w:rsidR="0018235A" w:rsidRPr="00902762" w:rsidRDefault="0018235A" w:rsidP="00AE2D6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vio la necesidad de volver a discutir con la 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UOC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la  posible ruta de participación, roles y funciones del personal y el aporte que puede brindar el programa ONU-REDD en temas de participación al proceso nacional. Se definió con 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UOC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las  áreas de trabajo, temas por tratar, inquietudes por resolver con el MADS </w:t>
            </w:r>
          </w:p>
          <w:p w14:paraId="6A66FE6A" w14:textId="77777777" w:rsidR="0018235A" w:rsidRPr="00902762" w:rsidRDefault="0018235A" w:rsidP="0018235A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63B1D0A3" w14:textId="64402721" w:rsidR="0018235A" w:rsidRPr="00902762" w:rsidRDefault="0018235A" w:rsidP="0018235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</w:t>
            </w:r>
            <w:r w:rsidR="00A950BC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acordó</w:t>
            </w:r>
            <w:r w:rsidR="00681D56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A950BC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nueva ruta de desarrollo del mapeo de actores  definiendo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: 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criterios de selección de actores , matriz de clasificación y ordenamiento de actores y sectores , estructura para la caracterización y </w:t>
            </w:r>
            <w:r w:rsidR="00A950BC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análisis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actores (al menos PIS , Afros y Campesino) y se diseña un primer borrador de estructura </w:t>
            </w:r>
            <w:r w:rsidR="00A950BC"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orgánica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de participación </w:t>
            </w:r>
          </w:p>
          <w:p w14:paraId="3389791E" w14:textId="77777777" w:rsidR="00A950BC" w:rsidRPr="00902762" w:rsidRDefault="00A950BC" w:rsidP="00A950BC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2143055B" w14:textId="444D4DE4" w:rsidR="00A950BC" w:rsidRPr="00902762" w:rsidRDefault="00A950BC" w:rsidP="0018235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reunión con MADS se logra</w:t>
            </w:r>
            <w:r w:rsidR="00681D56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ron</w:t>
            </w: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acuerdos de avances en relación al tema de participación , entre los que resaltan: concluir diagrama de ruta REDD+ en el país, presentar un primer borrador del PIA ante MADS y otros cooperantes, tener reuniones periódicas entre Fondo Verde , GIZ , Misión Amazonia , ONU-REDD convocadas por MADS para asegurar visión integral de implementación de los diversos programas</w:t>
            </w:r>
          </w:p>
          <w:p w14:paraId="31A24B3C" w14:textId="77777777" w:rsidR="00A950BC" w:rsidRPr="00902762" w:rsidRDefault="00A950BC" w:rsidP="00A950BC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14:paraId="56694350" w14:textId="21A39F05" w:rsidR="00A950BC" w:rsidRPr="00902762" w:rsidRDefault="00A950BC" w:rsidP="0018235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reunión con CO se acuerda idea general de taller nacional de presentación de resultados de la COP ante PIS y Afros. Se define ruta de seguimiento para lograr desarrollar el taller , se espera respuesta positiva por parte del Ministerio para poder avanzar </w:t>
            </w:r>
          </w:p>
          <w:p w14:paraId="56B30B8A" w14:textId="64B1F486" w:rsidR="000A4C4A" w:rsidRPr="00902762" w:rsidRDefault="0018235A" w:rsidP="00876661">
            <w:pPr>
              <w:rPr>
                <w:rFonts w:ascii="Arial" w:hAnsi="Arial" w:cs="Arial"/>
                <w:i/>
                <w:color w:val="1F497D"/>
                <w:sz w:val="20"/>
                <w:szCs w:val="20"/>
              </w:rPr>
            </w:pPr>
            <w:r w:rsidRPr="009027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DCE8420" w14:textId="77777777" w:rsidR="000A4C4A" w:rsidRPr="00902762" w:rsidRDefault="000A4C4A" w:rsidP="00F25DAA">
            <w:pPr>
              <w:spacing w:after="0" w:line="240" w:lineRule="auto"/>
              <w:rPr>
                <w:rFonts w:ascii="Arial" w:hAnsi="Arial" w:cs="Arial"/>
                <w:i/>
                <w:color w:val="1F497D"/>
                <w:sz w:val="20"/>
                <w:szCs w:val="20"/>
              </w:rPr>
            </w:pPr>
          </w:p>
          <w:p w14:paraId="55A347FA" w14:textId="77777777" w:rsidR="009C6467" w:rsidRPr="00902762" w:rsidRDefault="003B5CAD" w:rsidP="00891E40">
            <w:pPr>
              <w:pBdr>
                <w:bottom w:val="single" w:sz="4" w:space="1" w:color="000000"/>
              </w:pBdr>
              <w:spacing w:after="0" w:line="240" w:lineRule="auto"/>
              <w:rPr>
                <w:rFonts w:ascii="Arial" w:hAnsi="Arial" w:cs="Arial"/>
                <w:i/>
                <w:color w:val="1F497D"/>
                <w:sz w:val="20"/>
                <w:szCs w:val="20"/>
              </w:rPr>
            </w:pPr>
            <w:r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 xml:space="preserve">9.c </w:t>
            </w:r>
            <w:r w:rsidR="009C6467" w:rsidRPr="00902762">
              <w:rPr>
                <w:rFonts w:ascii="Arial" w:hAnsi="Arial" w:cs="Arial"/>
                <w:i/>
                <w:color w:val="1F497D"/>
                <w:sz w:val="20"/>
                <w:szCs w:val="20"/>
              </w:rPr>
              <w:t>Expected outcomes and impacts</w:t>
            </w:r>
          </w:p>
          <w:p w14:paraId="7B31234E" w14:textId="61B8F5F7" w:rsidR="00902762" w:rsidRPr="00902762" w:rsidRDefault="00876661" w:rsidP="00902762">
            <w:pPr>
              <w:pStyle w:val="ListParagraph"/>
              <w:numPr>
                <w:ilvl w:val="0"/>
                <w:numId w:val="40"/>
              </w:numPr>
              <w:pBdr>
                <w:bottom w:val="single" w:sz="4" w:space="1" w:color="000000"/>
              </w:pBd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desarrollaron </w:t>
            </w:r>
            <w:r w:rsidR="00902762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los criterios</w:t>
            </w:r>
            <w:r w:rsidR="00B767D3">
              <w:rPr>
                <w:rFonts w:ascii="Arial" w:hAnsi="Arial" w:cs="Arial"/>
                <w:sz w:val="20"/>
                <w:szCs w:val="20"/>
                <w:lang w:val="es-CO"/>
              </w:rPr>
              <w:t xml:space="preserve"> de selección de actores</w:t>
            </w:r>
            <w:r w:rsidR="00902762" w:rsidRPr="00902762">
              <w:rPr>
                <w:rFonts w:ascii="Arial" w:hAnsi="Arial" w:cs="Arial"/>
                <w:sz w:val="20"/>
                <w:szCs w:val="20"/>
                <w:lang w:val="es-CO"/>
              </w:rPr>
              <w:t>, concluye la matri</w:t>
            </w:r>
            <w:r w:rsidR="00B767D3">
              <w:rPr>
                <w:rFonts w:ascii="Arial" w:hAnsi="Arial" w:cs="Arial"/>
                <w:sz w:val="20"/>
                <w:szCs w:val="20"/>
                <w:lang w:val="es-CO"/>
              </w:rPr>
              <w:t xml:space="preserve">z de mapeo de actores , </w:t>
            </w:r>
            <w:r w:rsidR="00191AB3">
              <w:rPr>
                <w:rFonts w:ascii="Arial" w:hAnsi="Arial" w:cs="Arial"/>
                <w:sz w:val="20"/>
                <w:szCs w:val="20"/>
                <w:lang w:val="es-CO"/>
              </w:rPr>
              <w:t xml:space="preserve">se presentó el primer borrador de </w:t>
            </w:r>
            <w:r w:rsidR="00902762" w:rsidRPr="00902762">
              <w:rPr>
                <w:rFonts w:ascii="Arial" w:hAnsi="Arial" w:cs="Arial"/>
                <w:sz w:val="20"/>
                <w:szCs w:val="20"/>
                <w:lang w:val="es-CO"/>
              </w:rPr>
              <w:t xml:space="preserve"> caracterización de actores (PIS, Afros, Campesinos) </w:t>
            </w:r>
          </w:p>
          <w:p w14:paraId="5378D88E" w14:textId="3DCEF5AA" w:rsidR="00902762" w:rsidRDefault="00B767D3" w:rsidP="00902762">
            <w:pPr>
              <w:pStyle w:val="ListParagraph"/>
              <w:numPr>
                <w:ilvl w:val="0"/>
                <w:numId w:val="40"/>
              </w:numPr>
              <w:pBdr>
                <w:bottom w:val="single" w:sz="4" w:space="1" w:color="000000"/>
              </w:pBd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</w:t>
            </w:r>
            <w:r w:rsid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definió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ruta para el desarrollo del  PIA con MADS (diagrama acordado)</w:t>
            </w:r>
          </w:p>
          <w:p w14:paraId="45141DCB" w14:textId="438DDC9A" w:rsidR="00B767D3" w:rsidRDefault="00B767D3" w:rsidP="00902762">
            <w:pPr>
              <w:pStyle w:val="ListParagraph"/>
              <w:numPr>
                <w:ilvl w:val="0"/>
                <w:numId w:val="40"/>
              </w:numPr>
              <w:pBdr>
                <w:bottom w:val="single" w:sz="4" w:space="1" w:color="000000"/>
              </w:pBd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</w:t>
            </w:r>
            <w:r w:rsid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logró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una mejor coordinación y orientación con el equipo responsable del </w:t>
            </w:r>
            <w:r w:rsidR="005D10EA">
              <w:rPr>
                <w:rFonts w:ascii="Arial" w:hAnsi="Arial" w:cs="Arial"/>
                <w:sz w:val="20"/>
                <w:szCs w:val="20"/>
                <w:lang w:val="es-CO"/>
              </w:rPr>
              <w:t>resultado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I y se generan herramientas para seguimiento de acuerdos </w:t>
            </w:r>
          </w:p>
          <w:p w14:paraId="5032231B" w14:textId="367302D9" w:rsidR="00B767D3" w:rsidRPr="00902762" w:rsidRDefault="00B767D3" w:rsidP="00902762">
            <w:pPr>
              <w:pStyle w:val="ListParagraph"/>
              <w:numPr>
                <w:ilvl w:val="0"/>
                <w:numId w:val="40"/>
              </w:numPr>
              <w:pBdr>
                <w:bottom w:val="single" w:sz="4" w:space="1" w:color="000000"/>
              </w:pBdr>
              <w:tabs>
                <w:tab w:val="left" w:pos="7755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</w:t>
            </w:r>
            <w:r w:rsidR="00876661">
              <w:rPr>
                <w:rFonts w:ascii="Arial" w:hAnsi="Arial" w:cs="Arial"/>
                <w:sz w:val="20"/>
                <w:szCs w:val="20"/>
                <w:lang w:val="es-CO"/>
              </w:rPr>
              <w:t xml:space="preserve">definió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idea general y ruta de gestión política para el desarrollo del taller nacional “Presentación de Resultados de la COP” </w:t>
            </w:r>
          </w:p>
        </w:tc>
      </w:tr>
      <w:tr w:rsidR="003B5CAD" w:rsidRPr="00AE74AE" w14:paraId="16BB793F" w14:textId="77777777" w:rsidTr="00876661">
        <w:tc>
          <w:tcPr>
            <w:tcW w:w="111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AD479F9" w14:textId="77777777" w:rsidR="003B5CAD" w:rsidRPr="00902762" w:rsidRDefault="003B5CA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02762">
              <w:rPr>
                <w:rFonts w:ascii="Arial" w:hAnsi="Arial" w:cs="Arial"/>
                <w:color w:val="1F497D"/>
                <w:sz w:val="20"/>
                <w:szCs w:val="20"/>
              </w:rPr>
              <w:lastRenderedPageBreak/>
              <w:t>10. Key counterparts</w:t>
            </w:r>
          </w:p>
          <w:p w14:paraId="1631FCC9" w14:textId="61678F33" w:rsidR="00540D5F" w:rsidRPr="00902762" w:rsidRDefault="000A4C4A" w:rsidP="005D10EA">
            <w:pPr>
              <w:numPr>
                <w:ilvl w:val="0"/>
                <w:numId w:val="16"/>
              </w:numPr>
              <w:tabs>
                <w:tab w:val="left" w:pos="7755"/>
              </w:tabs>
              <w:spacing w:after="0" w:line="240" w:lineRule="auto"/>
              <w:jc w:val="both"/>
              <w:rPr>
                <w:rFonts w:ascii="Arial" w:eastAsia="Myriad Pro" w:hAnsi="Arial" w:cs="Arial"/>
                <w:color w:val="000000"/>
                <w:sz w:val="20"/>
                <w:szCs w:val="20"/>
              </w:rPr>
            </w:pPr>
            <w:r w:rsidRPr="00902762">
              <w:rPr>
                <w:rFonts w:ascii="Arial" w:eastAsia="Myriad Pro" w:hAnsi="Arial" w:cs="Arial"/>
                <w:color w:val="000000"/>
                <w:sz w:val="20"/>
                <w:szCs w:val="20"/>
              </w:rPr>
              <w:t xml:space="preserve">MADS , </w:t>
            </w:r>
            <w:r w:rsidR="005D10EA">
              <w:rPr>
                <w:rFonts w:ascii="Arial" w:eastAsia="Myriad Pro" w:hAnsi="Arial" w:cs="Arial"/>
                <w:color w:val="000000"/>
                <w:sz w:val="20"/>
                <w:szCs w:val="20"/>
              </w:rPr>
              <w:t>FCPF</w:t>
            </w:r>
            <w:r w:rsidRPr="00902762">
              <w:rPr>
                <w:rFonts w:ascii="Arial" w:eastAsia="Myriad Pro" w:hAnsi="Arial" w:cs="Arial"/>
                <w:color w:val="000000"/>
                <w:sz w:val="20"/>
                <w:szCs w:val="20"/>
              </w:rPr>
              <w:t xml:space="preserve">, GIZ , Visión Amazonia </w:t>
            </w:r>
          </w:p>
        </w:tc>
      </w:tr>
      <w:tr w:rsidR="003B5CAD" w:rsidRPr="00AE74AE" w14:paraId="47A82C8E" w14:textId="77777777" w:rsidTr="00876661">
        <w:tc>
          <w:tcPr>
            <w:tcW w:w="11190" w:type="dxa"/>
            <w:gridSpan w:val="5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14:paraId="312731A4" w14:textId="77777777" w:rsidR="003B5CAD" w:rsidRPr="00AE74AE" w:rsidRDefault="003B5CA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E74AE">
              <w:rPr>
                <w:rFonts w:ascii="Arial" w:hAnsi="Arial" w:cs="Arial"/>
                <w:color w:val="1F497D"/>
                <w:sz w:val="20"/>
                <w:szCs w:val="20"/>
              </w:rPr>
              <w:t>11. Follow up action matrix</w:t>
            </w:r>
          </w:p>
        </w:tc>
      </w:tr>
      <w:tr w:rsidR="003B5CAD" w:rsidRPr="00AE74AE" w14:paraId="10D169CB" w14:textId="77777777" w:rsidTr="00876661">
        <w:tc>
          <w:tcPr>
            <w:tcW w:w="435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19C22479" w14:textId="4AA36D3D" w:rsidR="009C6467" w:rsidRPr="00AE74AE" w:rsidRDefault="009C6467" w:rsidP="00D51282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E74AE">
              <w:rPr>
                <w:rFonts w:ascii="Arial" w:hAnsi="Arial" w:cs="Arial"/>
                <w:color w:val="1F497D"/>
                <w:sz w:val="20"/>
                <w:szCs w:val="20"/>
              </w:rPr>
              <w:t>Action to be taken</w:t>
            </w:r>
            <w:r w:rsidR="00D51282">
              <w:rPr>
                <w:rFonts w:ascii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FDE41D" w14:textId="77777777" w:rsidR="009C6467" w:rsidRPr="00AE74AE" w:rsidRDefault="009C6467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E74AE">
              <w:rPr>
                <w:rFonts w:ascii="Arial" w:hAnsi="Arial" w:cs="Arial"/>
                <w:color w:val="1F497D"/>
                <w:sz w:val="20"/>
                <w:szCs w:val="20"/>
              </w:rPr>
              <w:t>By whom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225022D" w14:textId="77777777" w:rsidR="009C6467" w:rsidRPr="00AE74AE" w:rsidRDefault="009C6467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E74AE">
              <w:rPr>
                <w:rFonts w:ascii="Arial" w:hAnsi="Arial" w:cs="Arial"/>
                <w:color w:val="1F497D"/>
                <w:sz w:val="20"/>
                <w:szCs w:val="20"/>
              </w:rPr>
              <w:t>Expected completion date</w:t>
            </w:r>
          </w:p>
        </w:tc>
      </w:tr>
      <w:tr w:rsidR="00111386" w:rsidRPr="00AE74AE" w14:paraId="1FCB5987" w14:textId="77777777" w:rsidTr="00876661"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CD44485" w14:textId="7CD958D0" w:rsidR="00111386" w:rsidRPr="00AE74AE" w:rsidRDefault="005D10EA" w:rsidP="005D10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51282">
              <w:rPr>
                <w:rFonts w:ascii="Arial" w:hAnsi="Arial" w:cs="Arial"/>
                <w:sz w:val="20"/>
                <w:szCs w:val="20"/>
              </w:rPr>
              <w:t xml:space="preserve">abla </w:t>
            </w:r>
            <w:r>
              <w:rPr>
                <w:rFonts w:ascii="Arial" w:hAnsi="Arial" w:cs="Arial"/>
                <w:sz w:val="20"/>
                <w:szCs w:val="20"/>
              </w:rPr>
              <w:t>Excel adjunta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8FDE" w14:textId="7246628C" w:rsidR="00111386" w:rsidRPr="00AE74AE" w:rsidRDefault="00111386" w:rsidP="00DC48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B7CDA31" w14:textId="45192FAA" w:rsidR="00111386" w:rsidRPr="00AE74AE" w:rsidRDefault="00111386" w:rsidP="00F64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81D" w:rsidRPr="00AE74AE" w14:paraId="072776B6" w14:textId="77777777" w:rsidTr="00876661">
        <w:trPr>
          <w:trHeight w:val="83"/>
        </w:trPr>
        <w:tc>
          <w:tcPr>
            <w:tcW w:w="4350" w:type="dxa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</w:tcPr>
          <w:p w14:paraId="38A5974A" w14:textId="77777777" w:rsidR="00DC481D" w:rsidRPr="00AE74AE" w:rsidRDefault="00DC481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A9CCB2" w14:textId="77777777" w:rsidR="00DC481D" w:rsidRPr="00AE74AE" w:rsidRDefault="00DC481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14:paraId="641EA832" w14:textId="77777777" w:rsidR="00DC481D" w:rsidRPr="00AE74AE" w:rsidRDefault="00DC481D" w:rsidP="009C6467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DC481D" w:rsidRPr="00AE74AE" w14:paraId="7C1BF9CB" w14:textId="77777777" w:rsidTr="00876661">
        <w:tc>
          <w:tcPr>
            <w:tcW w:w="1119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5FF88" w14:textId="5211B528" w:rsidR="00DC481D" w:rsidRPr="00AE74AE" w:rsidRDefault="00DC481D" w:rsidP="006877A2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E74AE">
              <w:rPr>
                <w:rFonts w:ascii="Arial" w:hAnsi="Arial" w:cs="Arial"/>
                <w:color w:val="1F497D"/>
                <w:sz w:val="20"/>
                <w:szCs w:val="20"/>
              </w:rPr>
              <w:t>12. Distribution list</w:t>
            </w:r>
          </w:p>
          <w:p w14:paraId="5118D10F" w14:textId="751862F5" w:rsidR="00DC481D" w:rsidRPr="00AE74AE" w:rsidRDefault="00540D5F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AE">
              <w:rPr>
                <w:rFonts w:ascii="Arial" w:hAnsi="Arial" w:cs="Arial"/>
                <w:sz w:val="20"/>
                <w:szCs w:val="20"/>
              </w:rPr>
              <w:t>UNDP-UN-REDD team</w:t>
            </w:r>
          </w:p>
          <w:p w14:paraId="0B9F833F" w14:textId="017AB991" w:rsidR="00F037F9" w:rsidRPr="00AE74AE" w:rsidRDefault="00F037F9" w:rsidP="005F26E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4AE">
              <w:rPr>
                <w:rFonts w:ascii="Arial" w:hAnsi="Arial" w:cs="Arial"/>
                <w:sz w:val="20"/>
                <w:szCs w:val="20"/>
              </w:rPr>
              <w:t xml:space="preserve">UN-REDD PMU </w:t>
            </w:r>
          </w:p>
          <w:p w14:paraId="17D90831" w14:textId="77777777" w:rsidR="00DC481D" w:rsidRPr="00AE74AE" w:rsidRDefault="00DC481D" w:rsidP="00F037F9">
            <w:pPr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8F72F" w14:textId="77777777" w:rsidR="004D02B3" w:rsidRPr="00AE74AE" w:rsidRDefault="004D02B3" w:rsidP="00D0338C">
      <w:pPr>
        <w:rPr>
          <w:rFonts w:ascii="Arial" w:hAnsi="Arial" w:cs="Arial"/>
          <w:sz w:val="20"/>
          <w:szCs w:val="20"/>
        </w:rPr>
      </w:pPr>
    </w:p>
    <w:sectPr w:rsidR="004D02B3" w:rsidRPr="00AE74AE" w:rsidSect="001A58AC">
      <w:pgSz w:w="12240" w:h="15840"/>
      <w:pgMar w:top="340" w:right="510" w:bottom="454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8B7CD" w14:textId="77777777" w:rsidR="00D0638B" w:rsidRDefault="00D0638B" w:rsidP="00576258">
      <w:pPr>
        <w:spacing w:after="0" w:line="240" w:lineRule="auto"/>
      </w:pPr>
      <w:r>
        <w:separator/>
      </w:r>
    </w:p>
  </w:endnote>
  <w:endnote w:type="continuationSeparator" w:id="0">
    <w:p w14:paraId="46BFB762" w14:textId="77777777" w:rsidR="00D0638B" w:rsidRDefault="00D0638B" w:rsidP="0057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C220" w14:textId="77777777" w:rsidR="00D0638B" w:rsidRDefault="00D0638B" w:rsidP="00576258">
      <w:pPr>
        <w:spacing w:after="0" w:line="240" w:lineRule="auto"/>
      </w:pPr>
      <w:r>
        <w:separator/>
      </w:r>
    </w:p>
  </w:footnote>
  <w:footnote w:type="continuationSeparator" w:id="0">
    <w:p w14:paraId="31158FB9" w14:textId="77777777" w:rsidR="00D0638B" w:rsidRDefault="00D0638B" w:rsidP="0057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C27"/>
    <w:multiLevelType w:val="hybridMultilevel"/>
    <w:tmpl w:val="CFBAD010"/>
    <w:lvl w:ilvl="0" w:tplc="6E66B336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6A4"/>
    <w:multiLevelType w:val="hybridMultilevel"/>
    <w:tmpl w:val="E23A752C"/>
    <w:lvl w:ilvl="0" w:tplc="E2348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172B2"/>
    <w:multiLevelType w:val="hybridMultilevel"/>
    <w:tmpl w:val="F1C6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828"/>
    <w:multiLevelType w:val="hybridMultilevel"/>
    <w:tmpl w:val="9F4A843A"/>
    <w:lvl w:ilvl="0" w:tplc="F1DAC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D54D5"/>
    <w:multiLevelType w:val="hybridMultilevel"/>
    <w:tmpl w:val="276EFC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0755"/>
    <w:multiLevelType w:val="hybridMultilevel"/>
    <w:tmpl w:val="50206C38"/>
    <w:lvl w:ilvl="0" w:tplc="168C7A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3D73"/>
    <w:multiLevelType w:val="hybridMultilevel"/>
    <w:tmpl w:val="14D47302"/>
    <w:lvl w:ilvl="0" w:tplc="91ECA7B4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7EC8"/>
    <w:multiLevelType w:val="hybridMultilevel"/>
    <w:tmpl w:val="325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4C1"/>
    <w:multiLevelType w:val="hybridMultilevel"/>
    <w:tmpl w:val="B5CAA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C5E7E"/>
    <w:multiLevelType w:val="hybridMultilevel"/>
    <w:tmpl w:val="A4D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875"/>
    <w:multiLevelType w:val="hybridMultilevel"/>
    <w:tmpl w:val="FAB21F34"/>
    <w:lvl w:ilvl="0" w:tplc="8592D6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90887"/>
    <w:multiLevelType w:val="hybridMultilevel"/>
    <w:tmpl w:val="A07A19D2"/>
    <w:lvl w:ilvl="0" w:tplc="1028137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64682"/>
    <w:multiLevelType w:val="hybridMultilevel"/>
    <w:tmpl w:val="7DB6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646A3E"/>
    <w:multiLevelType w:val="hybridMultilevel"/>
    <w:tmpl w:val="4E9AF1FE"/>
    <w:lvl w:ilvl="0" w:tplc="91ECA7B4">
      <w:start w:val="6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345CA"/>
    <w:multiLevelType w:val="hybridMultilevel"/>
    <w:tmpl w:val="3EAE1E92"/>
    <w:lvl w:ilvl="0" w:tplc="0B2C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29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60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E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2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2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1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A33CC"/>
    <w:multiLevelType w:val="hybridMultilevel"/>
    <w:tmpl w:val="B5ECB52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8B2B07"/>
    <w:multiLevelType w:val="hybridMultilevel"/>
    <w:tmpl w:val="B4B8A0EC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75F8"/>
    <w:multiLevelType w:val="hybridMultilevel"/>
    <w:tmpl w:val="E2AEE926"/>
    <w:lvl w:ilvl="0" w:tplc="DD28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87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7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A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0F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8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26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83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4362AA"/>
    <w:multiLevelType w:val="hybridMultilevel"/>
    <w:tmpl w:val="AEE62C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C4BB1"/>
    <w:multiLevelType w:val="hybridMultilevel"/>
    <w:tmpl w:val="015A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32EF"/>
    <w:multiLevelType w:val="hybridMultilevel"/>
    <w:tmpl w:val="96FEF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655BE"/>
    <w:multiLevelType w:val="hybridMultilevel"/>
    <w:tmpl w:val="25D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67106"/>
    <w:multiLevelType w:val="hybridMultilevel"/>
    <w:tmpl w:val="6240B44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B108E"/>
    <w:multiLevelType w:val="hybridMultilevel"/>
    <w:tmpl w:val="810669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C3F89"/>
    <w:multiLevelType w:val="hybridMultilevel"/>
    <w:tmpl w:val="5F22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D1D5F"/>
    <w:multiLevelType w:val="hybridMultilevel"/>
    <w:tmpl w:val="DED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14C85"/>
    <w:multiLevelType w:val="hybridMultilevel"/>
    <w:tmpl w:val="392EF088"/>
    <w:lvl w:ilvl="0" w:tplc="B152250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B7F30"/>
    <w:multiLevelType w:val="hybridMultilevel"/>
    <w:tmpl w:val="698A55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6B7A"/>
    <w:multiLevelType w:val="hybridMultilevel"/>
    <w:tmpl w:val="D9C8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85D83"/>
    <w:multiLevelType w:val="hybridMultilevel"/>
    <w:tmpl w:val="8204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922B8"/>
    <w:multiLevelType w:val="hybridMultilevel"/>
    <w:tmpl w:val="6082B642"/>
    <w:lvl w:ilvl="0" w:tplc="2AAA37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A2042"/>
    <w:multiLevelType w:val="hybridMultilevel"/>
    <w:tmpl w:val="6A00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D5027"/>
    <w:multiLevelType w:val="hybridMultilevel"/>
    <w:tmpl w:val="58AAC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D1269"/>
    <w:multiLevelType w:val="hybridMultilevel"/>
    <w:tmpl w:val="DB46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22502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B3642"/>
    <w:multiLevelType w:val="hybridMultilevel"/>
    <w:tmpl w:val="82A8F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F57ED"/>
    <w:multiLevelType w:val="hybridMultilevel"/>
    <w:tmpl w:val="AB042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C547A"/>
    <w:multiLevelType w:val="hybridMultilevel"/>
    <w:tmpl w:val="475E6E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14DE8"/>
    <w:multiLevelType w:val="hybridMultilevel"/>
    <w:tmpl w:val="E076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00CC2"/>
    <w:multiLevelType w:val="hybridMultilevel"/>
    <w:tmpl w:val="4AB69E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150"/>
    <w:multiLevelType w:val="hybridMultilevel"/>
    <w:tmpl w:val="D29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E5E24"/>
    <w:multiLevelType w:val="hybridMultilevel"/>
    <w:tmpl w:val="BB9253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4"/>
  </w:num>
  <w:num w:numId="4">
    <w:abstractNumId w:val="27"/>
  </w:num>
  <w:num w:numId="5">
    <w:abstractNumId w:val="20"/>
  </w:num>
  <w:num w:numId="6">
    <w:abstractNumId w:val="38"/>
  </w:num>
  <w:num w:numId="7">
    <w:abstractNumId w:val="32"/>
  </w:num>
  <w:num w:numId="8">
    <w:abstractNumId w:val="22"/>
  </w:num>
  <w:num w:numId="9">
    <w:abstractNumId w:val="18"/>
  </w:num>
  <w:num w:numId="10">
    <w:abstractNumId w:val="28"/>
  </w:num>
  <w:num w:numId="11">
    <w:abstractNumId w:val="1"/>
  </w:num>
  <w:num w:numId="12">
    <w:abstractNumId w:val="3"/>
  </w:num>
  <w:num w:numId="13">
    <w:abstractNumId w:val="26"/>
  </w:num>
  <w:num w:numId="14">
    <w:abstractNumId w:val="0"/>
  </w:num>
  <w:num w:numId="15">
    <w:abstractNumId w:val="9"/>
  </w:num>
  <w:num w:numId="16">
    <w:abstractNumId w:val="39"/>
  </w:num>
  <w:num w:numId="17">
    <w:abstractNumId w:val="10"/>
  </w:num>
  <w:num w:numId="18">
    <w:abstractNumId w:val="12"/>
  </w:num>
  <w:num w:numId="19">
    <w:abstractNumId w:val="16"/>
  </w:num>
  <w:num w:numId="20">
    <w:abstractNumId w:val="33"/>
  </w:num>
  <w:num w:numId="21">
    <w:abstractNumId w:val="25"/>
  </w:num>
  <w:num w:numId="22">
    <w:abstractNumId w:val="6"/>
  </w:num>
  <w:num w:numId="23">
    <w:abstractNumId w:val="13"/>
  </w:num>
  <w:num w:numId="24">
    <w:abstractNumId w:val="34"/>
  </w:num>
  <w:num w:numId="25">
    <w:abstractNumId w:val="23"/>
  </w:num>
  <w:num w:numId="26">
    <w:abstractNumId w:val="40"/>
  </w:num>
  <w:num w:numId="27">
    <w:abstractNumId w:val="15"/>
  </w:num>
  <w:num w:numId="28">
    <w:abstractNumId w:val="36"/>
  </w:num>
  <w:num w:numId="29">
    <w:abstractNumId w:val="5"/>
  </w:num>
  <w:num w:numId="30">
    <w:abstractNumId w:val="7"/>
  </w:num>
  <w:num w:numId="31">
    <w:abstractNumId w:val="17"/>
  </w:num>
  <w:num w:numId="32">
    <w:abstractNumId w:val="14"/>
  </w:num>
  <w:num w:numId="33">
    <w:abstractNumId w:val="29"/>
  </w:num>
  <w:num w:numId="34">
    <w:abstractNumId w:val="35"/>
  </w:num>
  <w:num w:numId="35">
    <w:abstractNumId w:val="8"/>
  </w:num>
  <w:num w:numId="36">
    <w:abstractNumId w:val="2"/>
  </w:num>
  <w:num w:numId="37">
    <w:abstractNumId w:val="19"/>
  </w:num>
  <w:num w:numId="38">
    <w:abstractNumId w:val="24"/>
  </w:num>
  <w:num w:numId="39">
    <w:abstractNumId w:val="37"/>
  </w:num>
  <w:num w:numId="40">
    <w:abstractNumId w:val="2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67"/>
    <w:rsid w:val="000023A6"/>
    <w:rsid w:val="000062A8"/>
    <w:rsid w:val="000130B1"/>
    <w:rsid w:val="0006171C"/>
    <w:rsid w:val="00082781"/>
    <w:rsid w:val="00087503"/>
    <w:rsid w:val="000A4C4A"/>
    <w:rsid w:val="000B4C96"/>
    <w:rsid w:val="000C1E95"/>
    <w:rsid w:val="000D6EAA"/>
    <w:rsid w:val="000F3936"/>
    <w:rsid w:val="00102FEC"/>
    <w:rsid w:val="00103A7F"/>
    <w:rsid w:val="00111386"/>
    <w:rsid w:val="001126B6"/>
    <w:rsid w:val="0011432A"/>
    <w:rsid w:val="00123FAC"/>
    <w:rsid w:val="00123FC9"/>
    <w:rsid w:val="00127060"/>
    <w:rsid w:val="00132A98"/>
    <w:rsid w:val="00133956"/>
    <w:rsid w:val="001350C6"/>
    <w:rsid w:val="0018235A"/>
    <w:rsid w:val="001907BF"/>
    <w:rsid w:val="0019087A"/>
    <w:rsid w:val="00191AB3"/>
    <w:rsid w:val="00196F5B"/>
    <w:rsid w:val="001A58AC"/>
    <w:rsid w:val="001B03B2"/>
    <w:rsid w:val="001B6409"/>
    <w:rsid w:val="001C0A7C"/>
    <w:rsid w:val="001C0DBB"/>
    <w:rsid w:val="001E1743"/>
    <w:rsid w:val="001E4DCE"/>
    <w:rsid w:val="001E6E90"/>
    <w:rsid w:val="001F30AE"/>
    <w:rsid w:val="00210A69"/>
    <w:rsid w:val="00225C7C"/>
    <w:rsid w:val="00233F9A"/>
    <w:rsid w:val="00236E8C"/>
    <w:rsid w:val="002453FD"/>
    <w:rsid w:val="0026106F"/>
    <w:rsid w:val="002756C7"/>
    <w:rsid w:val="002778C9"/>
    <w:rsid w:val="002915ED"/>
    <w:rsid w:val="002A3E86"/>
    <w:rsid w:val="002A72E3"/>
    <w:rsid w:val="002B7E1C"/>
    <w:rsid w:val="002C5EB3"/>
    <w:rsid w:val="002E0A2C"/>
    <w:rsid w:val="002F4F75"/>
    <w:rsid w:val="0031710B"/>
    <w:rsid w:val="003235A5"/>
    <w:rsid w:val="00337815"/>
    <w:rsid w:val="003413D6"/>
    <w:rsid w:val="00341614"/>
    <w:rsid w:val="00343061"/>
    <w:rsid w:val="003629BF"/>
    <w:rsid w:val="003857A9"/>
    <w:rsid w:val="00385F3F"/>
    <w:rsid w:val="003B5CAD"/>
    <w:rsid w:val="003C131F"/>
    <w:rsid w:val="003D4777"/>
    <w:rsid w:val="003D78C3"/>
    <w:rsid w:val="003E203A"/>
    <w:rsid w:val="003F610D"/>
    <w:rsid w:val="004034D4"/>
    <w:rsid w:val="00421B8F"/>
    <w:rsid w:val="00422A60"/>
    <w:rsid w:val="00443609"/>
    <w:rsid w:val="004625A4"/>
    <w:rsid w:val="00472EC4"/>
    <w:rsid w:val="004738E0"/>
    <w:rsid w:val="004743CB"/>
    <w:rsid w:val="004809A7"/>
    <w:rsid w:val="004974D5"/>
    <w:rsid w:val="004C504A"/>
    <w:rsid w:val="004D02B3"/>
    <w:rsid w:val="004D1602"/>
    <w:rsid w:val="004F1105"/>
    <w:rsid w:val="005007FB"/>
    <w:rsid w:val="00501493"/>
    <w:rsid w:val="0050781B"/>
    <w:rsid w:val="005103FD"/>
    <w:rsid w:val="00516AA3"/>
    <w:rsid w:val="005218D1"/>
    <w:rsid w:val="00522543"/>
    <w:rsid w:val="00531D3E"/>
    <w:rsid w:val="00536EEA"/>
    <w:rsid w:val="00540B3F"/>
    <w:rsid w:val="00540D5F"/>
    <w:rsid w:val="005612EA"/>
    <w:rsid w:val="00574AB1"/>
    <w:rsid w:val="00576258"/>
    <w:rsid w:val="005832D3"/>
    <w:rsid w:val="005945C1"/>
    <w:rsid w:val="005953CE"/>
    <w:rsid w:val="005D10EA"/>
    <w:rsid w:val="005E158A"/>
    <w:rsid w:val="005E1867"/>
    <w:rsid w:val="005E3A00"/>
    <w:rsid w:val="005F26E8"/>
    <w:rsid w:val="00600C0E"/>
    <w:rsid w:val="00601FA6"/>
    <w:rsid w:val="006052C4"/>
    <w:rsid w:val="00607204"/>
    <w:rsid w:val="0061014F"/>
    <w:rsid w:val="00615B2E"/>
    <w:rsid w:val="006174B4"/>
    <w:rsid w:val="00630419"/>
    <w:rsid w:val="006338A2"/>
    <w:rsid w:val="0063698A"/>
    <w:rsid w:val="0064344D"/>
    <w:rsid w:val="006616A0"/>
    <w:rsid w:val="00670206"/>
    <w:rsid w:val="006715AA"/>
    <w:rsid w:val="00673D47"/>
    <w:rsid w:val="00681D56"/>
    <w:rsid w:val="00684AA3"/>
    <w:rsid w:val="006877A2"/>
    <w:rsid w:val="00690BD1"/>
    <w:rsid w:val="00691B56"/>
    <w:rsid w:val="006B30E7"/>
    <w:rsid w:val="006C3964"/>
    <w:rsid w:val="006C4FF3"/>
    <w:rsid w:val="006C5953"/>
    <w:rsid w:val="006E2357"/>
    <w:rsid w:val="006F445A"/>
    <w:rsid w:val="00724524"/>
    <w:rsid w:val="00726BAC"/>
    <w:rsid w:val="00747AFB"/>
    <w:rsid w:val="00767741"/>
    <w:rsid w:val="00774BFD"/>
    <w:rsid w:val="007A675F"/>
    <w:rsid w:val="007B04C7"/>
    <w:rsid w:val="007B702F"/>
    <w:rsid w:val="00822784"/>
    <w:rsid w:val="0082708B"/>
    <w:rsid w:val="00855304"/>
    <w:rsid w:val="0085559D"/>
    <w:rsid w:val="00866975"/>
    <w:rsid w:val="00876661"/>
    <w:rsid w:val="0088446B"/>
    <w:rsid w:val="00885959"/>
    <w:rsid w:val="00891E40"/>
    <w:rsid w:val="00892A57"/>
    <w:rsid w:val="008A1301"/>
    <w:rsid w:val="008B1AC6"/>
    <w:rsid w:val="008B43AF"/>
    <w:rsid w:val="008C2A5C"/>
    <w:rsid w:val="008D25BD"/>
    <w:rsid w:val="008D6FEB"/>
    <w:rsid w:val="008E3EFD"/>
    <w:rsid w:val="008F3003"/>
    <w:rsid w:val="00902762"/>
    <w:rsid w:val="00914D4C"/>
    <w:rsid w:val="00920234"/>
    <w:rsid w:val="009223B2"/>
    <w:rsid w:val="00936BA3"/>
    <w:rsid w:val="0094659B"/>
    <w:rsid w:val="0094692C"/>
    <w:rsid w:val="00947DBE"/>
    <w:rsid w:val="00950368"/>
    <w:rsid w:val="00950603"/>
    <w:rsid w:val="00997004"/>
    <w:rsid w:val="009A1BF6"/>
    <w:rsid w:val="009A4919"/>
    <w:rsid w:val="009B49DD"/>
    <w:rsid w:val="009C6467"/>
    <w:rsid w:val="009F0FCB"/>
    <w:rsid w:val="00A007B0"/>
    <w:rsid w:val="00A03D5E"/>
    <w:rsid w:val="00A12341"/>
    <w:rsid w:val="00A2296D"/>
    <w:rsid w:val="00A27B6A"/>
    <w:rsid w:val="00A4419C"/>
    <w:rsid w:val="00A4613C"/>
    <w:rsid w:val="00A6641A"/>
    <w:rsid w:val="00A66A55"/>
    <w:rsid w:val="00A94C4D"/>
    <w:rsid w:val="00A950BC"/>
    <w:rsid w:val="00AB29D3"/>
    <w:rsid w:val="00AB7525"/>
    <w:rsid w:val="00AE24BB"/>
    <w:rsid w:val="00AE2D6D"/>
    <w:rsid w:val="00AE74AE"/>
    <w:rsid w:val="00AF5EBC"/>
    <w:rsid w:val="00B10945"/>
    <w:rsid w:val="00B113E0"/>
    <w:rsid w:val="00B22C07"/>
    <w:rsid w:val="00B41FDC"/>
    <w:rsid w:val="00B533E9"/>
    <w:rsid w:val="00B55D72"/>
    <w:rsid w:val="00B75C47"/>
    <w:rsid w:val="00B767D3"/>
    <w:rsid w:val="00B76F67"/>
    <w:rsid w:val="00BA1157"/>
    <w:rsid w:val="00BB5640"/>
    <w:rsid w:val="00C50922"/>
    <w:rsid w:val="00C53D99"/>
    <w:rsid w:val="00C723A5"/>
    <w:rsid w:val="00C7335B"/>
    <w:rsid w:val="00C81C9D"/>
    <w:rsid w:val="00CA7DC2"/>
    <w:rsid w:val="00CB7F09"/>
    <w:rsid w:val="00CC22A1"/>
    <w:rsid w:val="00CC3E37"/>
    <w:rsid w:val="00CC52CE"/>
    <w:rsid w:val="00CD45EC"/>
    <w:rsid w:val="00CF00DF"/>
    <w:rsid w:val="00CF2EB0"/>
    <w:rsid w:val="00D0338C"/>
    <w:rsid w:val="00D0610F"/>
    <w:rsid w:val="00D0638B"/>
    <w:rsid w:val="00D12A5F"/>
    <w:rsid w:val="00D254F7"/>
    <w:rsid w:val="00D51282"/>
    <w:rsid w:val="00D52AC3"/>
    <w:rsid w:val="00D630C6"/>
    <w:rsid w:val="00D80954"/>
    <w:rsid w:val="00D9431A"/>
    <w:rsid w:val="00DB0DA8"/>
    <w:rsid w:val="00DC481D"/>
    <w:rsid w:val="00DD4BFE"/>
    <w:rsid w:val="00DE0CDE"/>
    <w:rsid w:val="00DE3D72"/>
    <w:rsid w:val="00DE4C9E"/>
    <w:rsid w:val="00E0012C"/>
    <w:rsid w:val="00E003A7"/>
    <w:rsid w:val="00E104EC"/>
    <w:rsid w:val="00E12161"/>
    <w:rsid w:val="00E26D7F"/>
    <w:rsid w:val="00E3314F"/>
    <w:rsid w:val="00E3655A"/>
    <w:rsid w:val="00E42518"/>
    <w:rsid w:val="00E54DCE"/>
    <w:rsid w:val="00E603D1"/>
    <w:rsid w:val="00E61F0B"/>
    <w:rsid w:val="00E7324C"/>
    <w:rsid w:val="00E97A45"/>
    <w:rsid w:val="00EA3159"/>
    <w:rsid w:val="00EB1FA3"/>
    <w:rsid w:val="00EB51FE"/>
    <w:rsid w:val="00EF2D3C"/>
    <w:rsid w:val="00F037F9"/>
    <w:rsid w:val="00F0589B"/>
    <w:rsid w:val="00F10DBD"/>
    <w:rsid w:val="00F25DAA"/>
    <w:rsid w:val="00F50BA8"/>
    <w:rsid w:val="00F603E1"/>
    <w:rsid w:val="00F643C4"/>
    <w:rsid w:val="00F64755"/>
    <w:rsid w:val="00F66A4E"/>
    <w:rsid w:val="00FC0BF0"/>
    <w:rsid w:val="00FC4D66"/>
    <w:rsid w:val="00FD343A"/>
    <w:rsid w:val="00FE088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7D29"/>
  <w15:docId w15:val="{1242D976-E79B-4321-AD17-B3E14D6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F"/>
    <w:pPr>
      <w:spacing w:after="200" w:line="276" w:lineRule="auto"/>
    </w:pPr>
    <w:rPr>
      <w:sz w:val="22"/>
      <w:szCs w:val="22"/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5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E95"/>
    <w:pPr>
      <w:keepNext/>
      <w:numPr>
        <w:numId w:val="2"/>
      </w:numPr>
      <w:spacing w:before="240" w:after="60"/>
      <w:outlineLvl w:val="1"/>
    </w:pPr>
    <w:rPr>
      <w:rFonts w:eastAsia="Times New Roman"/>
      <w:b/>
      <w:bCs/>
      <w:i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1E95"/>
    <w:rPr>
      <w:rFonts w:ascii="Calibri" w:eastAsia="Times New Roman" w:hAnsi="Calibri" w:cs="Times New Roman"/>
      <w:b/>
      <w:bCs/>
      <w:kern w:val="32"/>
      <w:sz w:val="26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0C1E95"/>
    <w:rPr>
      <w:rFonts w:eastAsia="Times New Roman"/>
      <w:b/>
      <w:bCs/>
      <w:iCs/>
      <w:sz w:val="22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4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467"/>
    <w:rPr>
      <w:rFonts w:ascii="Tahoma" w:hAnsi="Tahoma" w:cs="Tahoma"/>
      <w:noProof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9C6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559D"/>
    <w:pPr>
      <w:spacing w:after="60" w:line="240" w:lineRule="auto"/>
    </w:pPr>
    <w:rPr>
      <w:rFonts w:ascii="Myriad Pro" w:eastAsia="Myriad Pro" w:hAnsi="Myriad Pro"/>
      <w:color w:val="000000"/>
      <w:sz w:val="20"/>
      <w:szCs w:val="20"/>
    </w:rPr>
  </w:style>
  <w:style w:type="character" w:customStyle="1" w:styleId="BodyTextChar">
    <w:name w:val="Body Text Char"/>
    <w:link w:val="BodyText"/>
    <w:rsid w:val="0085559D"/>
    <w:rPr>
      <w:rFonts w:ascii="Myriad Pro" w:eastAsia="Myriad Pro" w:hAnsi="Myriad Pro" w:cs="Myriad Pro"/>
      <w:color w:val="000000"/>
    </w:rPr>
  </w:style>
  <w:style w:type="paragraph" w:customStyle="1" w:styleId="Formfieldtext">
    <w:name w:val="Form field text"/>
    <w:basedOn w:val="Normal"/>
    <w:next w:val="BodyText"/>
    <w:link w:val="FormfieldtextChar"/>
    <w:rsid w:val="00337815"/>
    <w:pPr>
      <w:spacing w:after="0" w:line="240" w:lineRule="auto"/>
    </w:pPr>
    <w:rPr>
      <w:rFonts w:ascii="Arial Narrow" w:eastAsia="Times New Roman" w:hAnsi="Arial Narrow"/>
      <w:color w:val="000080"/>
      <w:sz w:val="20"/>
      <w:szCs w:val="18"/>
    </w:rPr>
  </w:style>
  <w:style w:type="character" w:customStyle="1" w:styleId="FormfieldtextChar">
    <w:name w:val="Form field text Char"/>
    <w:link w:val="Formfieldtext"/>
    <w:rsid w:val="00337815"/>
    <w:rPr>
      <w:rFonts w:ascii="Arial Narrow" w:eastAsia="Times New Roman" w:hAnsi="Arial Narrow" w:cs="Arial"/>
      <w:color w:val="000080"/>
      <w:szCs w:val="18"/>
    </w:rPr>
  </w:style>
  <w:style w:type="character" w:styleId="Hyperlink">
    <w:name w:val="Hyperlink"/>
    <w:uiPriority w:val="99"/>
    <w:unhideWhenUsed/>
    <w:rsid w:val="008A13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3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0B1"/>
    <w:rPr>
      <w:noProof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0B1"/>
    <w:rPr>
      <w:b/>
      <w:bCs/>
      <w:noProof/>
      <w:lang w:val="fr-FR" w:eastAsia="en-US"/>
    </w:rPr>
  </w:style>
  <w:style w:type="paragraph" w:styleId="ListParagraph">
    <w:name w:val="List Paragraph"/>
    <w:basedOn w:val="Normal"/>
    <w:uiPriority w:val="34"/>
    <w:qFormat/>
    <w:rsid w:val="001A58AC"/>
    <w:pPr>
      <w:spacing w:after="0" w:line="240" w:lineRule="auto"/>
      <w:ind w:left="720"/>
    </w:pPr>
    <w:rPr>
      <w:rFonts w:cs="Calibri"/>
      <w:lang w:val="fr-CH"/>
    </w:rPr>
  </w:style>
  <w:style w:type="character" w:customStyle="1" w:styleId="apple-converted-space">
    <w:name w:val="apple-converted-space"/>
    <w:basedOn w:val="DefaultParagraphFont"/>
    <w:rsid w:val="00B55D72"/>
  </w:style>
  <w:style w:type="table" w:styleId="LightShading-Accent1">
    <w:name w:val="Light Shading Accent 1"/>
    <w:basedOn w:val="TableNormal"/>
    <w:uiPriority w:val="60"/>
    <w:rsid w:val="001E6E9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396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2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G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258"/>
    <w:rPr>
      <w:rFonts w:asciiTheme="minorHAnsi" w:eastAsiaTheme="minorHAnsi" w:hAnsiTheme="minorHAnsi" w:cstheme="minorBidi"/>
      <w:lang w:val="es-GT"/>
    </w:rPr>
  </w:style>
  <w:style w:type="character" w:styleId="FootnoteReference">
    <w:name w:val="footnote reference"/>
    <w:basedOn w:val="DefaultParagraphFont"/>
    <w:uiPriority w:val="99"/>
    <w:semiHidden/>
    <w:unhideWhenUsed/>
    <w:rsid w:val="00576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7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9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CFFA-4C60-4527-AEDD-CBB3EBE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10578</CharactersWithSpaces>
  <SharedDoc>false</SharedDoc>
  <HLinks>
    <vt:vector size="12" baseType="variant"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http://www.mrv.mx/index.php/en/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http://www.encc.gob.mx/en/documentos/general-climate-change-law.pdf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Fach</dc:creator>
  <cp:lastModifiedBy>Jose Arturo Santos</cp:lastModifiedBy>
  <cp:revision>2</cp:revision>
  <cp:lastPrinted>2014-07-25T13:25:00Z</cp:lastPrinted>
  <dcterms:created xsi:type="dcterms:W3CDTF">2016-02-15T15:29:00Z</dcterms:created>
  <dcterms:modified xsi:type="dcterms:W3CDTF">2016-02-15T15:29:00Z</dcterms:modified>
</cp:coreProperties>
</file>