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1C" w:rsidRDefault="00295470" w:rsidP="00C30BBE">
      <w:pPr>
        <w:jc w:val="center"/>
        <w:rPr>
          <w:sz w:val="40"/>
          <w:szCs w:val="40"/>
          <w:lang w:val="en-US"/>
        </w:rPr>
      </w:pPr>
      <w:r>
        <w:rPr>
          <w:sz w:val="40"/>
          <w:szCs w:val="40"/>
          <w:lang w:val="en-US"/>
        </w:rPr>
        <w:t>Annex 3</w:t>
      </w:r>
    </w:p>
    <w:p w:rsidR="00CC2D0E" w:rsidRDefault="00C30BBE" w:rsidP="00C30BBE">
      <w:pPr>
        <w:jc w:val="center"/>
        <w:rPr>
          <w:sz w:val="40"/>
          <w:szCs w:val="40"/>
          <w:lang w:val="en-US"/>
        </w:rPr>
      </w:pPr>
      <w:r>
        <w:rPr>
          <w:sz w:val="40"/>
          <w:szCs w:val="40"/>
          <w:lang w:val="en-US"/>
        </w:rPr>
        <w:t>Proposed work</w:t>
      </w:r>
      <w:r w:rsidR="00CC2D0E">
        <w:rPr>
          <w:sz w:val="40"/>
          <w:szCs w:val="40"/>
          <w:lang w:val="en-US"/>
        </w:rPr>
        <w:t xml:space="preserve"> </w:t>
      </w:r>
      <w:r>
        <w:rPr>
          <w:sz w:val="40"/>
          <w:szCs w:val="40"/>
          <w:lang w:val="en-US"/>
        </w:rPr>
        <w:t>plan for the Expert Group</w:t>
      </w:r>
      <w:r w:rsidR="00BF7A3B">
        <w:rPr>
          <w:sz w:val="40"/>
          <w:szCs w:val="40"/>
          <w:lang w:val="en-US"/>
        </w:rPr>
        <w:t xml:space="preserve"> </w:t>
      </w:r>
      <w:bookmarkStart w:id="0" w:name="_GoBack"/>
      <w:bookmarkEnd w:id="0"/>
    </w:p>
    <w:p w:rsidR="00C30BBE" w:rsidRPr="00C30BBE" w:rsidRDefault="0003601C" w:rsidP="00C30BBE">
      <w:pPr>
        <w:jc w:val="center"/>
        <w:rPr>
          <w:sz w:val="40"/>
          <w:szCs w:val="40"/>
          <w:lang w:val="en-US"/>
        </w:rPr>
      </w:pPr>
      <w:r>
        <w:rPr>
          <w:sz w:val="40"/>
          <w:szCs w:val="40"/>
          <w:lang w:val="en-US"/>
        </w:rPr>
        <w:t>(</w:t>
      </w:r>
      <w:r w:rsidR="00BC0DB6">
        <w:rPr>
          <w:sz w:val="40"/>
          <w:szCs w:val="40"/>
          <w:lang w:val="en-US"/>
        </w:rPr>
        <w:t>Jan 2014</w:t>
      </w:r>
      <w:r>
        <w:rPr>
          <w:sz w:val="40"/>
          <w:szCs w:val="40"/>
          <w:lang w:val="en-US"/>
        </w:rPr>
        <w:t xml:space="preserve"> – </w:t>
      </w:r>
      <w:r w:rsidR="00BC0DB6">
        <w:rPr>
          <w:sz w:val="40"/>
          <w:szCs w:val="40"/>
          <w:lang w:val="en-US"/>
        </w:rPr>
        <w:t>June</w:t>
      </w:r>
      <w:r>
        <w:rPr>
          <w:sz w:val="40"/>
          <w:szCs w:val="40"/>
          <w:lang w:val="en-US"/>
        </w:rPr>
        <w:t xml:space="preserve"> 2014</w:t>
      </w:r>
      <w:r w:rsidR="00BF7A3B">
        <w:rPr>
          <w:sz w:val="40"/>
          <w:szCs w:val="40"/>
          <w:lang w:val="en-US"/>
        </w:rPr>
        <w:t>)</w:t>
      </w:r>
    </w:p>
    <w:p w:rsidR="00C30BBE" w:rsidRDefault="00C30BBE" w:rsidP="00C30BBE">
      <w:pPr>
        <w:rPr>
          <w:lang w:val="en-US"/>
        </w:rPr>
      </w:pPr>
    </w:p>
    <w:tbl>
      <w:tblPr>
        <w:tblW w:w="11624" w:type="dxa"/>
        <w:tblInd w:w="-1132" w:type="dxa"/>
        <w:tblCellMar>
          <w:left w:w="0" w:type="dxa"/>
          <w:right w:w="0" w:type="dxa"/>
        </w:tblCellMar>
        <w:tblLook w:val="0420" w:firstRow="1" w:lastRow="0" w:firstColumn="0" w:lastColumn="0" w:noHBand="0" w:noVBand="1"/>
      </w:tblPr>
      <w:tblGrid>
        <w:gridCol w:w="7440"/>
        <w:gridCol w:w="4184"/>
      </w:tblGrid>
      <w:tr w:rsidR="00C30BBE" w:rsidRPr="00C30BBE" w:rsidTr="00795B8A">
        <w:trPr>
          <w:trHeight w:val="538"/>
        </w:trPr>
        <w:tc>
          <w:tcPr>
            <w:tcW w:w="74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0BBE" w:rsidRPr="00C30BBE" w:rsidRDefault="00C30BBE" w:rsidP="00C30BBE">
            <w:pPr>
              <w:spacing w:after="0" w:line="240" w:lineRule="auto"/>
              <w:rPr>
                <w:rFonts w:ascii="Arial" w:eastAsia="Times New Roman" w:hAnsi="Arial" w:cs="Arial"/>
                <w:sz w:val="36"/>
                <w:szCs w:val="36"/>
                <w:lang w:eastAsia="vi-VN"/>
              </w:rPr>
            </w:pPr>
            <w:r w:rsidRPr="00C30BBE">
              <w:rPr>
                <w:rFonts w:ascii="Calibri" w:eastAsia="Times New Roman" w:hAnsi="Calibri" w:cs="Arial"/>
                <w:b/>
                <w:bCs/>
                <w:color w:val="FFFFFF" w:themeColor="light1"/>
                <w:kern w:val="24"/>
                <w:sz w:val="26"/>
                <w:szCs w:val="26"/>
                <w:lang w:val="en-US" w:eastAsia="vi-VN"/>
              </w:rPr>
              <w:t xml:space="preserve">Activities </w:t>
            </w:r>
          </w:p>
        </w:tc>
        <w:tc>
          <w:tcPr>
            <w:tcW w:w="41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0BBE" w:rsidRPr="00C30BBE" w:rsidRDefault="00C30BBE" w:rsidP="00C30BBE">
            <w:pPr>
              <w:spacing w:after="0" w:line="240" w:lineRule="auto"/>
              <w:rPr>
                <w:rFonts w:ascii="Arial" w:eastAsia="Times New Roman" w:hAnsi="Arial" w:cs="Arial"/>
                <w:sz w:val="36"/>
                <w:szCs w:val="36"/>
                <w:lang w:eastAsia="vi-VN"/>
              </w:rPr>
            </w:pPr>
            <w:r w:rsidRPr="00C30BBE">
              <w:rPr>
                <w:rFonts w:ascii="Calibri" w:eastAsia="Times New Roman" w:hAnsi="Calibri" w:cs="Arial"/>
                <w:b/>
                <w:bCs/>
                <w:color w:val="FFFFFF" w:themeColor="light1"/>
                <w:kern w:val="24"/>
                <w:sz w:val="26"/>
                <w:szCs w:val="26"/>
                <w:lang w:val="en-US" w:eastAsia="vi-VN"/>
              </w:rPr>
              <w:t xml:space="preserve">Schedule  </w:t>
            </w:r>
          </w:p>
        </w:tc>
      </w:tr>
      <w:tr w:rsidR="00C30BBE" w:rsidRPr="00C30BBE" w:rsidTr="00795B8A">
        <w:trPr>
          <w:trHeight w:val="1355"/>
        </w:trPr>
        <w:tc>
          <w:tcPr>
            <w:tcW w:w="7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0BBE" w:rsidRPr="00C30BBE" w:rsidRDefault="00C30BBE" w:rsidP="00C30BBE">
            <w:pPr>
              <w:pStyle w:val="ListParagraph"/>
              <w:numPr>
                <w:ilvl w:val="0"/>
                <w:numId w:val="2"/>
              </w:numPr>
              <w:rPr>
                <w:rFonts w:ascii="Arial" w:hAnsi="Arial" w:cs="Arial"/>
                <w:sz w:val="26"/>
                <w:szCs w:val="36"/>
              </w:rPr>
            </w:pPr>
            <w:r w:rsidRPr="00C30BBE">
              <w:rPr>
                <w:rFonts w:ascii="Calibri" w:hAnsi="Calibri" w:cs="Arial"/>
                <w:color w:val="000000" w:themeColor="dark1"/>
                <w:kern w:val="24"/>
                <w:sz w:val="26"/>
                <w:szCs w:val="26"/>
                <w:lang w:val="en-US"/>
              </w:rPr>
              <w:t>Reviewing the PGA work done so far in Lam Dong including the ICA report where major governance issues were identified, and the proposed framework, structure, measurement flow prepared by the provincial working group.</w:t>
            </w:r>
          </w:p>
        </w:tc>
        <w:tc>
          <w:tcPr>
            <w:tcW w:w="41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0BBE" w:rsidRPr="00C30BBE" w:rsidRDefault="00C30BBE" w:rsidP="00C03EBC">
            <w:pPr>
              <w:spacing w:after="0" w:line="240" w:lineRule="auto"/>
              <w:rPr>
                <w:rFonts w:ascii="Arial" w:eastAsia="Times New Roman" w:hAnsi="Arial" w:cs="Arial"/>
                <w:sz w:val="36"/>
                <w:szCs w:val="36"/>
                <w:lang w:eastAsia="vi-VN"/>
              </w:rPr>
            </w:pPr>
            <w:r w:rsidRPr="00C30BBE">
              <w:rPr>
                <w:rFonts w:ascii="Calibri" w:eastAsia="Times New Roman" w:hAnsi="Calibri" w:cs="Arial"/>
                <w:color w:val="000000" w:themeColor="dark1"/>
                <w:kern w:val="24"/>
                <w:sz w:val="26"/>
                <w:szCs w:val="26"/>
                <w:lang w:val="en-US" w:eastAsia="vi-VN"/>
              </w:rPr>
              <w:t xml:space="preserve">1-2 day reading and working meeting during the </w:t>
            </w:r>
            <w:r w:rsidR="00C03EBC">
              <w:rPr>
                <w:rFonts w:ascii="Calibri" w:eastAsia="Times New Roman" w:hAnsi="Calibri" w:cs="Arial"/>
                <w:color w:val="000000" w:themeColor="dark1"/>
                <w:kern w:val="24"/>
                <w:sz w:val="26"/>
                <w:szCs w:val="26"/>
                <w:lang w:val="en-US" w:eastAsia="vi-VN"/>
              </w:rPr>
              <w:t>first week of December</w:t>
            </w:r>
            <w:r w:rsidRPr="00C30BBE">
              <w:rPr>
                <w:rFonts w:ascii="Calibri" w:eastAsia="Times New Roman" w:hAnsi="Calibri" w:cs="Arial"/>
                <w:color w:val="000000" w:themeColor="dark1"/>
                <w:kern w:val="24"/>
                <w:sz w:val="26"/>
                <w:szCs w:val="26"/>
                <w:lang w:val="en-US" w:eastAsia="vi-VN"/>
              </w:rPr>
              <w:t xml:space="preserve"> (exact time and place TBD)</w:t>
            </w:r>
          </w:p>
        </w:tc>
      </w:tr>
      <w:tr w:rsidR="00C30BBE" w:rsidRPr="00C30BBE" w:rsidTr="00795B8A">
        <w:trPr>
          <w:trHeight w:val="1390"/>
        </w:trPr>
        <w:tc>
          <w:tcPr>
            <w:tcW w:w="7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03EBC" w:rsidRPr="00C03EBC" w:rsidRDefault="00C30BBE" w:rsidP="00C03EBC">
            <w:pPr>
              <w:pStyle w:val="ListParagraph"/>
              <w:numPr>
                <w:ilvl w:val="0"/>
                <w:numId w:val="2"/>
              </w:numPr>
              <w:rPr>
                <w:rFonts w:ascii="Arial" w:hAnsi="Arial" w:cs="Arial"/>
                <w:sz w:val="36"/>
                <w:szCs w:val="36"/>
              </w:rPr>
            </w:pPr>
            <w:r w:rsidRPr="00C30BBE">
              <w:rPr>
                <w:rFonts w:ascii="Calibri" w:hAnsi="Calibri" w:cs="Arial"/>
                <w:color w:val="000000" w:themeColor="dark1"/>
                <w:kern w:val="24"/>
                <w:sz w:val="26"/>
                <w:szCs w:val="26"/>
                <w:lang w:val="en-US"/>
              </w:rPr>
              <w:t xml:space="preserve">PGA expert group reviews </w:t>
            </w:r>
          </w:p>
          <w:p w:rsidR="00C30BBE" w:rsidRPr="00C03EBC" w:rsidRDefault="00C30BBE" w:rsidP="00C03EBC">
            <w:pPr>
              <w:pStyle w:val="ListParagraph"/>
              <w:numPr>
                <w:ilvl w:val="1"/>
                <w:numId w:val="2"/>
              </w:numPr>
              <w:rPr>
                <w:rFonts w:ascii="Arial" w:hAnsi="Arial" w:cs="Arial"/>
                <w:sz w:val="36"/>
                <w:szCs w:val="36"/>
              </w:rPr>
            </w:pPr>
            <w:proofErr w:type="gramStart"/>
            <w:r w:rsidRPr="00C30BBE">
              <w:rPr>
                <w:rFonts w:ascii="Calibri" w:hAnsi="Calibri" w:cs="Arial"/>
                <w:color w:val="000000" w:themeColor="dark1"/>
                <w:kern w:val="24"/>
                <w:sz w:val="26"/>
                <w:szCs w:val="26"/>
                <w:lang w:val="en-US"/>
              </w:rPr>
              <w:t>the</w:t>
            </w:r>
            <w:proofErr w:type="gramEnd"/>
            <w:r w:rsidRPr="00C30BBE">
              <w:rPr>
                <w:rFonts w:ascii="Calibri" w:hAnsi="Calibri" w:cs="Arial"/>
                <w:color w:val="000000" w:themeColor="dark1"/>
                <w:kern w:val="24"/>
                <w:sz w:val="26"/>
                <w:szCs w:val="26"/>
                <w:lang w:val="en-US"/>
              </w:rPr>
              <w:t xml:space="preserve"> existing main governance issues by assessing whether the main governance issues existing governance issues are the most important governance challenges.</w:t>
            </w:r>
            <w:r w:rsidR="00C03EBC">
              <w:rPr>
                <w:rFonts w:ascii="Calibri" w:hAnsi="Calibri" w:cs="Arial"/>
                <w:color w:val="000000" w:themeColor="dark1"/>
                <w:kern w:val="24"/>
                <w:sz w:val="26"/>
                <w:szCs w:val="26"/>
                <w:lang w:val="en-US"/>
              </w:rPr>
              <w:t xml:space="preserve"> </w:t>
            </w:r>
          </w:p>
          <w:p w:rsidR="00C03EBC" w:rsidRPr="00C03EBC" w:rsidRDefault="00C03EBC" w:rsidP="00C03EBC">
            <w:pPr>
              <w:pStyle w:val="ListParagraph"/>
              <w:numPr>
                <w:ilvl w:val="1"/>
                <w:numId w:val="2"/>
              </w:numPr>
              <w:rPr>
                <w:rFonts w:ascii="Arial" w:hAnsi="Arial" w:cs="Arial"/>
                <w:sz w:val="36"/>
                <w:szCs w:val="36"/>
              </w:rPr>
            </w:pPr>
            <w:proofErr w:type="gramStart"/>
            <w:r w:rsidRPr="00C30BBE">
              <w:rPr>
                <w:rFonts w:ascii="Calibri" w:hAnsi="Calibri" w:cs="Arial"/>
                <w:color w:val="000000" w:themeColor="dark1"/>
                <w:kern w:val="24"/>
                <w:sz w:val="26"/>
                <w:szCs w:val="26"/>
                <w:lang w:val="en-US"/>
              </w:rPr>
              <w:t>the</w:t>
            </w:r>
            <w:proofErr w:type="gramEnd"/>
            <w:r w:rsidRPr="00C30BBE">
              <w:rPr>
                <w:rFonts w:ascii="Calibri" w:hAnsi="Calibri" w:cs="Arial"/>
                <w:color w:val="000000" w:themeColor="dark1"/>
                <w:kern w:val="24"/>
                <w:sz w:val="26"/>
                <w:szCs w:val="26"/>
                <w:lang w:val="en-US"/>
              </w:rPr>
              <w:t xml:space="preserve"> existing indicators by using the following criteria: whether the existing indicator is relevant, significant, discriminating power and data availability.</w:t>
            </w:r>
          </w:p>
        </w:tc>
        <w:tc>
          <w:tcPr>
            <w:tcW w:w="4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03EBC" w:rsidRDefault="00C30BBE" w:rsidP="00C03EBC">
            <w:pPr>
              <w:spacing w:after="0" w:line="240" w:lineRule="auto"/>
              <w:rPr>
                <w:rFonts w:ascii="Calibri" w:eastAsia="Times New Roman" w:hAnsi="Calibri" w:cs="Arial"/>
                <w:color w:val="000000" w:themeColor="dark1"/>
                <w:kern w:val="24"/>
                <w:sz w:val="26"/>
                <w:szCs w:val="26"/>
                <w:lang w:val="en-US" w:eastAsia="vi-VN"/>
              </w:rPr>
            </w:pPr>
            <w:r w:rsidRPr="00C30BBE">
              <w:rPr>
                <w:rFonts w:ascii="Calibri" w:eastAsia="Times New Roman" w:hAnsi="Calibri" w:cs="Arial"/>
                <w:color w:val="000000" w:themeColor="dark1"/>
                <w:kern w:val="24"/>
                <w:sz w:val="26"/>
                <w:szCs w:val="26"/>
                <w:lang w:val="en-US" w:eastAsia="vi-VN"/>
              </w:rPr>
              <w:t>Written comments and suggestion for revising/re-identifying the main governance issues</w:t>
            </w:r>
            <w:r w:rsidR="00C03EBC">
              <w:rPr>
                <w:rFonts w:ascii="Calibri" w:eastAsia="Times New Roman" w:hAnsi="Calibri" w:cs="Arial"/>
                <w:color w:val="000000" w:themeColor="dark1"/>
                <w:kern w:val="24"/>
                <w:sz w:val="26"/>
                <w:szCs w:val="26"/>
                <w:lang w:val="en-US" w:eastAsia="vi-VN"/>
              </w:rPr>
              <w:t xml:space="preserve"> </w:t>
            </w:r>
          </w:p>
          <w:p w:rsidR="00C03EBC" w:rsidRDefault="00C03EBC" w:rsidP="00C03EBC">
            <w:pPr>
              <w:spacing w:after="0" w:line="240" w:lineRule="auto"/>
              <w:rPr>
                <w:rFonts w:ascii="Calibri" w:eastAsia="Times New Roman" w:hAnsi="Calibri" w:cs="Arial"/>
                <w:color w:val="000000" w:themeColor="dark1"/>
                <w:kern w:val="24"/>
                <w:sz w:val="26"/>
                <w:szCs w:val="26"/>
                <w:lang w:val="en-US" w:eastAsia="vi-VN"/>
              </w:rPr>
            </w:pPr>
          </w:p>
          <w:p w:rsidR="00C03EBC" w:rsidRDefault="00C03EBC" w:rsidP="00C03EBC">
            <w:pPr>
              <w:spacing w:after="0" w:line="240" w:lineRule="auto"/>
              <w:rPr>
                <w:rFonts w:ascii="Calibri" w:eastAsia="Times New Roman" w:hAnsi="Calibri" w:cs="Arial"/>
                <w:color w:val="000000" w:themeColor="dark1"/>
                <w:kern w:val="24"/>
                <w:sz w:val="26"/>
                <w:szCs w:val="26"/>
                <w:lang w:val="en-US" w:eastAsia="vi-VN"/>
              </w:rPr>
            </w:pPr>
          </w:p>
          <w:p w:rsidR="00C30BBE" w:rsidRPr="00C30BBE" w:rsidRDefault="00C03EBC" w:rsidP="00C03EBC">
            <w:pPr>
              <w:spacing w:after="0" w:line="240" w:lineRule="auto"/>
              <w:rPr>
                <w:rFonts w:ascii="Arial" w:eastAsia="Times New Roman" w:hAnsi="Arial" w:cs="Arial"/>
                <w:sz w:val="36"/>
                <w:szCs w:val="36"/>
                <w:lang w:eastAsia="vi-VN"/>
              </w:rPr>
            </w:pPr>
            <w:r w:rsidRPr="00C30BBE">
              <w:rPr>
                <w:rFonts w:ascii="Calibri" w:eastAsia="Times New Roman" w:hAnsi="Calibri" w:cs="Arial"/>
                <w:color w:val="000000" w:themeColor="dark1"/>
                <w:kern w:val="24"/>
                <w:sz w:val="26"/>
                <w:szCs w:val="26"/>
                <w:lang w:val="en-US" w:eastAsia="vi-VN"/>
              </w:rPr>
              <w:t>Written comments and suggestion for revising indicators to be summit</w:t>
            </w:r>
            <w:r>
              <w:rPr>
                <w:rFonts w:ascii="Calibri" w:eastAsia="Times New Roman" w:hAnsi="Calibri" w:cs="Arial"/>
                <w:color w:val="000000" w:themeColor="dark1"/>
                <w:kern w:val="24"/>
                <w:sz w:val="26"/>
                <w:szCs w:val="26"/>
                <w:lang w:val="en-US" w:eastAsia="vi-VN"/>
              </w:rPr>
              <w:t>ed on the first week of January</w:t>
            </w:r>
          </w:p>
        </w:tc>
      </w:tr>
      <w:tr w:rsidR="00C30BBE" w:rsidRPr="00C30BBE" w:rsidTr="00795B8A">
        <w:trPr>
          <w:trHeight w:val="1390"/>
        </w:trPr>
        <w:tc>
          <w:tcPr>
            <w:tcW w:w="7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03EBC" w:rsidRPr="00C03EBC" w:rsidRDefault="00C03EBC" w:rsidP="00C03EBC">
            <w:pPr>
              <w:pStyle w:val="ListParagraph"/>
              <w:numPr>
                <w:ilvl w:val="0"/>
                <w:numId w:val="2"/>
              </w:numPr>
              <w:rPr>
                <w:rFonts w:ascii="Arial" w:hAnsi="Arial" w:cs="Arial"/>
                <w:sz w:val="36"/>
                <w:szCs w:val="36"/>
              </w:rPr>
            </w:pPr>
            <w:r>
              <w:rPr>
                <w:rFonts w:ascii="Calibri" w:hAnsi="Calibri" w:cs="Arial"/>
                <w:color w:val="000000" w:themeColor="dark1"/>
                <w:kern w:val="24"/>
                <w:sz w:val="26"/>
                <w:szCs w:val="26"/>
                <w:lang w:val="en-US"/>
              </w:rPr>
              <w:t>PGA expert group proposes</w:t>
            </w:r>
          </w:p>
          <w:p w:rsidR="00C03EBC" w:rsidRPr="00C03EBC" w:rsidRDefault="00C03EBC" w:rsidP="00C03EBC">
            <w:pPr>
              <w:pStyle w:val="ListParagraph"/>
              <w:numPr>
                <w:ilvl w:val="1"/>
                <w:numId w:val="2"/>
              </w:numPr>
              <w:rPr>
                <w:rFonts w:ascii="Arial" w:hAnsi="Arial" w:cs="Arial"/>
                <w:sz w:val="36"/>
                <w:szCs w:val="36"/>
              </w:rPr>
            </w:pPr>
            <w:r>
              <w:rPr>
                <w:rFonts w:ascii="Calibri" w:hAnsi="Calibri" w:cs="Arial"/>
                <w:color w:val="000000" w:themeColor="dark1"/>
                <w:kern w:val="24"/>
                <w:sz w:val="26"/>
                <w:szCs w:val="26"/>
                <w:lang w:val="en-US"/>
              </w:rPr>
              <w:t>new main governance issues</w:t>
            </w:r>
          </w:p>
          <w:p w:rsidR="00C30BBE" w:rsidRPr="00C30BBE" w:rsidRDefault="00C30BBE" w:rsidP="00C03EBC">
            <w:pPr>
              <w:pStyle w:val="ListParagraph"/>
              <w:numPr>
                <w:ilvl w:val="1"/>
                <w:numId w:val="2"/>
              </w:numPr>
              <w:rPr>
                <w:rFonts w:ascii="Arial" w:hAnsi="Arial" w:cs="Arial"/>
                <w:sz w:val="36"/>
                <w:szCs w:val="36"/>
              </w:rPr>
            </w:pPr>
            <w:r w:rsidRPr="00C30BBE">
              <w:rPr>
                <w:rFonts w:ascii="Calibri" w:hAnsi="Calibri" w:cs="Arial"/>
                <w:color w:val="000000" w:themeColor="dark1"/>
                <w:kern w:val="24"/>
                <w:sz w:val="26"/>
                <w:szCs w:val="26"/>
                <w:lang w:val="en-US"/>
              </w:rPr>
              <w:t xml:space="preserve"> </w:t>
            </w:r>
            <w:r w:rsidR="00C03EBC">
              <w:rPr>
                <w:rFonts w:ascii="Calibri" w:hAnsi="Calibri" w:cs="Arial"/>
                <w:color w:val="000000" w:themeColor="dark1"/>
                <w:kern w:val="24"/>
                <w:sz w:val="26"/>
                <w:szCs w:val="26"/>
                <w:lang w:val="en-US"/>
              </w:rPr>
              <w:t>a new indicator set and data collection instrument</w:t>
            </w:r>
          </w:p>
        </w:tc>
        <w:tc>
          <w:tcPr>
            <w:tcW w:w="41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0BBE" w:rsidRPr="00C97894" w:rsidRDefault="00C97894" w:rsidP="00C30BBE">
            <w:pPr>
              <w:spacing w:after="0" w:line="240" w:lineRule="auto"/>
              <w:rPr>
                <w:rFonts w:ascii="Calibri" w:eastAsia="Times New Roman" w:hAnsi="Calibri" w:cs="Arial"/>
                <w:sz w:val="26"/>
                <w:szCs w:val="26"/>
                <w:lang w:eastAsia="vi-VN"/>
              </w:rPr>
            </w:pPr>
            <w:r w:rsidRPr="00C97894">
              <w:rPr>
                <w:rFonts w:ascii="Calibri" w:eastAsia="Times New Roman" w:hAnsi="Calibri" w:cs="Arial"/>
                <w:sz w:val="26"/>
                <w:szCs w:val="26"/>
                <w:lang w:eastAsia="vi-VN"/>
              </w:rPr>
              <w:t>Written comments and suggestion</w:t>
            </w:r>
          </w:p>
        </w:tc>
      </w:tr>
      <w:tr w:rsidR="00C30BBE" w:rsidRPr="00C30BBE" w:rsidTr="00795B8A">
        <w:trPr>
          <w:trHeight w:val="1622"/>
        </w:trPr>
        <w:tc>
          <w:tcPr>
            <w:tcW w:w="7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0BBE" w:rsidRPr="00C30BBE" w:rsidRDefault="00C03EBC" w:rsidP="00C03EBC">
            <w:pPr>
              <w:pStyle w:val="ListParagraph"/>
              <w:numPr>
                <w:ilvl w:val="0"/>
                <w:numId w:val="2"/>
              </w:numPr>
              <w:rPr>
                <w:rFonts w:ascii="Arial" w:hAnsi="Arial" w:cs="Arial"/>
                <w:sz w:val="36"/>
                <w:szCs w:val="36"/>
              </w:rPr>
            </w:pPr>
            <w:r>
              <w:rPr>
                <w:rFonts w:ascii="Calibri" w:hAnsi="Calibri" w:cs="Arial"/>
                <w:color w:val="000000" w:themeColor="dark1"/>
                <w:kern w:val="24"/>
                <w:sz w:val="26"/>
                <w:szCs w:val="26"/>
                <w:lang w:val="en-US"/>
              </w:rPr>
              <w:t>PGA expert group reviews</w:t>
            </w:r>
            <w:r w:rsidR="00C30BBE" w:rsidRPr="00C30BBE">
              <w:rPr>
                <w:rFonts w:ascii="Calibri" w:hAnsi="Calibri" w:cs="Arial"/>
                <w:color w:val="000000" w:themeColor="dark1"/>
                <w:kern w:val="24"/>
                <w:sz w:val="26"/>
                <w:szCs w:val="26"/>
                <w:lang w:val="en-US"/>
              </w:rPr>
              <w:t xml:space="preserve"> the revised indicators applying the following criteria: linkage one to another indicator, comprehensiveness, relevance, significance and data availability. </w:t>
            </w:r>
          </w:p>
        </w:tc>
        <w:tc>
          <w:tcPr>
            <w:tcW w:w="4184" w:type="dxa"/>
            <w:vMerge w:val="restar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0BBE" w:rsidRPr="00C30BBE" w:rsidRDefault="00C30BBE" w:rsidP="00C03EBC">
            <w:pPr>
              <w:spacing w:after="0" w:line="240" w:lineRule="auto"/>
              <w:rPr>
                <w:rFonts w:ascii="Arial" w:eastAsia="Times New Roman" w:hAnsi="Arial" w:cs="Arial"/>
                <w:sz w:val="36"/>
                <w:szCs w:val="36"/>
                <w:lang w:eastAsia="vi-VN"/>
              </w:rPr>
            </w:pPr>
            <w:r w:rsidRPr="00C30BBE">
              <w:rPr>
                <w:rFonts w:ascii="Calibri" w:eastAsia="Times New Roman" w:hAnsi="Calibri" w:cs="Arial"/>
                <w:color w:val="000000" w:themeColor="dark1"/>
                <w:kern w:val="24"/>
                <w:sz w:val="26"/>
                <w:szCs w:val="26"/>
                <w:lang w:val="en-US" w:eastAsia="vi-VN"/>
              </w:rPr>
              <w:t xml:space="preserve">Working Meeting to discuss the revised indicator together (1-2 day </w:t>
            </w:r>
            <w:r w:rsidR="00C03EBC">
              <w:rPr>
                <w:rFonts w:ascii="Calibri" w:eastAsia="Times New Roman" w:hAnsi="Calibri" w:cs="Arial"/>
                <w:color w:val="000000" w:themeColor="dark1"/>
                <w:kern w:val="24"/>
                <w:sz w:val="26"/>
                <w:szCs w:val="26"/>
                <w:lang w:val="en-US" w:eastAsia="vi-VN"/>
              </w:rPr>
              <w:t>meeting in Hanoi</w:t>
            </w:r>
            <w:r w:rsidRPr="00C30BBE">
              <w:rPr>
                <w:rFonts w:ascii="Calibri" w:eastAsia="Times New Roman" w:hAnsi="Calibri" w:cs="Arial"/>
                <w:color w:val="000000" w:themeColor="dark1"/>
                <w:kern w:val="24"/>
                <w:sz w:val="26"/>
                <w:szCs w:val="26"/>
                <w:lang w:val="en-US" w:eastAsia="vi-VN"/>
              </w:rPr>
              <w:t>)</w:t>
            </w:r>
          </w:p>
        </w:tc>
      </w:tr>
      <w:tr w:rsidR="00C30BBE" w:rsidRPr="00C30BBE" w:rsidTr="00795B8A">
        <w:trPr>
          <w:trHeight w:val="1028"/>
        </w:trPr>
        <w:tc>
          <w:tcPr>
            <w:tcW w:w="7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0BBE" w:rsidRPr="00C30BBE" w:rsidRDefault="00C30BBE" w:rsidP="00C30BBE">
            <w:pPr>
              <w:pStyle w:val="ListParagraph"/>
              <w:numPr>
                <w:ilvl w:val="0"/>
                <w:numId w:val="2"/>
              </w:numPr>
              <w:rPr>
                <w:rFonts w:ascii="Arial" w:hAnsi="Arial" w:cs="Arial"/>
                <w:sz w:val="36"/>
                <w:szCs w:val="36"/>
              </w:rPr>
            </w:pPr>
            <w:r w:rsidRPr="00C30BBE">
              <w:rPr>
                <w:rFonts w:ascii="Calibri" w:hAnsi="Calibri" w:cs="Arial"/>
                <w:color w:val="000000" w:themeColor="dark1"/>
                <w:kern w:val="24"/>
                <w:sz w:val="26"/>
                <w:szCs w:val="26"/>
                <w:lang w:val="en-US"/>
              </w:rPr>
              <w:t xml:space="preserve">Reviewing and finalizing measurement items for each indicator </w:t>
            </w:r>
          </w:p>
        </w:tc>
        <w:tc>
          <w:tcPr>
            <w:tcW w:w="4184" w:type="dxa"/>
            <w:vMerge/>
            <w:tcBorders>
              <w:top w:val="single" w:sz="8" w:space="0" w:color="FFFFFF"/>
              <w:left w:val="single" w:sz="8" w:space="0" w:color="FFFFFF"/>
              <w:bottom w:val="single" w:sz="8" w:space="0" w:color="FFFFFF"/>
              <w:right w:val="single" w:sz="8" w:space="0" w:color="FFFFFF"/>
            </w:tcBorders>
            <w:vAlign w:val="center"/>
            <w:hideMark/>
          </w:tcPr>
          <w:p w:rsidR="00C30BBE" w:rsidRPr="00C30BBE" w:rsidRDefault="00C30BBE" w:rsidP="00C30BBE">
            <w:pPr>
              <w:spacing w:after="0" w:line="240" w:lineRule="auto"/>
              <w:rPr>
                <w:rFonts w:ascii="Arial" w:eastAsia="Times New Roman" w:hAnsi="Arial" w:cs="Arial"/>
                <w:sz w:val="36"/>
                <w:szCs w:val="36"/>
                <w:lang w:eastAsia="vi-VN"/>
              </w:rPr>
            </w:pPr>
          </w:p>
        </w:tc>
      </w:tr>
      <w:tr w:rsidR="00C30BBE" w:rsidRPr="00C30BBE" w:rsidTr="00795B8A">
        <w:trPr>
          <w:trHeight w:val="1118"/>
        </w:trPr>
        <w:tc>
          <w:tcPr>
            <w:tcW w:w="7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0BBE" w:rsidRPr="00C30BBE" w:rsidRDefault="00C30BBE" w:rsidP="00C30BBE">
            <w:pPr>
              <w:pStyle w:val="ListParagraph"/>
              <w:numPr>
                <w:ilvl w:val="0"/>
                <w:numId w:val="2"/>
              </w:numPr>
              <w:rPr>
                <w:rFonts w:ascii="Arial" w:hAnsi="Arial" w:cs="Arial"/>
                <w:sz w:val="36"/>
                <w:szCs w:val="36"/>
              </w:rPr>
            </w:pPr>
            <w:r w:rsidRPr="00C30BBE">
              <w:rPr>
                <w:rFonts w:ascii="Calibri" w:hAnsi="Calibri" w:cs="Arial"/>
                <w:color w:val="000000" w:themeColor="dark1"/>
                <w:kern w:val="24"/>
                <w:sz w:val="26"/>
                <w:szCs w:val="26"/>
                <w:lang w:val="en-US"/>
              </w:rPr>
              <w:lastRenderedPageBreak/>
              <w:t xml:space="preserve">Reviewing and finalizing data collection instrument </w:t>
            </w:r>
          </w:p>
        </w:tc>
        <w:tc>
          <w:tcPr>
            <w:tcW w:w="4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0BBE" w:rsidRPr="00C30BBE" w:rsidRDefault="00C30BBE" w:rsidP="00C30BBE">
            <w:pPr>
              <w:spacing w:after="0" w:line="240" w:lineRule="auto"/>
              <w:rPr>
                <w:rFonts w:ascii="Arial" w:eastAsia="Times New Roman" w:hAnsi="Arial" w:cs="Arial"/>
                <w:sz w:val="36"/>
                <w:szCs w:val="36"/>
                <w:lang w:eastAsia="vi-VN"/>
              </w:rPr>
            </w:pPr>
            <w:r w:rsidRPr="00C30BBE">
              <w:rPr>
                <w:rFonts w:ascii="Calibri" w:eastAsia="Times New Roman" w:hAnsi="Calibri" w:cs="Arial"/>
                <w:color w:val="000000" w:themeColor="dark1"/>
                <w:kern w:val="24"/>
                <w:sz w:val="26"/>
                <w:szCs w:val="26"/>
                <w:lang w:val="en-US" w:eastAsia="vi-VN"/>
              </w:rPr>
              <w:t>Working Meeting to discuss draft data collection instrument</w:t>
            </w:r>
          </w:p>
        </w:tc>
      </w:tr>
      <w:tr w:rsidR="00C30BBE" w:rsidRPr="00C30BBE" w:rsidTr="00795B8A">
        <w:trPr>
          <w:trHeight w:val="965"/>
        </w:trPr>
        <w:tc>
          <w:tcPr>
            <w:tcW w:w="7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0BBE" w:rsidRPr="00C30BBE" w:rsidRDefault="00C30BBE" w:rsidP="00C30BBE">
            <w:pPr>
              <w:pStyle w:val="ListParagraph"/>
              <w:numPr>
                <w:ilvl w:val="0"/>
                <w:numId w:val="2"/>
              </w:numPr>
              <w:rPr>
                <w:rFonts w:ascii="Arial" w:hAnsi="Arial" w:cs="Arial"/>
                <w:sz w:val="36"/>
                <w:szCs w:val="36"/>
              </w:rPr>
            </w:pPr>
            <w:r w:rsidRPr="00C30BBE">
              <w:rPr>
                <w:rFonts w:ascii="Calibri" w:hAnsi="Calibri" w:cs="Arial"/>
                <w:color w:val="000000" w:themeColor="dark1"/>
                <w:kern w:val="24"/>
                <w:sz w:val="26"/>
                <w:szCs w:val="26"/>
                <w:lang w:val="en-US"/>
              </w:rPr>
              <w:t xml:space="preserve">Consultation meeting with key stakeholders/provincial working group in Lam Dong province </w:t>
            </w:r>
          </w:p>
        </w:tc>
        <w:tc>
          <w:tcPr>
            <w:tcW w:w="41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0BBE" w:rsidRPr="00C30BBE" w:rsidRDefault="00C30BBE" w:rsidP="00C03EBC">
            <w:pPr>
              <w:spacing w:after="0" w:line="240" w:lineRule="auto"/>
              <w:rPr>
                <w:rFonts w:ascii="Arial" w:eastAsia="Times New Roman" w:hAnsi="Arial" w:cs="Arial"/>
                <w:sz w:val="36"/>
                <w:szCs w:val="36"/>
                <w:lang w:eastAsia="vi-VN"/>
              </w:rPr>
            </w:pPr>
            <w:r w:rsidRPr="00C30BBE">
              <w:rPr>
                <w:rFonts w:ascii="Calibri" w:eastAsia="Times New Roman" w:hAnsi="Calibri" w:cs="Arial"/>
                <w:color w:val="000000" w:themeColor="dark1"/>
                <w:kern w:val="24"/>
                <w:sz w:val="26"/>
                <w:szCs w:val="26"/>
                <w:lang w:val="en-US" w:eastAsia="vi-VN"/>
              </w:rPr>
              <w:t xml:space="preserve">Workshop in Lam Dong </w:t>
            </w:r>
          </w:p>
        </w:tc>
      </w:tr>
    </w:tbl>
    <w:p w:rsidR="00C30BBE" w:rsidRPr="00C30BBE" w:rsidRDefault="00C30BBE" w:rsidP="00C30BBE"/>
    <w:sectPr w:rsidR="00C30BBE" w:rsidRPr="00C30BBE" w:rsidSect="00795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E2F"/>
    <w:multiLevelType w:val="hybridMultilevel"/>
    <w:tmpl w:val="9F46B6BA"/>
    <w:lvl w:ilvl="0" w:tplc="785A92DA">
      <w:start w:val="1"/>
      <w:numFmt w:val="decimal"/>
      <w:lvlText w:val="%1."/>
      <w:lvlJc w:val="left"/>
      <w:pPr>
        <w:tabs>
          <w:tab w:val="num" w:pos="720"/>
        </w:tabs>
        <w:ind w:left="720" w:hanging="360"/>
      </w:pPr>
    </w:lvl>
    <w:lvl w:ilvl="1" w:tplc="4C803606" w:tentative="1">
      <w:start w:val="1"/>
      <w:numFmt w:val="decimal"/>
      <w:lvlText w:val="%2."/>
      <w:lvlJc w:val="left"/>
      <w:pPr>
        <w:tabs>
          <w:tab w:val="num" w:pos="1440"/>
        </w:tabs>
        <w:ind w:left="1440" w:hanging="360"/>
      </w:pPr>
    </w:lvl>
    <w:lvl w:ilvl="2" w:tplc="F9BEA6DC" w:tentative="1">
      <w:start w:val="1"/>
      <w:numFmt w:val="decimal"/>
      <w:lvlText w:val="%3."/>
      <w:lvlJc w:val="left"/>
      <w:pPr>
        <w:tabs>
          <w:tab w:val="num" w:pos="2160"/>
        </w:tabs>
        <w:ind w:left="2160" w:hanging="360"/>
      </w:pPr>
    </w:lvl>
    <w:lvl w:ilvl="3" w:tplc="E856ADC4" w:tentative="1">
      <w:start w:val="1"/>
      <w:numFmt w:val="decimal"/>
      <w:lvlText w:val="%4."/>
      <w:lvlJc w:val="left"/>
      <w:pPr>
        <w:tabs>
          <w:tab w:val="num" w:pos="2880"/>
        </w:tabs>
        <w:ind w:left="2880" w:hanging="360"/>
      </w:pPr>
    </w:lvl>
    <w:lvl w:ilvl="4" w:tplc="C9F2CB04" w:tentative="1">
      <w:start w:val="1"/>
      <w:numFmt w:val="decimal"/>
      <w:lvlText w:val="%5."/>
      <w:lvlJc w:val="left"/>
      <w:pPr>
        <w:tabs>
          <w:tab w:val="num" w:pos="3600"/>
        </w:tabs>
        <w:ind w:left="3600" w:hanging="360"/>
      </w:pPr>
    </w:lvl>
    <w:lvl w:ilvl="5" w:tplc="D996D77C" w:tentative="1">
      <w:start w:val="1"/>
      <w:numFmt w:val="decimal"/>
      <w:lvlText w:val="%6."/>
      <w:lvlJc w:val="left"/>
      <w:pPr>
        <w:tabs>
          <w:tab w:val="num" w:pos="4320"/>
        </w:tabs>
        <w:ind w:left="4320" w:hanging="360"/>
      </w:pPr>
    </w:lvl>
    <w:lvl w:ilvl="6" w:tplc="37980D40" w:tentative="1">
      <w:start w:val="1"/>
      <w:numFmt w:val="decimal"/>
      <w:lvlText w:val="%7."/>
      <w:lvlJc w:val="left"/>
      <w:pPr>
        <w:tabs>
          <w:tab w:val="num" w:pos="5040"/>
        </w:tabs>
        <w:ind w:left="5040" w:hanging="360"/>
      </w:pPr>
    </w:lvl>
    <w:lvl w:ilvl="7" w:tplc="912CE8A0" w:tentative="1">
      <w:start w:val="1"/>
      <w:numFmt w:val="decimal"/>
      <w:lvlText w:val="%8."/>
      <w:lvlJc w:val="left"/>
      <w:pPr>
        <w:tabs>
          <w:tab w:val="num" w:pos="5760"/>
        </w:tabs>
        <w:ind w:left="5760" w:hanging="360"/>
      </w:pPr>
    </w:lvl>
    <w:lvl w:ilvl="8" w:tplc="D9AAD0D8" w:tentative="1">
      <w:start w:val="1"/>
      <w:numFmt w:val="decimal"/>
      <w:lvlText w:val="%9."/>
      <w:lvlJc w:val="left"/>
      <w:pPr>
        <w:tabs>
          <w:tab w:val="num" w:pos="6480"/>
        </w:tabs>
        <w:ind w:left="6480" w:hanging="360"/>
      </w:pPr>
    </w:lvl>
  </w:abstractNum>
  <w:abstractNum w:abstractNumId="1">
    <w:nsid w:val="76794110"/>
    <w:multiLevelType w:val="hybridMultilevel"/>
    <w:tmpl w:val="1E82B3B2"/>
    <w:lvl w:ilvl="0" w:tplc="9E8E4F54">
      <w:start w:val="1"/>
      <w:numFmt w:val="decimal"/>
      <w:lvlText w:val="%1."/>
      <w:lvlJc w:val="left"/>
      <w:pPr>
        <w:ind w:left="720" w:hanging="360"/>
      </w:pPr>
      <w:rPr>
        <w:rFonts w:ascii="Calibri" w:hAnsi="Calibri" w:hint="default"/>
        <w:color w:val="000000" w:themeColor="dark1"/>
        <w:sz w:val="24"/>
        <w:szCs w:val="24"/>
      </w:rPr>
    </w:lvl>
    <w:lvl w:ilvl="1" w:tplc="60C61FC0">
      <w:start w:val="1"/>
      <w:numFmt w:val="lowerLetter"/>
      <w:lvlText w:val="%2."/>
      <w:lvlJc w:val="left"/>
      <w:pPr>
        <w:ind w:left="1440" w:hanging="360"/>
      </w:pPr>
      <w:rPr>
        <w:sz w:val="22"/>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BE"/>
    <w:rsid w:val="0003601C"/>
    <w:rsid w:val="00295470"/>
    <w:rsid w:val="0073311C"/>
    <w:rsid w:val="00795B8A"/>
    <w:rsid w:val="00BC0DB6"/>
    <w:rsid w:val="00BF7A3B"/>
    <w:rsid w:val="00C03EBC"/>
    <w:rsid w:val="00C30BBE"/>
    <w:rsid w:val="00C97894"/>
    <w:rsid w:val="00CC2D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BB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C30BBE"/>
    <w:pPr>
      <w:spacing w:after="0" w:line="240" w:lineRule="auto"/>
      <w:ind w:left="720"/>
      <w:contextualSpacing/>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BB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C30BBE"/>
    <w:pPr>
      <w:spacing w:after="0" w:line="240" w:lineRule="auto"/>
      <w:ind w:left="720"/>
      <w:contextualSpacing/>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1819">
      <w:bodyDiv w:val="1"/>
      <w:marLeft w:val="0"/>
      <w:marRight w:val="0"/>
      <w:marTop w:val="0"/>
      <w:marBottom w:val="0"/>
      <w:divBdr>
        <w:top w:val="none" w:sz="0" w:space="0" w:color="auto"/>
        <w:left w:val="none" w:sz="0" w:space="0" w:color="auto"/>
        <w:bottom w:val="none" w:sz="0" w:space="0" w:color="auto"/>
        <w:right w:val="none" w:sz="0" w:space="0" w:color="auto"/>
      </w:divBdr>
      <w:divsChild>
        <w:div w:id="863591250">
          <w:marLeft w:val="806"/>
          <w:marRight w:val="0"/>
          <w:marTop w:val="0"/>
          <w:marBottom w:val="0"/>
          <w:divBdr>
            <w:top w:val="none" w:sz="0" w:space="0" w:color="auto"/>
            <w:left w:val="none" w:sz="0" w:space="0" w:color="auto"/>
            <w:bottom w:val="none" w:sz="0" w:space="0" w:color="auto"/>
            <w:right w:val="none" w:sz="0" w:space="0" w:color="auto"/>
          </w:divBdr>
        </w:div>
      </w:divsChild>
    </w:div>
    <w:div w:id="14227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354</Words>
  <Characters>1290</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Phuong Thao</dc:creator>
  <cp:lastModifiedBy>Do Phuong Thao</cp:lastModifiedBy>
  <cp:revision>9</cp:revision>
  <dcterms:created xsi:type="dcterms:W3CDTF">2013-09-30T04:00:00Z</dcterms:created>
  <dcterms:modified xsi:type="dcterms:W3CDTF">2014-01-13T10:49:00Z</dcterms:modified>
</cp:coreProperties>
</file>