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1371600" cy="1371600"/>
            <wp:effectExtent b="0" l="0" r="0" t="0"/>
            <wp:docPr descr="UN-REDD_full_logo_EN sq vvsm.jpg" id="1" name="image01.jpg"/>
            <a:graphic>
              <a:graphicData uri="http://schemas.openxmlformats.org/drawingml/2006/picture">
                <pic:pic>
                  <pic:nvPicPr>
                    <pic:cNvPr descr="UN-REDD_full_logo_EN sq vvsm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Agenda – 03 September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Communications/ Knowledge Management Working Group monthly call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/>
      </w:pPr>
      <w:r w:rsidDel="00000000" w:rsidR="00000000" w:rsidRPr="00000000">
        <w:rPr>
          <w:rtl w:val="0"/>
        </w:rPr>
        <w:t xml:space="preserve">Working Group: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Chair: Jennifer Ferguson-Mitchell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Agency focal points: Denise Martinez (FAO), Mihaela Secrieru (UNEP), Tim Boyle (UNDP)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Present: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Agenda items: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General welcome / introduction -- (JFM)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New Working Group ToR : structure and roles -- review of these (JFM) &amp; discussion (Group)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role of each agency focal point is: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before="24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Communications: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before="24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Public information gathering and sharing – including content for the newsletter, website, social media, etc. from their respective agency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Media asset coordination – including creating, gathering and sharing photos, videos, graphic elements, infographics, etc. from their respective agency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Consistent branding of the UN-REDD Programme across all agencies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Sharing and promotion of UN-REDD Programme communications/events tools and resources with their respective agency teams and Programme stakeholders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Inter-agency coordination of production of information materials (e.g. publications, videos, infographics, photos) produced by each agency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Consistent UN-REDD Programme messaging across all agencies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Monitoring, evaluation and reporting of UN-REDD Programme communications and events activities</w:t>
      </w:r>
    </w:p>
    <w:p w:rsidR="00000000" w:rsidDel="00000000" w:rsidP="00000000" w:rsidRDefault="00000000" w:rsidRPr="00000000">
      <w:pPr>
        <w:spacing w:after="120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Knowledge management: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Updating and maintaining the UN-REDD Programme Collaborative Workspace with relevant information from respective agency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Inter-agency coordination of production of knowledge products (including lessons learned capturing and sharing)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Sharing and promotion of UN-REDD Programme knowledge management tools and resources with their respective agency teams and Programme stakeholders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Inter-agency coordination of design and delivery of knowledge exchange events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Ensuring agency contacts are up-to-date in contacts management system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Inter-agency coordination and facilitation of Communities of Practice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Inter-agency coordination of document management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12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Monitoring and reporting of knowledge management activities carried out by their respective agencies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Regular coordination meeting with regional KM specialists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Updates from participants on upcoming (next 30 days) Comms/KM activities and/or products being produced (Group, as relevant):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Global: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Draft dates for annual meeting -- December 2015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Photo library -- images from agencies and regions / purchasing stock images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Global Knowledge Exchange -- joint with FCPF --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draft concept note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COP21 -- update as per calls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KM Specialist - update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FAO: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pending pubs: success stories in Cambodia, info note on accessibility challenges NFMS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week: FRA pub will be released during World forestry congress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COP21 forestry side event, possible future call to discuss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UNDP: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publications info have been shared via info materials process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UNEP: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pub launches before congress, info already shared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GLF discussed in separate calls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New KM Specialist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Update from JFM on status of this position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Outstanding KM items from last KM working group meeting, which KM Specialist will take on coordinating and facilitating: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Webinar topics/schedule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Workshop surveys (pre and post) -- group review and determine next steps to create consistent format and protocols for use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existing surveys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Pre event survey: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Demographics of participants: gender, age, affiliation (e.g. government, NGO, academic, IP, CSO), country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Knowledge level of participants: measured pre event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Immediate post event survey: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Knowledge level of participants: measured post event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Assess quality of event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Assess relevance of event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How new knowledge may be applied to work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Secondary follow-up survey: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How has knowledge been applied? Impact of this?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Has knowledge been shared? With whom? what impact?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color w:val="333333"/>
          <w:sz w:val="18"/>
          <w:szCs w:val="18"/>
          <w:shd w:fill="f0f0f0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KM Working Group Review of draft 2016-2020 KM strategic framework theory of change discussion brief.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Group discussion on next steps for group to review and contribute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discussion brief</w:t>
        </w:r>
      </w:hyperlink>
      <w:r w:rsidDel="00000000" w:rsidR="00000000" w:rsidRPr="00000000">
        <w:rPr>
          <w:rtl w:val="0"/>
        </w:rPr>
        <w:t xml:space="preserve"> -- towards developing 2016-2020 KM strategy in support of KM outcome in Programme strategy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Definition of “KM products” and “KM events” -- current group to reflect on </w:t>
      </w:r>
      <w:r w:rsidDel="00000000" w:rsidR="00000000" w:rsidRPr="00000000">
        <w:rPr>
          <w:rtl w:val="0"/>
        </w:rPr>
        <w:t xml:space="preserve">current definition used by Programme</w:t>
      </w:r>
      <w:r w:rsidDel="00000000" w:rsidR="00000000" w:rsidRPr="00000000">
        <w:rPr>
          <w:rtl w:val="0"/>
        </w:rPr>
        <w:t xml:space="preserve"> -- determine whether this is still valid and if there is a need to formalize this -- if so, next steps for formalizing definitions.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Communications KM support to Safeguards Coordination Group -- Working Group to determine which agency is best placed to support the communications and KM needs of this inter-agency technical team.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Any Other Business: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TBD: Regular coordination meeting with regional KM specialists, Jennifer to put together draft suggestions to share and discuss when Denise is available.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Jennifer to organize separate interim call to discuss the above.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Jennifer to send KM Specialist TORs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Maddie to send Mihaela links to events and knowledge product google sheets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s://drive.google.com/file/d/0B7C1r72GbZH_SkllU3hUTVhxV1E/view?usp=sharing" TargetMode="External"/><Relationship Id="rId7" Type="http://schemas.openxmlformats.org/officeDocument/2006/relationships/hyperlink" Target="http://www.unredd.net/index.php?option=com_docman&amp;task=cat_view&amp;gid=3460&amp;Itemid=53" TargetMode="External"/><Relationship Id="rId8" Type="http://schemas.openxmlformats.org/officeDocument/2006/relationships/hyperlink" Target="https://drive.google.com/file/d/0B7C1r72GbZH_YkVUVDFMSlJycDQ/view?usp=sharing" TargetMode="External"/></Relationships>
</file>