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0E52A2" w14:textId="77777777" w:rsidR="003E4262" w:rsidRDefault="003E4262" w:rsidP="00B471B0">
      <w:pPr>
        <w:spacing w:after="120" w:line="240" w:lineRule="auto"/>
        <w:jc w:val="center"/>
        <w:rPr>
          <w:b/>
          <w:color w:val="0000FF"/>
          <w:sz w:val="28"/>
        </w:rPr>
      </w:pPr>
      <w:bookmarkStart w:id="0" w:name="_GoBack"/>
      <w:bookmarkEnd w:id="0"/>
    </w:p>
    <w:p w14:paraId="53DBE9EF" w14:textId="772BA2B8" w:rsidR="00965227" w:rsidRPr="00B471B0" w:rsidRDefault="00965227" w:rsidP="00B471B0">
      <w:pPr>
        <w:spacing w:after="120" w:line="240" w:lineRule="auto"/>
        <w:jc w:val="center"/>
        <w:rPr>
          <w:b/>
          <w:color w:val="0000FF"/>
          <w:sz w:val="28"/>
        </w:rPr>
      </w:pPr>
      <w:r w:rsidRPr="00B471B0">
        <w:rPr>
          <w:b/>
          <w:color w:val="0000FF"/>
          <w:sz w:val="28"/>
        </w:rPr>
        <w:t xml:space="preserve">The </w:t>
      </w:r>
      <w:r w:rsidR="00983973">
        <w:rPr>
          <w:b/>
          <w:color w:val="0000FF"/>
          <w:sz w:val="28"/>
        </w:rPr>
        <w:t xml:space="preserve">Community-based REDD+ </w:t>
      </w:r>
      <w:r w:rsidRPr="00B471B0">
        <w:rPr>
          <w:b/>
          <w:color w:val="0000FF"/>
          <w:sz w:val="28"/>
        </w:rPr>
        <w:t>Initiative</w:t>
      </w:r>
      <w:r w:rsidR="00983973">
        <w:rPr>
          <w:b/>
          <w:color w:val="0000FF"/>
          <w:sz w:val="28"/>
        </w:rPr>
        <w:t xml:space="preserve"> (CBR+)</w:t>
      </w:r>
    </w:p>
    <w:p w14:paraId="36AA6565" w14:textId="77777777" w:rsidR="00EB30BB" w:rsidRPr="00EB30BB" w:rsidRDefault="00E35243" w:rsidP="00425BEF">
      <w:pPr>
        <w:spacing w:after="0" w:line="240" w:lineRule="auto"/>
        <w:jc w:val="center"/>
        <w:rPr>
          <w:b/>
          <w:sz w:val="24"/>
        </w:rPr>
      </w:pPr>
      <w:r w:rsidRPr="00EB30BB">
        <w:rPr>
          <w:b/>
          <w:sz w:val="24"/>
        </w:rPr>
        <w:t>P</w:t>
      </w:r>
      <w:r w:rsidR="00EB30BB" w:rsidRPr="00EB30BB">
        <w:rPr>
          <w:b/>
          <w:sz w:val="24"/>
        </w:rPr>
        <w:t>roposal for a 2</w:t>
      </w:r>
      <w:r w:rsidR="00EB30BB" w:rsidRPr="00EB30BB">
        <w:rPr>
          <w:b/>
          <w:sz w:val="24"/>
          <w:vertAlign w:val="superscript"/>
        </w:rPr>
        <w:t>nd</w:t>
      </w:r>
      <w:r w:rsidR="00EB30BB" w:rsidRPr="00EB30BB">
        <w:rPr>
          <w:b/>
          <w:sz w:val="24"/>
        </w:rPr>
        <w:t xml:space="preserve"> phase</w:t>
      </w:r>
      <w:r w:rsidR="00830FC5">
        <w:rPr>
          <w:b/>
          <w:sz w:val="24"/>
        </w:rPr>
        <w:t xml:space="preserve"> (CBR+2)</w:t>
      </w:r>
      <w:r w:rsidR="00983973">
        <w:rPr>
          <w:b/>
          <w:sz w:val="24"/>
        </w:rPr>
        <w:t xml:space="preserve">, aligned to the </w:t>
      </w:r>
      <w:r w:rsidR="00983973" w:rsidRPr="00983973">
        <w:rPr>
          <w:b/>
          <w:i/>
          <w:sz w:val="24"/>
        </w:rPr>
        <w:t>Paris Agreement</w:t>
      </w:r>
    </w:p>
    <w:p w14:paraId="749485A8" w14:textId="77777777" w:rsidR="003E4262" w:rsidRDefault="003E4262" w:rsidP="00425BEF">
      <w:pPr>
        <w:spacing w:after="0" w:line="240" w:lineRule="auto"/>
        <w:jc w:val="right"/>
        <w:rPr>
          <w:b/>
        </w:rPr>
      </w:pPr>
    </w:p>
    <w:p w14:paraId="0AB91A34" w14:textId="656A63A0" w:rsidR="003E4262" w:rsidRPr="00425BEF" w:rsidRDefault="00CD7947" w:rsidP="005A2DBE">
      <w:pPr>
        <w:spacing w:after="120" w:line="240" w:lineRule="auto"/>
        <w:jc w:val="right"/>
        <w:rPr>
          <w:color w:val="FF0000"/>
        </w:rPr>
      </w:pPr>
      <w:r w:rsidRPr="008677F0">
        <w:rPr>
          <w:b/>
          <w:color w:val="FF0000"/>
        </w:rPr>
        <w:t>DRAFT</w:t>
      </w:r>
      <w:r w:rsidRPr="00425BEF">
        <w:rPr>
          <w:color w:val="FF0000"/>
        </w:rPr>
        <w:t xml:space="preserve"> (</w:t>
      </w:r>
      <w:r w:rsidR="00534E63">
        <w:rPr>
          <w:color w:val="FF0000"/>
        </w:rPr>
        <w:t>May</w:t>
      </w:r>
      <w:r w:rsidRPr="00425BEF">
        <w:rPr>
          <w:color w:val="FF0000"/>
        </w:rPr>
        <w:t xml:space="preserve"> 201</w:t>
      </w:r>
      <w:r w:rsidR="00A36319">
        <w:rPr>
          <w:color w:val="FF0000"/>
        </w:rPr>
        <w:t>9</w:t>
      </w:r>
      <w:r w:rsidRPr="00425BEF">
        <w:rPr>
          <w:color w:val="FF0000"/>
        </w:rPr>
        <w:t>)</w:t>
      </w:r>
    </w:p>
    <w:p w14:paraId="2D026940" w14:textId="77777777" w:rsidR="0083308E" w:rsidRDefault="0083308E" w:rsidP="00425BEF">
      <w:pPr>
        <w:pBdr>
          <w:top w:val="single" w:sz="4" w:space="1" w:color="auto"/>
        </w:pBdr>
        <w:spacing w:after="0" w:line="240" w:lineRule="auto"/>
      </w:pPr>
    </w:p>
    <w:sdt>
      <w:sdtPr>
        <w:rPr>
          <w:rFonts w:asciiTheme="minorHAnsi" w:eastAsiaTheme="minorHAnsi" w:hAnsiTheme="minorHAnsi" w:cstheme="minorBidi"/>
          <w:b/>
          <w:color w:val="0000FF"/>
          <w:sz w:val="24"/>
          <w:szCs w:val="22"/>
          <w:lang w:val="en-GB"/>
        </w:rPr>
        <w:id w:val="2088111892"/>
        <w:docPartObj>
          <w:docPartGallery w:val="Table of Contents"/>
          <w:docPartUnique/>
        </w:docPartObj>
      </w:sdtPr>
      <w:sdtEndPr>
        <w:rPr>
          <w:bCs/>
          <w:noProof/>
          <w:color w:val="auto"/>
          <w:sz w:val="22"/>
        </w:rPr>
      </w:sdtEndPr>
      <w:sdtContent>
        <w:p w14:paraId="03E0B780" w14:textId="77777777" w:rsidR="005B23FA" w:rsidRPr="005B23FA" w:rsidRDefault="005B23FA" w:rsidP="00425BEF">
          <w:pPr>
            <w:pStyle w:val="TOCHeading"/>
            <w:spacing w:before="0" w:line="240" w:lineRule="auto"/>
            <w:jc w:val="center"/>
            <w:rPr>
              <w:b/>
              <w:color w:val="0000FF"/>
              <w:sz w:val="24"/>
            </w:rPr>
          </w:pPr>
          <w:r w:rsidRPr="005B23FA">
            <w:rPr>
              <w:b/>
              <w:color w:val="0000FF"/>
              <w:sz w:val="24"/>
            </w:rPr>
            <w:t>Table of Contents</w:t>
          </w:r>
        </w:p>
        <w:p w14:paraId="7EE98069" w14:textId="78B2BE02" w:rsidR="006259BF" w:rsidRDefault="00425BEF">
          <w:pPr>
            <w:pStyle w:val="TOC1"/>
            <w:rPr>
              <w:rFonts w:eastAsiaTheme="minorEastAsia"/>
              <w:noProof/>
              <w:lang w:val="en-US"/>
            </w:rPr>
          </w:pPr>
          <w:r>
            <w:fldChar w:fldCharType="begin"/>
          </w:r>
          <w:r>
            <w:instrText xml:space="preserve"> TOC \o "1-3" \h \z \u </w:instrText>
          </w:r>
          <w:r>
            <w:fldChar w:fldCharType="separate"/>
          </w:r>
          <w:hyperlink w:anchor="_Toc10457053" w:history="1">
            <w:r w:rsidR="006259BF" w:rsidRPr="006103F5">
              <w:rPr>
                <w:rStyle w:val="Hyperlink"/>
                <w:noProof/>
              </w:rPr>
              <w:t>1. Background</w:t>
            </w:r>
            <w:r w:rsidR="006259BF">
              <w:rPr>
                <w:noProof/>
                <w:webHidden/>
              </w:rPr>
              <w:tab/>
            </w:r>
            <w:r w:rsidR="006259BF">
              <w:rPr>
                <w:noProof/>
                <w:webHidden/>
              </w:rPr>
              <w:fldChar w:fldCharType="begin"/>
            </w:r>
            <w:r w:rsidR="006259BF">
              <w:rPr>
                <w:noProof/>
                <w:webHidden/>
              </w:rPr>
              <w:instrText xml:space="preserve"> PAGEREF _Toc10457053 \h </w:instrText>
            </w:r>
            <w:r w:rsidR="006259BF">
              <w:rPr>
                <w:noProof/>
                <w:webHidden/>
              </w:rPr>
            </w:r>
            <w:r w:rsidR="006259BF">
              <w:rPr>
                <w:noProof/>
                <w:webHidden/>
              </w:rPr>
              <w:fldChar w:fldCharType="separate"/>
            </w:r>
            <w:r w:rsidR="006259BF">
              <w:rPr>
                <w:noProof/>
                <w:webHidden/>
              </w:rPr>
              <w:t>1</w:t>
            </w:r>
            <w:r w:rsidR="006259BF">
              <w:rPr>
                <w:noProof/>
                <w:webHidden/>
              </w:rPr>
              <w:fldChar w:fldCharType="end"/>
            </w:r>
          </w:hyperlink>
        </w:p>
        <w:p w14:paraId="5EF0324E" w14:textId="50A4A48D" w:rsidR="006259BF" w:rsidRDefault="00770EA4">
          <w:pPr>
            <w:pStyle w:val="TOC1"/>
            <w:rPr>
              <w:rFonts w:eastAsiaTheme="minorEastAsia"/>
              <w:noProof/>
              <w:lang w:val="en-US"/>
            </w:rPr>
          </w:pPr>
          <w:hyperlink w:anchor="_Toc10457054" w:history="1">
            <w:r w:rsidR="006259BF" w:rsidRPr="006103F5">
              <w:rPr>
                <w:rStyle w:val="Hyperlink"/>
                <w:noProof/>
              </w:rPr>
              <w:t>2. Policy framework</w:t>
            </w:r>
            <w:r w:rsidR="006259BF">
              <w:rPr>
                <w:noProof/>
                <w:webHidden/>
              </w:rPr>
              <w:tab/>
            </w:r>
            <w:r w:rsidR="006259BF">
              <w:rPr>
                <w:noProof/>
                <w:webHidden/>
              </w:rPr>
              <w:fldChar w:fldCharType="begin"/>
            </w:r>
            <w:r w:rsidR="006259BF">
              <w:rPr>
                <w:noProof/>
                <w:webHidden/>
              </w:rPr>
              <w:instrText xml:space="preserve"> PAGEREF _Toc10457054 \h </w:instrText>
            </w:r>
            <w:r w:rsidR="006259BF">
              <w:rPr>
                <w:noProof/>
                <w:webHidden/>
              </w:rPr>
            </w:r>
            <w:r w:rsidR="006259BF">
              <w:rPr>
                <w:noProof/>
                <w:webHidden/>
              </w:rPr>
              <w:fldChar w:fldCharType="separate"/>
            </w:r>
            <w:r w:rsidR="006259BF">
              <w:rPr>
                <w:noProof/>
                <w:webHidden/>
              </w:rPr>
              <w:t>2</w:t>
            </w:r>
            <w:r w:rsidR="006259BF">
              <w:rPr>
                <w:noProof/>
                <w:webHidden/>
              </w:rPr>
              <w:fldChar w:fldCharType="end"/>
            </w:r>
          </w:hyperlink>
        </w:p>
        <w:p w14:paraId="3FC6C569" w14:textId="00041CFD" w:rsidR="006259BF" w:rsidRDefault="00770EA4">
          <w:pPr>
            <w:pStyle w:val="TOC1"/>
            <w:rPr>
              <w:rFonts w:eastAsiaTheme="minorEastAsia"/>
              <w:noProof/>
              <w:lang w:val="en-US"/>
            </w:rPr>
          </w:pPr>
          <w:hyperlink w:anchor="_Toc10457055" w:history="1">
            <w:r w:rsidR="006259BF" w:rsidRPr="006103F5">
              <w:rPr>
                <w:rStyle w:val="Hyperlink"/>
                <w:noProof/>
              </w:rPr>
              <w:t>3. Objectives</w:t>
            </w:r>
            <w:r w:rsidR="006259BF">
              <w:rPr>
                <w:noProof/>
                <w:webHidden/>
              </w:rPr>
              <w:tab/>
            </w:r>
            <w:r w:rsidR="006259BF">
              <w:rPr>
                <w:noProof/>
                <w:webHidden/>
              </w:rPr>
              <w:fldChar w:fldCharType="begin"/>
            </w:r>
            <w:r w:rsidR="006259BF">
              <w:rPr>
                <w:noProof/>
                <w:webHidden/>
              </w:rPr>
              <w:instrText xml:space="preserve"> PAGEREF _Toc10457055 \h </w:instrText>
            </w:r>
            <w:r w:rsidR="006259BF">
              <w:rPr>
                <w:noProof/>
                <w:webHidden/>
              </w:rPr>
            </w:r>
            <w:r w:rsidR="006259BF">
              <w:rPr>
                <w:noProof/>
                <w:webHidden/>
              </w:rPr>
              <w:fldChar w:fldCharType="separate"/>
            </w:r>
            <w:r w:rsidR="006259BF">
              <w:rPr>
                <w:noProof/>
                <w:webHidden/>
              </w:rPr>
              <w:t>2</w:t>
            </w:r>
            <w:r w:rsidR="006259BF">
              <w:rPr>
                <w:noProof/>
                <w:webHidden/>
              </w:rPr>
              <w:fldChar w:fldCharType="end"/>
            </w:r>
          </w:hyperlink>
        </w:p>
        <w:p w14:paraId="47901646" w14:textId="33A33097" w:rsidR="006259BF" w:rsidRDefault="00770EA4">
          <w:pPr>
            <w:pStyle w:val="TOC1"/>
            <w:rPr>
              <w:rFonts w:eastAsiaTheme="minorEastAsia"/>
              <w:noProof/>
              <w:lang w:val="en-US"/>
            </w:rPr>
          </w:pPr>
          <w:hyperlink w:anchor="_Toc10457056" w:history="1">
            <w:r w:rsidR="006259BF" w:rsidRPr="006103F5">
              <w:rPr>
                <w:rStyle w:val="Hyperlink"/>
                <w:noProof/>
              </w:rPr>
              <w:t>4. Tentative components and focus</w:t>
            </w:r>
            <w:r w:rsidR="006259BF">
              <w:rPr>
                <w:noProof/>
                <w:webHidden/>
              </w:rPr>
              <w:tab/>
            </w:r>
            <w:r w:rsidR="006259BF">
              <w:rPr>
                <w:noProof/>
                <w:webHidden/>
              </w:rPr>
              <w:fldChar w:fldCharType="begin"/>
            </w:r>
            <w:r w:rsidR="006259BF">
              <w:rPr>
                <w:noProof/>
                <w:webHidden/>
              </w:rPr>
              <w:instrText xml:space="preserve"> PAGEREF _Toc10457056 \h </w:instrText>
            </w:r>
            <w:r w:rsidR="006259BF">
              <w:rPr>
                <w:noProof/>
                <w:webHidden/>
              </w:rPr>
            </w:r>
            <w:r w:rsidR="006259BF">
              <w:rPr>
                <w:noProof/>
                <w:webHidden/>
              </w:rPr>
              <w:fldChar w:fldCharType="separate"/>
            </w:r>
            <w:r w:rsidR="006259BF">
              <w:rPr>
                <w:noProof/>
                <w:webHidden/>
              </w:rPr>
              <w:t>3</w:t>
            </w:r>
            <w:r w:rsidR="006259BF">
              <w:rPr>
                <w:noProof/>
                <w:webHidden/>
              </w:rPr>
              <w:fldChar w:fldCharType="end"/>
            </w:r>
          </w:hyperlink>
        </w:p>
        <w:p w14:paraId="7DB3600E" w14:textId="77003546" w:rsidR="006259BF" w:rsidRDefault="00770EA4">
          <w:pPr>
            <w:pStyle w:val="TOC1"/>
            <w:rPr>
              <w:rFonts w:eastAsiaTheme="minorEastAsia"/>
              <w:noProof/>
              <w:lang w:val="en-US"/>
            </w:rPr>
          </w:pPr>
          <w:hyperlink w:anchor="_Toc10457057" w:history="1">
            <w:r w:rsidR="006259BF" w:rsidRPr="006103F5">
              <w:rPr>
                <w:rStyle w:val="Hyperlink"/>
                <w:noProof/>
              </w:rPr>
              <w:t>5. Comparative value and international alignment</w:t>
            </w:r>
            <w:r w:rsidR="006259BF">
              <w:rPr>
                <w:noProof/>
                <w:webHidden/>
              </w:rPr>
              <w:tab/>
            </w:r>
            <w:r w:rsidR="006259BF">
              <w:rPr>
                <w:noProof/>
                <w:webHidden/>
              </w:rPr>
              <w:fldChar w:fldCharType="begin"/>
            </w:r>
            <w:r w:rsidR="006259BF">
              <w:rPr>
                <w:noProof/>
                <w:webHidden/>
              </w:rPr>
              <w:instrText xml:space="preserve"> PAGEREF _Toc10457057 \h </w:instrText>
            </w:r>
            <w:r w:rsidR="006259BF">
              <w:rPr>
                <w:noProof/>
                <w:webHidden/>
              </w:rPr>
            </w:r>
            <w:r w:rsidR="006259BF">
              <w:rPr>
                <w:noProof/>
                <w:webHidden/>
              </w:rPr>
              <w:fldChar w:fldCharType="separate"/>
            </w:r>
            <w:r w:rsidR="006259BF">
              <w:rPr>
                <w:noProof/>
                <w:webHidden/>
              </w:rPr>
              <w:t>5</w:t>
            </w:r>
            <w:r w:rsidR="006259BF">
              <w:rPr>
                <w:noProof/>
                <w:webHidden/>
              </w:rPr>
              <w:fldChar w:fldCharType="end"/>
            </w:r>
          </w:hyperlink>
        </w:p>
        <w:p w14:paraId="6578F71D" w14:textId="5CB3EB51" w:rsidR="006259BF" w:rsidRDefault="00770EA4">
          <w:pPr>
            <w:pStyle w:val="TOC1"/>
            <w:rPr>
              <w:rFonts w:eastAsiaTheme="minorEastAsia"/>
              <w:noProof/>
              <w:lang w:val="en-US"/>
            </w:rPr>
          </w:pPr>
          <w:hyperlink w:anchor="_Toc10457058" w:history="1">
            <w:r w:rsidR="006259BF" w:rsidRPr="006103F5">
              <w:rPr>
                <w:rStyle w:val="Hyperlink"/>
                <w:noProof/>
              </w:rPr>
              <w:t>6. Criteria and early scoping of countries for CBR+</w:t>
            </w:r>
            <w:r w:rsidR="006259BF">
              <w:rPr>
                <w:noProof/>
                <w:webHidden/>
              </w:rPr>
              <w:tab/>
            </w:r>
            <w:r w:rsidR="006259BF">
              <w:rPr>
                <w:noProof/>
                <w:webHidden/>
              </w:rPr>
              <w:fldChar w:fldCharType="begin"/>
            </w:r>
            <w:r w:rsidR="006259BF">
              <w:rPr>
                <w:noProof/>
                <w:webHidden/>
              </w:rPr>
              <w:instrText xml:space="preserve"> PAGEREF _Toc10457058 \h </w:instrText>
            </w:r>
            <w:r w:rsidR="006259BF">
              <w:rPr>
                <w:noProof/>
                <w:webHidden/>
              </w:rPr>
            </w:r>
            <w:r w:rsidR="006259BF">
              <w:rPr>
                <w:noProof/>
                <w:webHidden/>
              </w:rPr>
              <w:fldChar w:fldCharType="separate"/>
            </w:r>
            <w:r w:rsidR="006259BF">
              <w:rPr>
                <w:noProof/>
                <w:webHidden/>
              </w:rPr>
              <w:t>6</w:t>
            </w:r>
            <w:r w:rsidR="006259BF">
              <w:rPr>
                <w:noProof/>
                <w:webHidden/>
              </w:rPr>
              <w:fldChar w:fldCharType="end"/>
            </w:r>
          </w:hyperlink>
        </w:p>
        <w:p w14:paraId="6CAD0174" w14:textId="26FE22D0" w:rsidR="006259BF" w:rsidRDefault="00770EA4">
          <w:pPr>
            <w:pStyle w:val="TOC1"/>
            <w:rPr>
              <w:rFonts w:eastAsiaTheme="minorEastAsia"/>
              <w:noProof/>
              <w:lang w:val="en-US"/>
            </w:rPr>
          </w:pPr>
          <w:hyperlink w:anchor="_Toc10457059" w:history="1">
            <w:r w:rsidR="006259BF" w:rsidRPr="006103F5">
              <w:rPr>
                <w:rStyle w:val="Hyperlink"/>
                <w:noProof/>
              </w:rPr>
              <w:t>7. Implementation arrangements</w:t>
            </w:r>
            <w:r w:rsidR="006259BF">
              <w:rPr>
                <w:noProof/>
                <w:webHidden/>
              </w:rPr>
              <w:tab/>
            </w:r>
            <w:r w:rsidR="006259BF">
              <w:rPr>
                <w:noProof/>
                <w:webHidden/>
              </w:rPr>
              <w:fldChar w:fldCharType="begin"/>
            </w:r>
            <w:r w:rsidR="006259BF">
              <w:rPr>
                <w:noProof/>
                <w:webHidden/>
              </w:rPr>
              <w:instrText xml:space="preserve"> PAGEREF _Toc10457059 \h </w:instrText>
            </w:r>
            <w:r w:rsidR="006259BF">
              <w:rPr>
                <w:noProof/>
                <w:webHidden/>
              </w:rPr>
            </w:r>
            <w:r w:rsidR="006259BF">
              <w:rPr>
                <w:noProof/>
                <w:webHidden/>
              </w:rPr>
              <w:fldChar w:fldCharType="separate"/>
            </w:r>
            <w:r w:rsidR="006259BF">
              <w:rPr>
                <w:noProof/>
                <w:webHidden/>
              </w:rPr>
              <w:t>6</w:t>
            </w:r>
            <w:r w:rsidR="006259BF">
              <w:rPr>
                <w:noProof/>
                <w:webHidden/>
              </w:rPr>
              <w:fldChar w:fldCharType="end"/>
            </w:r>
          </w:hyperlink>
        </w:p>
        <w:p w14:paraId="441DAAE3" w14:textId="1397EA8C" w:rsidR="006259BF" w:rsidRDefault="00770EA4">
          <w:pPr>
            <w:pStyle w:val="TOC1"/>
            <w:rPr>
              <w:rFonts w:eastAsiaTheme="minorEastAsia"/>
              <w:noProof/>
              <w:lang w:val="en-US"/>
            </w:rPr>
          </w:pPr>
          <w:hyperlink w:anchor="_Toc10457060" w:history="1">
            <w:r w:rsidR="006259BF" w:rsidRPr="006103F5">
              <w:rPr>
                <w:rStyle w:val="Hyperlink"/>
                <w:noProof/>
              </w:rPr>
              <w:t>Annex 1. Synthesis of CBR+ projects, activities and delivery (2014-2017)</w:t>
            </w:r>
            <w:r w:rsidR="006259BF">
              <w:rPr>
                <w:noProof/>
                <w:webHidden/>
              </w:rPr>
              <w:tab/>
            </w:r>
            <w:r w:rsidR="006259BF">
              <w:rPr>
                <w:noProof/>
                <w:webHidden/>
              </w:rPr>
              <w:fldChar w:fldCharType="begin"/>
            </w:r>
            <w:r w:rsidR="006259BF">
              <w:rPr>
                <w:noProof/>
                <w:webHidden/>
              </w:rPr>
              <w:instrText xml:space="preserve"> PAGEREF _Toc10457060 \h </w:instrText>
            </w:r>
            <w:r w:rsidR="006259BF">
              <w:rPr>
                <w:noProof/>
                <w:webHidden/>
              </w:rPr>
            </w:r>
            <w:r w:rsidR="006259BF">
              <w:rPr>
                <w:noProof/>
                <w:webHidden/>
              </w:rPr>
              <w:fldChar w:fldCharType="separate"/>
            </w:r>
            <w:r w:rsidR="006259BF">
              <w:rPr>
                <w:noProof/>
                <w:webHidden/>
              </w:rPr>
              <w:t>8</w:t>
            </w:r>
            <w:r w:rsidR="006259BF">
              <w:rPr>
                <w:noProof/>
                <w:webHidden/>
              </w:rPr>
              <w:fldChar w:fldCharType="end"/>
            </w:r>
          </w:hyperlink>
        </w:p>
        <w:p w14:paraId="4131A819" w14:textId="5FC04598" w:rsidR="006259BF" w:rsidRDefault="00770EA4">
          <w:pPr>
            <w:pStyle w:val="TOC1"/>
            <w:rPr>
              <w:rFonts w:eastAsiaTheme="minorEastAsia"/>
              <w:noProof/>
              <w:lang w:val="en-US"/>
            </w:rPr>
          </w:pPr>
          <w:hyperlink w:anchor="_Toc10457061" w:history="1">
            <w:r w:rsidR="006259BF" w:rsidRPr="006103F5">
              <w:rPr>
                <w:rStyle w:val="Hyperlink"/>
                <w:noProof/>
              </w:rPr>
              <w:t>Annex 2. Selected CBR+ information and knowledge documentation (2014-2017)</w:t>
            </w:r>
            <w:r w:rsidR="006259BF">
              <w:rPr>
                <w:noProof/>
                <w:webHidden/>
              </w:rPr>
              <w:tab/>
            </w:r>
            <w:r w:rsidR="006259BF">
              <w:rPr>
                <w:noProof/>
                <w:webHidden/>
              </w:rPr>
              <w:fldChar w:fldCharType="begin"/>
            </w:r>
            <w:r w:rsidR="006259BF">
              <w:rPr>
                <w:noProof/>
                <w:webHidden/>
              </w:rPr>
              <w:instrText xml:space="preserve"> PAGEREF _Toc10457061 \h </w:instrText>
            </w:r>
            <w:r w:rsidR="006259BF">
              <w:rPr>
                <w:noProof/>
                <w:webHidden/>
              </w:rPr>
            </w:r>
            <w:r w:rsidR="006259BF">
              <w:rPr>
                <w:noProof/>
                <w:webHidden/>
              </w:rPr>
              <w:fldChar w:fldCharType="separate"/>
            </w:r>
            <w:r w:rsidR="006259BF">
              <w:rPr>
                <w:noProof/>
                <w:webHidden/>
              </w:rPr>
              <w:t>9</w:t>
            </w:r>
            <w:r w:rsidR="006259BF">
              <w:rPr>
                <w:noProof/>
                <w:webHidden/>
              </w:rPr>
              <w:fldChar w:fldCharType="end"/>
            </w:r>
          </w:hyperlink>
        </w:p>
        <w:p w14:paraId="290A948F" w14:textId="3682C40A" w:rsidR="006259BF" w:rsidRDefault="00770EA4">
          <w:pPr>
            <w:pStyle w:val="TOC1"/>
            <w:rPr>
              <w:rFonts w:eastAsiaTheme="minorEastAsia"/>
              <w:noProof/>
              <w:lang w:val="en-US"/>
            </w:rPr>
          </w:pPr>
          <w:hyperlink w:anchor="_Toc10457062" w:history="1">
            <w:r w:rsidR="006259BF" w:rsidRPr="006103F5">
              <w:rPr>
                <w:rStyle w:val="Hyperlink"/>
                <w:noProof/>
              </w:rPr>
              <w:t>Annex 3. Comparative analysis of various international community REDD+ programmes</w:t>
            </w:r>
            <w:r w:rsidR="006259BF">
              <w:rPr>
                <w:noProof/>
                <w:webHidden/>
              </w:rPr>
              <w:tab/>
            </w:r>
            <w:r w:rsidR="006259BF">
              <w:rPr>
                <w:noProof/>
                <w:webHidden/>
              </w:rPr>
              <w:fldChar w:fldCharType="begin"/>
            </w:r>
            <w:r w:rsidR="006259BF">
              <w:rPr>
                <w:noProof/>
                <w:webHidden/>
              </w:rPr>
              <w:instrText xml:space="preserve"> PAGEREF _Toc10457062 \h </w:instrText>
            </w:r>
            <w:r w:rsidR="006259BF">
              <w:rPr>
                <w:noProof/>
                <w:webHidden/>
              </w:rPr>
            </w:r>
            <w:r w:rsidR="006259BF">
              <w:rPr>
                <w:noProof/>
                <w:webHidden/>
              </w:rPr>
              <w:fldChar w:fldCharType="separate"/>
            </w:r>
            <w:r w:rsidR="006259BF">
              <w:rPr>
                <w:noProof/>
                <w:webHidden/>
              </w:rPr>
              <w:t>10</w:t>
            </w:r>
            <w:r w:rsidR="006259BF">
              <w:rPr>
                <w:noProof/>
                <w:webHidden/>
              </w:rPr>
              <w:fldChar w:fldCharType="end"/>
            </w:r>
          </w:hyperlink>
        </w:p>
        <w:p w14:paraId="15F204BF" w14:textId="7CAC1C43" w:rsidR="006259BF" w:rsidRDefault="00770EA4">
          <w:pPr>
            <w:pStyle w:val="TOC1"/>
            <w:rPr>
              <w:rFonts w:eastAsiaTheme="minorEastAsia"/>
              <w:noProof/>
              <w:lang w:val="en-US"/>
            </w:rPr>
          </w:pPr>
          <w:hyperlink w:anchor="_Toc10457063" w:history="1">
            <w:r w:rsidR="006259BF" w:rsidRPr="006103F5">
              <w:rPr>
                <w:rStyle w:val="Hyperlink"/>
                <w:noProof/>
              </w:rPr>
              <w:t>Annex 4. Analysis of the alignment between CBR+2 proposal and NICFI's strategic framework</w:t>
            </w:r>
            <w:r w:rsidR="006259BF">
              <w:rPr>
                <w:noProof/>
                <w:webHidden/>
              </w:rPr>
              <w:tab/>
            </w:r>
            <w:r w:rsidR="006259BF">
              <w:rPr>
                <w:noProof/>
                <w:webHidden/>
              </w:rPr>
              <w:fldChar w:fldCharType="begin"/>
            </w:r>
            <w:r w:rsidR="006259BF">
              <w:rPr>
                <w:noProof/>
                <w:webHidden/>
              </w:rPr>
              <w:instrText xml:space="preserve"> PAGEREF _Toc10457063 \h </w:instrText>
            </w:r>
            <w:r w:rsidR="006259BF">
              <w:rPr>
                <w:noProof/>
                <w:webHidden/>
              </w:rPr>
            </w:r>
            <w:r w:rsidR="006259BF">
              <w:rPr>
                <w:noProof/>
                <w:webHidden/>
              </w:rPr>
              <w:fldChar w:fldCharType="separate"/>
            </w:r>
            <w:r w:rsidR="006259BF">
              <w:rPr>
                <w:noProof/>
                <w:webHidden/>
              </w:rPr>
              <w:t>11</w:t>
            </w:r>
            <w:r w:rsidR="006259BF">
              <w:rPr>
                <w:noProof/>
                <w:webHidden/>
              </w:rPr>
              <w:fldChar w:fldCharType="end"/>
            </w:r>
          </w:hyperlink>
        </w:p>
        <w:p w14:paraId="00ACE237" w14:textId="041FF7BC" w:rsidR="006259BF" w:rsidRDefault="00770EA4">
          <w:pPr>
            <w:pStyle w:val="TOC1"/>
            <w:rPr>
              <w:rFonts w:eastAsiaTheme="minorEastAsia"/>
              <w:noProof/>
              <w:lang w:val="en-US"/>
            </w:rPr>
          </w:pPr>
          <w:hyperlink w:anchor="_Toc10457064" w:history="1">
            <w:r w:rsidR="006259BF" w:rsidRPr="006103F5">
              <w:rPr>
                <w:rStyle w:val="Hyperlink"/>
                <w:noProof/>
              </w:rPr>
              <w:t>Annex 5. Internal, unofficial scoping of potential countries for CBR+2</w:t>
            </w:r>
            <w:r w:rsidR="006259BF">
              <w:rPr>
                <w:noProof/>
                <w:webHidden/>
              </w:rPr>
              <w:tab/>
            </w:r>
            <w:r w:rsidR="006259BF">
              <w:rPr>
                <w:noProof/>
                <w:webHidden/>
              </w:rPr>
              <w:fldChar w:fldCharType="begin"/>
            </w:r>
            <w:r w:rsidR="006259BF">
              <w:rPr>
                <w:noProof/>
                <w:webHidden/>
              </w:rPr>
              <w:instrText xml:space="preserve"> PAGEREF _Toc10457064 \h </w:instrText>
            </w:r>
            <w:r w:rsidR="006259BF">
              <w:rPr>
                <w:noProof/>
                <w:webHidden/>
              </w:rPr>
            </w:r>
            <w:r w:rsidR="006259BF">
              <w:rPr>
                <w:noProof/>
                <w:webHidden/>
              </w:rPr>
              <w:fldChar w:fldCharType="separate"/>
            </w:r>
            <w:r w:rsidR="006259BF">
              <w:rPr>
                <w:noProof/>
                <w:webHidden/>
              </w:rPr>
              <w:t>12</w:t>
            </w:r>
            <w:r w:rsidR="006259BF">
              <w:rPr>
                <w:noProof/>
                <w:webHidden/>
              </w:rPr>
              <w:fldChar w:fldCharType="end"/>
            </w:r>
          </w:hyperlink>
        </w:p>
        <w:p w14:paraId="38491BB4" w14:textId="2F12CA59" w:rsidR="005B23FA" w:rsidRDefault="00425BEF" w:rsidP="00425BEF">
          <w:pPr>
            <w:pStyle w:val="TOC1"/>
          </w:pPr>
          <w:r>
            <w:fldChar w:fldCharType="end"/>
          </w:r>
        </w:p>
      </w:sdtContent>
    </w:sdt>
    <w:p w14:paraId="29DF40E7" w14:textId="00D86A75" w:rsidR="003E4262" w:rsidRDefault="003E4262" w:rsidP="00DE1443">
      <w:pPr>
        <w:spacing w:after="0" w:line="240" w:lineRule="auto"/>
      </w:pPr>
    </w:p>
    <w:p w14:paraId="0978B7B0" w14:textId="77777777" w:rsidR="003E4262" w:rsidRDefault="003E4262" w:rsidP="00DE1443">
      <w:pPr>
        <w:spacing w:after="0" w:line="240" w:lineRule="auto"/>
      </w:pPr>
    </w:p>
    <w:p w14:paraId="2F181B6C" w14:textId="77777777" w:rsidR="00964EDD" w:rsidRPr="00475283" w:rsidRDefault="00D177D4" w:rsidP="00DE1443">
      <w:pPr>
        <w:pStyle w:val="Heading1"/>
      </w:pPr>
      <w:bookmarkStart w:id="1" w:name="_Toc10457053"/>
      <w:r w:rsidRPr="00475283">
        <w:t xml:space="preserve">1. </w:t>
      </w:r>
      <w:r w:rsidR="00965227" w:rsidRPr="005B23FA">
        <w:t>Background</w:t>
      </w:r>
      <w:bookmarkEnd w:id="1"/>
      <w:r w:rsidR="00964EDD" w:rsidRPr="00475283">
        <w:rPr>
          <w:i/>
        </w:rPr>
        <w:t xml:space="preserve"> </w:t>
      </w:r>
    </w:p>
    <w:p w14:paraId="4AE0B8C1" w14:textId="77777777" w:rsidR="00E35243" w:rsidRPr="00475283" w:rsidRDefault="00E35243" w:rsidP="00DE1443">
      <w:pPr>
        <w:pStyle w:val="ListParagraph"/>
        <w:spacing w:after="0" w:line="240" w:lineRule="auto"/>
        <w:ind w:left="0"/>
        <w:contextualSpacing w:val="0"/>
        <w:jc w:val="both"/>
      </w:pPr>
    </w:p>
    <w:p w14:paraId="2A1C98A2" w14:textId="737D188A" w:rsidR="00964EDD" w:rsidRPr="00475283" w:rsidRDefault="00EB30BB" w:rsidP="00DE1443">
      <w:pPr>
        <w:pStyle w:val="ListParagraph"/>
        <w:spacing w:after="0" w:line="240" w:lineRule="auto"/>
        <w:ind w:left="0"/>
        <w:contextualSpacing w:val="0"/>
        <w:jc w:val="both"/>
      </w:pPr>
      <w:r>
        <w:t>In 201</w:t>
      </w:r>
      <w:r w:rsidR="00424C0E">
        <w:t>3</w:t>
      </w:r>
      <w:r w:rsidR="00E53AC9">
        <w:t>,</w:t>
      </w:r>
      <w:r w:rsidR="00424C0E">
        <w:t xml:space="preserve"> </w:t>
      </w:r>
      <w:r w:rsidRPr="00475283">
        <w:t>the UN-REDD Programme established the Community-based REDD+ initiative (</w:t>
      </w:r>
      <w:r w:rsidR="00F4376D">
        <w:t>C</w:t>
      </w:r>
      <w:r w:rsidRPr="00475283">
        <w:t>BR+),</w:t>
      </w:r>
      <w:r>
        <w:t xml:space="preserve"> </w:t>
      </w:r>
      <w:r w:rsidR="00987E74">
        <w:t>one of the pioneer</w:t>
      </w:r>
      <w:r w:rsidR="00983973">
        <w:t>ing</w:t>
      </w:r>
      <w:r w:rsidR="00987E74">
        <w:t xml:space="preserve"> schemes for community action in the REDD+ domain. </w:t>
      </w:r>
      <w:r w:rsidR="00F4376D">
        <w:t>Its</w:t>
      </w:r>
      <w:r w:rsidR="00E53AC9">
        <w:t xml:space="preserve"> main</w:t>
      </w:r>
      <w:r w:rsidR="00F4376D">
        <w:t xml:space="preserve"> </w:t>
      </w:r>
      <w:r>
        <w:t xml:space="preserve">objective was </w:t>
      </w:r>
      <w:r w:rsidR="00E35243" w:rsidRPr="00475283">
        <w:t xml:space="preserve">to enhance the </w:t>
      </w:r>
      <w:r w:rsidR="00F4376D">
        <w:t xml:space="preserve">engagement and </w:t>
      </w:r>
      <w:r w:rsidR="00E35243" w:rsidRPr="00475283">
        <w:t>inclusion of indigenous peoples and forest</w:t>
      </w:r>
      <w:r w:rsidR="00983973">
        <w:t xml:space="preserve"> </w:t>
      </w:r>
      <w:r w:rsidR="00E35243" w:rsidRPr="00475283">
        <w:t xml:space="preserve">communities in </w:t>
      </w:r>
      <w:r w:rsidR="00424C0E">
        <w:t xml:space="preserve">national </w:t>
      </w:r>
      <w:r w:rsidR="00E35243" w:rsidRPr="00475283">
        <w:t>REDD+</w:t>
      </w:r>
      <w:r w:rsidR="00424C0E">
        <w:t xml:space="preserve"> processes</w:t>
      </w:r>
      <w:r w:rsidR="00E35243" w:rsidRPr="00475283">
        <w:t xml:space="preserve">, </w:t>
      </w:r>
      <w:r w:rsidR="00983973">
        <w:t xml:space="preserve">thus </w:t>
      </w:r>
      <w:r w:rsidR="00E35243" w:rsidRPr="00475283">
        <w:t>provid</w:t>
      </w:r>
      <w:r w:rsidR="00983973">
        <w:t xml:space="preserve">ing </w:t>
      </w:r>
      <w:r w:rsidR="00E35243" w:rsidRPr="00475283">
        <w:t xml:space="preserve">grassroots </w:t>
      </w:r>
      <w:r w:rsidR="00E53AC9">
        <w:t xml:space="preserve">experiences and </w:t>
      </w:r>
      <w:r w:rsidR="00E35243" w:rsidRPr="00475283">
        <w:t>perspective</w:t>
      </w:r>
      <w:r w:rsidR="00E53AC9">
        <w:t>s</w:t>
      </w:r>
      <w:r w:rsidR="00E35243" w:rsidRPr="00475283">
        <w:t xml:space="preserve"> </w:t>
      </w:r>
      <w:r w:rsidR="00E53AC9">
        <w:t>in</w:t>
      </w:r>
      <w:r w:rsidR="00E35243" w:rsidRPr="00475283">
        <w:t>to national policy for REDD+</w:t>
      </w:r>
      <w:r>
        <w:t>.</w:t>
      </w:r>
      <w:r w:rsidR="00F4376D">
        <w:t xml:space="preserve"> CBR+ </w:t>
      </w:r>
      <w:r w:rsidR="00F4376D" w:rsidRPr="00F4376D">
        <w:t>was implemented in the period 2014-2017</w:t>
      </w:r>
      <w:r w:rsidR="00E53AC9">
        <w:t xml:space="preserve"> and </w:t>
      </w:r>
      <w:r w:rsidR="00830FC5">
        <w:t xml:space="preserve">has </w:t>
      </w:r>
      <w:r>
        <w:t>receiv</w:t>
      </w:r>
      <w:r w:rsidR="00830FC5">
        <w:t xml:space="preserve">ed </w:t>
      </w:r>
      <w:r>
        <w:t>praise from a wide range of stakeholders</w:t>
      </w:r>
      <w:r w:rsidR="00E53AC9">
        <w:t xml:space="preserve">: </w:t>
      </w:r>
      <w:r>
        <w:t xml:space="preserve">from indigenous organisations themselves to </w:t>
      </w:r>
      <w:r w:rsidR="00424C0E">
        <w:t xml:space="preserve">national </w:t>
      </w:r>
      <w:r>
        <w:t xml:space="preserve">governments, </w:t>
      </w:r>
      <w:r w:rsidR="00830FC5">
        <w:t xml:space="preserve">and </w:t>
      </w:r>
      <w:r>
        <w:t>to the UN-REDD executive board</w:t>
      </w:r>
      <w:r w:rsidR="00983973">
        <w:t xml:space="preserve"> – </w:t>
      </w:r>
      <w:r w:rsidR="00830FC5">
        <w:t xml:space="preserve">whose members </w:t>
      </w:r>
      <w:r w:rsidR="00987E74">
        <w:t xml:space="preserve">have </w:t>
      </w:r>
      <w:r w:rsidR="00DE1443">
        <w:t>proposed</w:t>
      </w:r>
      <w:r w:rsidR="00830FC5">
        <w:t xml:space="preserve"> and discussed a potential new phase, which this note explores</w:t>
      </w:r>
      <w:r w:rsidR="00983973">
        <w:t xml:space="preserve"> while scoping </w:t>
      </w:r>
      <w:r w:rsidR="00987E74">
        <w:t>funding</w:t>
      </w:r>
      <w:r>
        <w:t>.</w:t>
      </w:r>
    </w:p>
    <w:p w14:paraId="2618547F" w14:textId="77777777" w:rsidR="00E35243" w:rsidRPr="00475283" w:rsidRDefault="00E35243" w:rsidP="00DE1443">
      <w:pPr>
        <w:pStyle w:val="ListParagraph"/>
        <w:spacing w:after="0" w:line="240" w:lineRule="auto"/>
        <w:ind w:left="0"/>
        <w:contextualSpacing w:val="0"/>
        <w:jc w:val="both"/>
      </w:pPr>
    </w:p>
    <w:p w14:paraId="0E6E5738" w14:textId="77777777" w:rsidR="00424C0E" w:rsidRDefault="00983973" w:rsidP="00DE1443">
      <w:pPr>
        <w:pStyle w:val="ListParagraph"/>
        <w:spacing w:after="0" w:line="240" w:lineRule="auto"/>
        <w:ind w:left="0"/>
        <w:contextualSpacing w:val="0"/>
        <w:jc w:val="both"/>
      </w:pPr>
      <w:r>
        <w:t xml:space="preserve">In its </w:t>
      </w:r>
      <w:r w:rsidR="00987E74">
        <w:t xml:space="preserve">first </w:t>
      </w:r>
      <w:r>
        <w:t xml:space="preserve">phase, the </w:t>
      </w:r>
      <w:r w:rsidR="00E35243" w:rsidRPr="00475283">
        <w:t xml:space="preserve">CBR+ initiative was </w:t>
      </w:r>
      <w:r w:rsidR="00830FC5">
        <w:t>conducted</w:t>
      </w:r>
      <w:r w:rsidR="00E35243" w:rsidRPr="00475283">
        <w:t xml:space="preserve"> in 6 pilot countries, which were UN-REDD partner countries with </w:t>
      </w:r>
      <w:r w:rsidR="00830FC5">
        <w:t>full-fledge</w:t>
      </w:r>
      <w:r>
        <w:t>d</w:t>
      </w:r>
      <w:r w:rsidR="00830FC5">
        <w:t xml:space="preserve"> </w:t>
      </w:r>
      <w:r w:rsidR="00EB30BB">
        <w:t>national REDD+ processes</w:t>
      </w:r>
      <w:r w:rsidR="00424C0E">
        <w:t xml:space="preserve">: </w:t>
      </w:r>
      <w:r w:rsidR="00E35243" w:rsidRPr="00475283">
        <w:t>Cambodia</w:t>
      </w:r>
      <w:r w:rsidR="00830FC5">
        <w:t xml:space="preserve">, </w:t>
      </w:r>
      <w:r w:rsidR="00E35243" w:rsidRPr="00475283">
        <w:t>DRC</w:t>
      </w:r>
      <w:r w:rsidR="00830FC5">
        <w:t>,</w:t>
      </w:r>
      <w:r w:rsidR="00EB30BB">
        <w:t xml:space="preserve"> </w:t>
      </w:r>
      <w:r w:rsidR="00E35243" w:rsidRPr="00475283">
        <w:t>Nigeria</w:t>
      </w:r>
      <w:r w:rsidR="00830FC5">
        <w:t>,</w:t>
      </w:r>
      <w:r w:rsidR="00EB30BB">
        <w:t xml:space="preserve"> </w:t>
      </w:r>
      <w:r w:rsidR="00E35243" w:rsidRPr="00475283">
        <w:t>Panama</w:t>
      </w:r>
      <w:r w:rsidR="00830FC5">
        <w:t>,</w:t>
      </w:r>
      <w:r w:rsidR="00EB30BB">
        <w:t xml:space="preserve"> </w:t>
      </w:r>
      <w:r w:rsidR="00E35243" w:rsidRPr="00475283">
        <w:t>Paraguay</w:t>
      </w:r>
      <w:r w:rsidR="00EB30BB">
        <w:t xml:space="preserve"> and </w:t>
      </w:r>
      <w:r w:rsidR="00E35243" w:rsidRPr="00475283">
        <w:t>Sri Lanka</w:t>
      </w:r>
      <w:r w:rsidR="00EB30BB">
        <w:t>.</w:t>
      </w:r>
      <w:r w:rsidR="00284F02">
        <w:t xml:space="preserve"> It </w:t>
      </w:r>
      <w:r w:rsidR="00424C0E">
        <w:t xml:space="preserve">was </w:t>
      </w:r>
      <w:r w:rsidR="00EB30BB" w:rsidRPr="00475283">
        <w:t>financed with USD 4 million from the Government of Norway through the UN-REDD Programme</w:t>
      </w:r>
      <w:r w:rsidR="00830FC5">
        <w:t xml:space="preserve">. It was </w:t>
      </w:r>
      <w:r w:rsidR="00EB30BB">
        <w:t xml:space="preserve">implemented </w:t>
      </w:r>
      <w:r w:rsidR="00424C0E">
        <w:t xml:space="preserve">by </w:t>
      </w:r>
      <w:r w:rsidR="00EB30BB">
        <w:t>UNDP</w:t>
      </w:r>
      <w:r w:rsidR="00284F02">
        <w:t>, c</w:t>
      </w:r>
      <w:r w:rsidR="00830FC5">
        <w:t xml:space="preserve">ombining the technical support of its Climate &amp; Forests Team and the </w:t>
      </w:r>
      <w:r w:rsidR="00A647E3">
        <w:t xml:space="preserve">existing </w:t>
      </w:r>
      <w:r w:rsidR="00830FC5">
        <w:t xml:space="preserve">operational </w:t>
      </w:r>
      <w:r w:rsidR="00A647E3">
        <w:t xml:space="preserve">architecture </w:t>
      </w:r>
      <w:r w:rsidR="00830FC5">
        <w:t xml:space="preserve">of the </w:t>
      </w:r>
      <w:r w:rsidR="00424C0E" w:rsidRPr="00475283">
        <w:t>UNDP/GEF Small Grants Programme (SGP</w:t>
      </w:r>
      <w:r w:rsidR="00424C0E">
        <w:t>)</w:t>
      </w:r>
      <w:r w:rsidR="00425BEF">
        <w:t xml:space="preserve">, which also provided </w:t>
      </w:r>
      <w:r w:rsidR="00407BE0" w:rsidRPr="00407BE0">
        <w:t>matching grant funds</w:t>
      </w:r>
      <w:r w:rsidR="00EB30BB" w:rsidRPr="00475283">
        <w:t>.</w:t>
      </w:r>
      <w:r w:rsidR="00EB30BB">
        <w:t xml:space="preserve"> </w:t>
      </w:r>
      <w:r w:rsidR="00830FC5">
        <w:t xml:space="preserve">In </w:t>
      </w:r>
      <w:r>
        <w:t>total, C</w:t>
      </w:r>
      <w:r w:rsidR="00830FC5">
        <w:t xml:space="preserve">BR+ </w:t>
      </w:r>
      <w:r w:rsidR="00EB30BB" w:rsidRPr="00475283">
        <w:t>finance</w:t>
      </w:r>
      <w:r w:rsidR="00830FC5">
        <w:t xml:space="preserve">d and </w:t>
      </w:r>
      <w:r>
        <w:t xml:space="preserve">helped </w:t>
      </w:r>
      <w:r w:rsidR="00830FC5">
        <w:t>implement</w:t>
      </w:r>
      <w:r w:rsidR="00EB30BB" w:rsidRPr="00475283">
        <w:t xml:space="preserve"> over 100 community projects</w:t>
      </w:r>
      <w:r w:rsidR="00425BEF">
        <w:t xml:space="preserve">, as well as </w:t>
      </w:r>
      <w:r>
        <w:t>support</w:t>
      </w:r>
      <w:r w:rsidR="00425BEF">
        <w:t xml:space="preserve">ing </w:t>
      </w:r>
      <w:r w:rsidR="00424C0E">
        <w:t>policy dialogue, capacity building and knowledge</w:t>
      </w:r>
      <w:r w:rsidR="00830FC5">
        <w:t xml:space="preserve"> management</w:t>
      </w:r>
      <w:r>
        <w:t xml:space="preserve"> </w:t>
      </w:r>
      <w:r w:rsidR="00DE1443">
        <w:t xml:space="preserve">towards inclusive and rights-responsive </w:t>
      </w:r>
      <w:r w:rsidR="00425BEF">
        <w:t xml:space="preserve">REDD+ </w:t>
      </w:r>
      <w:r w:rsidR="00DE1443">
        <w:t xml:space="preserve">action in the beneficiary countries </w:t>
      </w:r>
      <w:r>
        <w:t>(</w:t>
      </w:r>
      <w:r w:rsidR="00EB30BB">
        <w:t xml:space="preserve">see </w:t>
      </w:r>
      <w:r w:rsidR="00EB30BB" w:rsidRPr="00D41FAE">
        <w:rPr>
          <w:u w:val="single"/>
        </w:rPr>
        <w:t>Annex 1</w:t>
      </w:r>
      <w:r w:rsidR="00424C0E">
        <w:t xml:space="preserve"> for a s</w:t>
      </w:r>
      <w:r w:rsidR="00424C0E" w:rsidRPr="00424C0E">
        <w:t>ynthesis of CBR+ delivery</w:t>
      </w:r>
      <w:r w:rsidR="00424C0E">
        <w:t xml:space="preserve">, and </w:t>
      </w:r>
      <w:r w:rsidR="00424C0E" w:rsidRPr="00D41FAE">
        <w:rPr>
          <w:u w:val="single"/>
        </w:rPr>
        <w:t>Annex 2</w:t>
      </w:r>
      <w:r w:rsidR="00424C0E">
        <w:t xml:space="preserve"> for a</w:t>
      </w:r>
      <w:r w:rsidR="00425BEF">
        <w:t xml:space="preserve"> selected list of CBR+ information </w:t>
      </w:r>
      <w:r w:rsidR="00424C0E" w:rsidRPr="00424C0E">
        <w:t>and knowledge documentation</w:t>
      </w:r>
      <w:r>
        <w:t>)</w:t>
      </w:r>
      <w:r w:rsidR="00EB30BB">
        <w:t>.</w:t>
      </w:r>
    </w:p>
    <w:p w14:paraId="3A14B2F8" w14:textId="77777777" w:rsidR="00424C0E" w:rsidRDefault="00424C0E" w:rsidP="00DE1443">
      <w:pPr>
        <w:spacing w:after="0" w:line="240" w:lineRule="auto"/>
        <w:jc w:val="both"/>
      </w:pPr>
    </w:p>
    <w:p w14:paraId="4722B3B4" w14:textId="77777777" w:rsidR="00EC541F" w:rsidRDefault="00EB30BB" w:rsidP="00DE1443">
      <w:pPr>
        <w:spacing w:after="0" w:line="240" w:lineRule="auto"/>
        <w:jc w:val="both"/>
      </w:pPr>
      <w:r>
        <w:t>CBR+ delivered its commitments, results and funding within the planned 4 years</w:t>
      </w:r>
      <w:r w:rsidR="00987E74">
        <w:t xml:space="preserve">, with </w:t>
      </w:r>
      <w:r>
        <w:t>no delays or extensions</w:t>
      </w:r>
      <w:r w:rsidR="00987E74">
        <w:t xml:space="preserve"> required</w:t>
      </w:r>
      <w:r>
        <w:t xml:space="preserve">. </w:t>
      </w:r>
      <w:r w:rsidR="00424C0E">
        <w:t>Th</w:t>
      </w:r>
      <w:r w:rsidR="00983973">
        <w:t xml:space="preserve">e efficient and effective </w:t>
      </w:r>
      <w:r w:rsidR="00424C0E">
        <w:t xml:space="preserve">delivery was the result of </w:t>
      </w:r>
      <w:r w:rsidR="00407BE0">
        <w:t xml:space="preserve">a </w:t>
      </w:r>
      <w:r w:rsidR="00987E74">
        <w:t xml:space="preserve">combination of factors: </w:t>
      </w:r>
      <w:r w:rsidR="00424C0E">
        <w:t>focused design, realist</w:t>
      </w:r>
      <w:r w:rsidR="00407BE0">
        <w:t>ic</w:t>
      </w:r>
      <w:r w:rsidR="00424C0E">
        <w:t xml:space="preserve"> planning</w:t>
      </w:r>
      <w:r w:rsidR="00987E74">
        <w:t xml:space="preserve">, national governance </w:t>
      </w:r>
      <w:r w:rsidR="00983973">
        <w:t xml:space="preserve">arrangements </w:t>
      </w:r>
      <w:r w:rsidR="00987E74">
        <w:t xml:space="preserve">based on </w:t>
      </w:r>
      <w:r w:rsidR="00424C0E">
        <w:t>multi-stakeholder platforms</w:t>
      </w:r>
      <w:r w:rsidR="00987E74">
        <w:t xml:space="preserve">, the use of </w:t>
      </w:r>
      <w:r w:rsidR="00157B0F" w:rsidRPr="00157B0F">
        <w:t>an existing grant mechanism (</w:t>
      </w:r>
      <w:r w:rsidR="00987E74">
        <w:t xml:space="preserve">the </w:t>
      </w:r>
      <w:r w:rsidR="00157B0F" w:rsidRPr="00157B0F">
        <w:t>SGP)</w:t>
      </w:r>
      <w:r w:rsidR="00830FC5">
        <w:t xml:space="preserve"> and a clear purpose</w:t>
      </w:r>
      <w:r w:rsidR="00157B0F" w:rsidRPr="00157B0F">
        <w:t>.</w:t>
      </w:r>
      <w:r w:rsidR="00425BEF">
        <w:t xml:space="preserve"> </w:t>
      </w:r>
      <w:r w:rsidR="00EC541F">
        <w:t>Following the success, representatives of indigenous peoples and local communities, REDD+ governments and UN-REDD Executive Board members have called for a new phase</w:t>
      </w:r>
      <w:r w:rsidR="00425BEF">
        <w:t>, seeking the same aim of CBR+ as a catalyst of community-government partnerships for REDD+</w:t>
      </w:r>
      <w:r w:rsidR="00EC541F">
        <w:t>.</w:t>
      </w:r>
    </w:p>
    <w:p w14:paraId="65F76A1B" w14:textId="77777777" w:rsidR="00142E66" w:rsidRPr="00475283" w:rsidRDefault="00142E66" w:rsidP="00DE1443">
      <w:pPr>
        <w:pStyle w:val="Heading1"/>
      </w:pPr>
      <w:bookmarkStart w:id="2" w:name="_Toc10457054"/>
      <w:r>
        <w:lastRenderedPageBreak/>
        <w:t>2</w:t>
      </w:r>
      <w:r w:rsidRPr="00475283">
        <w:t xml:space="preserve">. </w:t>
      </w:r>
      <w:r w:rsidR="0034402E">
        <w:t>Policy framework</w:t>
      </w:r>
      <w:bookmarkEnd w:id="2"/>
    </w:p>
    <w:p w14:paraId="5FAE78E1" w14:textId="77777777" w:rsidR="00142E66" w:rsidRDefault="00142E66" w:rsidP="00DE1443">
      <w:pPr>
        <w:pStyle w:val="ListParagraph"/>
        <w:spacing w:after="0" w:line="240" w:lineRule="auto"/>
        <w:ind w:left="0"/>
        <w:contextualSpacing w:val="0"/>
        <w:jc w:val="both"/>
      </w:pPr>
    </w:p>
    <w:p w14:paraId="43603F3B" w14:textId="77777777" w:rsidR="00142E66" w:rsidRDefault="00142E66" w:rsidP="00DE1443">
      <w:pPr>
        <w:pStyle w:val="ListParagraph"/>
        <w:spacing w:after="0" w:line="240" w:lineRule="auto"/>
        <w:ind w:left="0"/>
        <w:contextualSpacing w:val="0"/>
        <w:jc w:val="both"/>
      </w:pPr>
      <w:r>
        <w:t>Since the fir</w:t>
      </w:r>
      <w:r w:rsidR="00830FC5">
        <w:t xml:space="preserve">st proposal for CBR+ in 2013, various </w:t>
      </w:r>
      <w:r>
        <w:t xml:space="preserve">policy developments </w:t>
      </w:r>
      <w:r w:rsidR="00987E74">
        <w:t xml:space="preserve">in the climate arena </w:t>
      </w:r>
      <w:r w:rsidR="00EE4015">
        <w:t>have emerged</w:t>
      </w:r>
      <w:r w:rsidR="00F14DF5">
        <w:t xml:space="preserve"> and taken a central stage</w:t>
      </w:r>
      <w:r w:rsidR="001952BF">
        <w:t xml:space="preserve">. They </w:t>
      </w:r>
      <w:r w:rsidR="00987E74">
        <w:t>requir</w:t>
      </w:r>
      <w:r w:rsidR="001952BF">
        <w:t>e</w:t>
      </w:r>
      <w:r w:rsidR="00DE1443">
        <w:t>,</w:t>
      </w:r>
      <w:r w:rsidR="00987E74">
        <w:t xml:space="preserve"> more than ever</w:t>
      </w:r>
      <w:r w:rsidR="00DE1443">
        <w:t>,</w:t>
      </w:r>
      <w:r w:rsidR="00987E74">
        <w:t xml:space="preserve"> national-community </w:t>
      </w:r>
      <w:r w:rsidR="00F76883">
        <w:t>alliances and cooperation</w:t>
      </w:r>
      <w:r w:rsidR="00DE1443">
        <w:t xml:space="preserve"> (as CBR+ fosters)</w:t>
      </w:r>
      <w:r w:rsidR="001952BF">
        <w:t>.</w:t>
      </w:r>
      <w:r w:rsidR="00B477A7">
        <w:t xml:space="preserve"> </w:t>
      </w:r>
      <w:r w:rsidR="001952BF">
        <w:t>The</w:t>
      </w:r>
      <w:r w:rsidR="00DE1443">
        <w:t xml:space="preserve">se new policy avenues </w:t>
      </w:r>
      <w:r w:rsidR="001952BF">
        <w:t>are:</w:t>
      </w:r>
    </w:p>
    <w:p w14:paraId="5E669F10" w14:textId="77777777" w:rsidR="0006443B" w:rsidRDefault="0006443B" w:rsidP="00DE1443">
      <w:pPr>
        <w:pStyle w:val="ListParagraph"/>
        <w:spacing w:after="0" w:line="240" w:lineRule="auto"/>
        <w:ind w:left="0"/>
        <w:contextualSpacing w:val="0"/>
        <w:jc w:val="both"/>
      </w:pPr>
    </w:p>
    <w:p w14:paraId="21F1007B" w14:textId="77777777" w:rsidR="00407BE0" w:rsidRDefault="003B4AFC" w:rsidP="00DE1443">
      <w:pPr>
        <w:pStyle w:val="ListParagraph"/>
        <w:numPr>
          <w:ilvl w:val="0"/>
          <w:numId w:val="11"/>
        </w:numPr>
        <w:spacing w:after="120" w:line="240" w:lineRule="auto"/>
        <w:ind w:left="568" w:hanging="284"/>
        <w:contextualSpacing w:val="0"/>
        <w:jc w:val="both"/>
      </w:pPr>
      <w:r w:rsidRPr="0006443B">
        <w:rPr>
          <w:b/>
          <w:bCs/>
        </w:rPr>
        <w:t xml:space="preserve">The </w:t>
      </w:r>
      <w:r w:rsidR="00EC541F">
        <w:rPr>
          <w:b/>
          <w:bCs/>
        </w:rPr>
        <w:t xml:space="preserve">shift to </w:t>
      </w:r>
      <w:r w:rsidRPr="0006443B">
        <w:rPr>
          <w:b/>
          <w:bCs/>
        </w:rPr>
        <w:t>REDD+ implementation</w:t>
      </w:r>
      <w:r>
        <w:t xml:space="preserve">: </w:t>
      </w:r>
      <w:r w:rsidR="00EE4015">
        <w:t>A</w:t>
      </w:r>
      <w:r>
        <w:t xml:space="preserve"> few, pioneer</w:t>
      </w:r>
      <w:r w:rsidR="00EC541F">
        <w:t xml:space="preserve">ing </w:t>
      </w:r>
      <w:r>
        <w:t xml:space="preserve">countries </w:t>
      </w:r>
      <w:r w:rsidR="00830FC5">
        <w:t>have adopted policies</w:t>
      </w:r>
      <w:r w:rsidR="00DE1443">
        <w:t xml:space="preserve"> &amp; measures for REDD+</w:t>
      </w:r>
      <w:r w:rsidR="00830FC5">
        <w:t xml:space="preserve">, have integrated them in their NDCs, and </w:t>
      </w:r>
      <w:r w:rsidR="0006443B">
        <w:t xml:space="preserve">are </w:t>
      </w:r>
      <w:r w:rsidR="00EE4015">
        <w:t xml:space="preserve">actually </w:t>
      </w:r>
      <w:r w:rsidR="0006443B">
        <w:t xml:space="preserve">implementing </w:t>
      </w:r>
      <w:r w:rsidR="00830FC5">
        <w:t>some of them (</w:t>
      </w:r>
      <w:r w:rsidR="00830FC5" w:rsidRPr="0034402E">
        <w:rPr>
          <w:i/>
        </w:rPr>
        <w:t>e.g.</w:t>
      </w:r>
      <w:r w:rsidR="00830FC5">
        <w:t xml:space="preserve">: Colombia, </w:t>
      </w:r>
      <w:r w:rsidR="0034402E">
        <w:t xml:space="preserve">Côte d'Ivoire, </w:t>
      </w:r>
      <w:r w:rsidR="00830FC5">
        <w:t xml:space="preserve">DRC, </w:t>
      </w:r>
      <w:r w:rsidR="0034402E">
        <w:t xml:space="preserve">Ecuador, </w:t>
      </w:r>
      <w:r w:rsidR="00830FC5">
        <w:t xml:space="preserve">Peru). </w:t>
      </w:r>
      <w:r w:rsidR="00EE4015">
        <w:t>Mo</w:t>
      </w:r>
      <w:r w:rsidR="0006443B">
        <w:t xml:space="preserve">st of </w:t>
      </w:r>
      <w:r>
        <w:t xml:space="preserve">them </w:t>
      </w:r>
      <w:r w:rsidR="00DE1443">
        <w:t xml:space="preserve">remain </w:t>
      </w:r>
      <w:r w:rsidR="00EE4015">
        <w:t xml:space="preserve">supported by </w:t>
      </w:r>
      <w:r>
        <w:t>UN-REDD and</w:t>
      </w:r>
      <w:r w:rsidR="0006443B">
        <w:t xml:space="preserve"> </w:t>
      </w:r>
      <w:r w:rsidR="00DE1443">
        <w:t xml:space="preserve">several of them </w:t>
      </w:r>
      <w:r w:rsidR="00830FC5">
        <w:t xml:space="preserve">have signed </w:t>
      </w:r>
      <w:r>
        <w:t xml:space="preserve">bilateral/multilateral funding agreements with </w:t>
      </w:r>
      <w:r w:rsidR="00830FC5">
        <w:t xml:space="preserve">the </w:t>
      </w:r>
      <w:r w:rsidR="00DE1443">
        <w:t>leading</w:t>
      </w:r>
      <w:r w:rsidR="00830FC5">
        <w:t xml:space="preserve"> REDD+ donors (</w:t>
      </w:r>
      <w:r w:rsidR="00830FC5" w:rsidRPr="00830FC5">
        <w:rPr>
          <w:i/>
        </w:rPr>
        <w:t>e.g.</w:t>
      </w:r>
      <w:r w:rsidR="00830FC5">
        <w:t xml:space="preserve">: Germany, </w:t>
      </w:r>
      <w:r>
        <w:t>Norway</w:t>
      </w:r>
      <w:r w:rsidR="00830FC5">
        <w:t>)</w:t>
      </w:r>
      <w:r w:rsidR="0006443B">
        <w:t>.</w:t>
      </w:r>
      <w:r w:rsidR="00EE4015">
        <w:t xml:space="preserve"> </w:t>
      </w:r>
      <w:r>
        <w:t>These countries have significant and active indigenous and forest communities, wh</w:t>
      </w:r>
      <w:r w:rsidR="00F76883">
        <w:t xml:space="preserve">ich </w:t>
      </w:r>
      <w:r w:rsidR="00DE1443">
        <w:t>will play</w:t>
      </w:r>
      <w:r w:rsidR="00F76883">
        <w:t xml:space="preserve"> a defining role </w:t>
      </w:r>
      <w:r>
        <w:t>in the success, inclusiveness and c</w:t>
      </w:r>
      <w:r w:rsidR="00EE4015">
        <w:t>redibility of REDD+.</w:t>
      </w:r>
      <w:r w:rsidR="00F14DF5">
        <w:t xml:space="preserve"> There is </w:t>
      </w:r>
      <w:r w:rsidR="00DE1443">
        <w:t xml:space="preserve">an urgent </w:t>
      </w:r>
      <w:r w:rsidR="00F14DF5">
        <w:t xml:space="preserve">need to ensure REDD+ finance flows to the grassroots and </w:t>
      </w:r>
      <w:r w:rsidR="001952BF">
        <w:t xml:space="preserve">empowers </w:t>
      </w:r>
      <w:r w:rsidR="00F14DF5">
        <w:t>community actions for the forests.</w:t>
      </w:r>
    </w:p>
    <w:p w14:paraId="35AC3617" w14:textId="212363F1" w:rsidR="00407BE0" w:rsidRPr="00407BE0" w:rsidRDefault="00DE1443" w:rsidP="00DE1443">
      <w:pPr>
        <w:pStyle w:val="ListParagraph"/>
        <w:numPr>
          <w:ilvl w:val="0"/>
          <w:numId w:val="9"/>
        </w:numPr>
        <w:spacing w:after="120" w:line="240" w:lineRule="auto"/>
        <w:ind w:left="567" w:hanging="283"/>
        <w:contextualSpacing w:val="0"/>
        <w:jc w:val="both"/>
      </w:pPr>
      <w:r>
        <w:rPr>
          <w:b/>
          <w:bCs/>
        </w:rPr>
        <w:t xml:space="preserve">The </w:t>
      </w:r>
      <w:r w:rsidR="00407BE0" w:rsidRPr="00407BE0">
        <w:rPr>
          <w:b/>
          <w:bCs/>
        </w:rPr>
        <w:t>NDCs</w:t>
      </w:r>
      <w:r>
        <w:rPr>
          <w:b/>
          <w:bCs/>
        </w:rPr>
        <w:t xml:space="preserve"> – d</w:t>
      </w:r>
      <w:r w:rsidR="00407BE0" w:rsidRPr="00407BE0">
        <w:rPr>
          <w:b/>
          <w:bCs/>
        </w:rPr>
        <w:t xml:space="preserve">riving </w:t>
      </w:r>
      <w:r>
        <w:rPr>
          <w:b/>
          <w:bCs/>
        </w:rPr>
        <w:t>climate a</w:t>
      </w:r>
      <w:r w:rsidR="00407BE0" w:rsidRPr="00407BE0">
        <w:rPr>
          <w:b/>
          <w:bCs/>
        </w:rPr>
        <w:t>ction</w:t>
      </w:r>
      <w:r w:rsidR="00407BE0" w:rsidRPr="00F7207C">
        <w:t xml:space="preserve">: Through the </w:t>
      </w:r>
      <w:r w:rsidR="00407BE0" w:rsidRPr="00407BE0">
        <w:rPr>
          <w:i/>
          <w:iCs/>
        </w:rPr>
        <w:t>Paris Agreement</w:t>
      </w:r>
      <w:r w:rsidR="00407BE0" w:rsidRPr="00F7207C">
        <w:t xml:space="preserve">, NDCs are the keystone policy instrument for </w:t>
      </w:r>
      <w:r w:rsidR="00A36319">
        <w:t>a</w:t>
      </w:r>
      <w:r w:rsidR="00407BE0" w:rsidRPr="00F7207C">
        <w:t>dvancing climate action</w:t>
      </w:r>
      <w:r w:rsidR="003A184B">
        <w:t xml:space="preserve">. The </w:t>
      </w:r>
      <w:r w:rsidR="00407BE0" w:rsidRPr="00F7207C">
        <w:t xml:space="preserve">land use, land-use </w:t>
      </w:r>
      <w:proofErr w:type="gramStart"/>
      <w:r w:rsidR="00407BE0" w:rsidRPr="00F7207C">
        <w:t>change</w:t>
      </w:r>
      <w:proofErr w:type="gramEnd"/>
      <w:r w:rsidR="00407BE0" w:rsidRPr="00F7207C">
        <w:t xml:space="preserve"> and forestry sector represents 25% of planned emission reductions in </w:t>
      </w:r>
      <w:r w:rsidR="003A184B">
        <w:t xml:space="preserve">the </w:t>
      </w:r>
      <w:r w:rsidR="00407BE0" w:rsidRPr="00F7207C">
        <w:t>current NDCs</w:t>
      </w:r>
      <w:r w:rsidR="00407BE0">
        <w:t xml:space="preserve">. </w:t>
      </w:r>
      <w:r w:rsidR="003A184B">
        <w:t xml:space="preserve">A </w:t>
      </w:r>
      <w:r w:rsidR="00407BE0" w:rsidRPr="00F7207C">
        <w:t>number of REDD+ countries</w:t>
      </w:r>
      <w:r w:rsidR="003A184B">
        <w:t xml:space="preserve"> </w:t>
      </w:r>
      <w:r w:rsidR="00407BE0" w:rsidRPr="00F7207C">
        <w:t>highlight the key contribution to be made by forest-related activities to meet their NDC goals</w:t>
      </w:r>
      <w:r w:rsidR="00407BE0">
        <w:t xml:space="preserve">. </w:t>
      </w:r>
      <w:r w:rsidR="00407BE0" w:rsidRPr="00F7207C">
        <w:t xml:space="preserve">Yet </w:t>
      </w:r>
      <w:r w:rsidR="00407BE0">
        <w:t xml:space="preserve">to meet these forest-related NDC goals, </w:t>
      </w:r>
      <w:r w:rsidR="00407BE0" w:rsidRPr="00F7207C">
        <w:t xml:space="preserve">there is a need to ensure that indigenous peoples and forest communities have the channels </w:t>
      </w:r>
      <w:r w:rsidR="00A36319">
        <w:t xml:space="preserve">and means </w:t>
      </w:r>
      <w:r w:rsidR="00407BE0" w:rsidRPr="00F7207C">
        <w:t xml:space="preserve">to contribute </w:t>
      </w:r>
      <w:r w:rsidR="00A36319">
        <w:t xml:space="preserve">with </w:t>
      </w:r>
      <w:r w:rsidR="00407BE0" w:rsidRPr="00F7207C">
        <w:t xml:space="preserve">their perspectives, experiences, projects and knowledge toward NDC implementation and enhancement. </w:t>
      </w:r>
      <w:r w:rsidR="00A36319">
        <w:t>T</w:t>
      </w:r>
      <w:r w:rsidR="003A184B">
        <w:t xml:space="preserve">he successful implementation </w:t>
      </w:r>
      <w:r w:rsidR="00A36319">
        <w:t xml:space="preserve">of </w:t>
      </w:r>
      <w:r w:rsidR="00A36319" w:rsidRPr="00F7207C">
        <w:t>the land</w:t>
      </w:r>
      <w:r w:rsidR="00A36319">
        <w:t xml:space="preserve"> &amp;</w:t>
      </w:r>
      <w:r w:rsidR="00A36319" w:rsidRPr="00F7207C">
        <w:t xml:space="preserve"> forest components of NDCs</w:t>
      </w:r>
      <w:r w:rsidR="00A36319">
        <w:t xml:space="preserve"> </w:t>
      </w:r>
      <w:r w:rsidR="003A184B">
        <w:t xml:space="preserve">lies on </w:t>
      </w:r>
      <w:r w:rsidR="00407BE0" w:rsidRPr="00F7207C">
        <w:t xml:space="preserve">robust multi-stakeholder partnerships, </w:t>
      </w:r>
      <w:r w:rsidR="003A184B">
        <w:t xml:space="preserve">on the </w:t>
      </w:r>
      <w:r w:rsidR="00407BE0" w:rsidRPr="00F7207C">
        <w:t>full and effective engagement of indigenous peoples and forest communities, and</w:t>
      </w:r>
      <w:r w:rsidR="003A184B">
        <w:t xml:space="preserve"> on</w:t>
      </w:r>
      <w:r w:rsidR="00407BE0" w:rsidRPr="00F7207C">
        <w:t xml:space="preserve"> </w:t>
      </w:r>
      <w:r w:rsidR="003A184B">
        <w:t xml:space="preserve">the </w:t>
      </w:r>
      <w:r w:rsidR="00407BE0" w:rsidRPr="00F7207C">
        <w:t>promotion of forest rights.</w:t>
      </w:r>
      <w:r w:rsidR="00EC541F">
        <w:t xml:space="preserve"> </w:t>
      </w:r>
      <w:r w:rsidR="003A184B">
        <w:t>Community i</w:t>
      </w:r>
      <w:r w:rsidR="00407BE0">
        <w:t xml:space="preserve">nclusion </w:t>
      </w:r>
      <w:r w:rsidR="003A184B">
        <w:t>is</w:t>
      </w:r>
      <w:r w:rsidR="00407BE0">
        <w:t xml:space="preserve"> </w:t>
      </w:r>
      <w:r w:rsidR="003A184B">
        <w:t>e</w:t>
      </w:r>
      <w:r w:rsidR="00407BE0">
        <w:t>ssential to deliver on ambitious forest-related aspects of NDCs.</w:t>
      </w:r>
    </w:p>
    <w:p w14:paraId="2AA3EE2B" w14:textId="56A4916C" w:rsidR="003B4AFC" w:rsidRDefault="00F14DF5" w:rsidP="00DE1443">
      <w:pPr>
        <w:numPr>
          <w:ilvl w:val="0"/>
          <w:numId w:val="9"/>
        </w:numPr>
        <w:spacing w:after="0" w:line="240" w:lineRule="auto"/>
        <w:ind w:left="567" w:hanging="283"/>
        <w:jc w:val="both"/>
        <w:rPr>
          <w:rFonts w:eastAsia="Times New Roman"/>
        </w:rPr>
      </w:pPr>
      <w:r>
        <w:rPr>
          <w:rFonts w:eastAsia="Times New Roman"/>
          <w:b/>
          <w:bCs/>
        </w:rPr>
        <w:t xml:space="preserve">The </w:t>
      </w:r>
      <w:r w:rsidR="003B4AFC">
        <w:rPr>
          <w:rFonts w:eastAsia="Times New Roman"/>
          <w:b/>
          <w:bCs/>
        </w:rPr>
        <w:t xml:space="preserve">UNFCCC </w:t>
      </w:r>
      <w:r w:rsidR="0034402E">
        <w:rPr>
          <w:rFonts w:eastAsia="Times New Roman"/>
          <w:b/>
          <w:bCs/>
        </w:rPr>
        <w:t>LC</w:t>
      </w:r>
      <w:r w:rsidR="003B4AFC">
        <w:rPr>
          <w:rFonts w:eastAsia="Times New Roman"/>
          <w:b/>
          <w:bCs/>
        </w:rPr>
        <w:t>IP Platform</w:t>
      </w:r>
      <w:r w:rsidR="003B4AFC">
        <w:rPr>
          <w:rFonts w:eastAsia="Times New Roman"/>
        </w:rPr>
        <w:t xml:space="preserve">: </w:t>
      </w:r>
      <w:r>
        <w:rPr>
          <w:rFonts w:eastAsia="Times New Roman"/>
        </w:rPr>
        <w:t xml:space="preserve">The UNFCCC </w:t>
      </w:r>
      <w:r w:rsidR="0034402E">
        <w:rPr>
          <w:rFonts w:eastAsia="Times New Roman"/>
        </w:rPr>
        <w:t xml:space="preserve">has been negotiating </w:t>
      </w:r>
      <w:r>
        <w:rPr>
          <w:rFonts w:eastAsia="Times New Roman"/>
        </w:rPr>
        <w:t xml:space="preserve">a </w:t>
      </w:r>
      <w:r w:rsidR="003B4AFC">
        <w:rPr>
          <w:rFonts w:eastAsia="Times New Roman"/>
        </w:rPr>
        <w:t xml:space="preserve">new global platform </w:t>
      </w:r>
      <w:r>
        <w:rPr>
          <w:rFonts w:eastAsia="Times New Roman"/>
        </w:rPr>
        <w:t xml:space="preserve">on </w:t>
      </w:r>
      <w:r w:rsidR="0034402E">
        <w:rPr>
          <w:rFonts w:eastAsia="Times New Roman"/>
        </w:rPr>
        <w:t xml:space="preserve">local communities and </w:t>
      </w:r>
      <w:r>
        <w:rPr>
          <w:rFonts w:eastAsia="Times New Roman"/>
        </w:rPr>
        <w:t xml:space="preserve">indigenous peoples </w:t>
      </w:r>
      <w:r w:rsidR="0034402E">
        <w:rPr>
          <w:rFonts w:eastAsia="Times New Roman"/>
        </w:rPr>
        <w:t>(LCIP) as an inclusive mechanism to enhance knowledge sharing and policy dialogue between governments and indigenous/community stakeholders at the UNFCCC</w:t>
      </w:r>
      <w:r>
        <w:rPr>
          <w:rFonts w:eastAsia="Times New Roman"/>
        </w:rPr>
        <w:t xml:space="preserve">. </w:t>
      </w:r>
      <w:r w:rsidR="0034402E">
        <w:rPr>
          <w:rFonts w:eastAsia="Times New Roman"/>
        </w:rPr>
        <w:t xml:space="preserve">The LCIP Platform </w:t>
      </w:r>
      <w:r w:rsidR="00A36319">
        <w:rPr>
          <w:rFonts w:eastAsia="Times New Roman"/>
        </w:rPr>
        <w:t xml:space="preserve">was adopted </w:t>
      </w:r>
      <w:r>
        <w:rPr>
          <w:rFonts w:eastAsia="Times New Roman"/>
        </w:rPr>
        <w:t xml:space="preserve">at the </w:t>
      </w:r>
      <w:r w:rsidR="00A36319">
        <w:rPr>
          <w:rFonts w:eastAsia="Times New Roman"/>
        </w:rPr>
        <w:t xml:space="preserve">recent </w:t>
      </w:r>
      <w:r>
        <w:rPr>
          <w:rFonts w:eastAsia="Times New Roman"/>
        </w:rPr>
        <w:t>CoP</w:t>
      </w:r>
      <w:r w:rsidR="001952BF">
        <w:rPr>
          <w:rFonts w:eastAsia="Times New Roman"/>
        </w:rPr>
        <w:t>-24</w:t>
      </w:r>
      <w:r>
        <w:rPr>
          <w:rFonts w:eastAsia="Times New Roman"/>
        </w:rPr>
        <w:t xml:space="preserve"> (December 2018)</w:t>
      </w:r>
      <w:r w:rsidR="00A36319">
        <w:rPr>
          <w:rFonts w:eastAsia="Times New Roman"/>
        </w:rPr>
        <w:t xml:space="preserve"> and will soon start an inception phase</w:t>
      </w:r>
      <w:r w:rsidR="002270A2">
        <w:rPr>
          <w:rFonts w:eastAsia="Times New Roman"/>
        </w:rPr>
        <w:t xml:space="preserve">. </w:t>
      </w:r>
      <w:r w:rsidR="00A36319">
        <w:rPr>
          <w:rFonts w:eastAsia="Times New Roman"/>
        </w:rPr>
        <w:t>The Platform</w:t>
      </w:r>
      <w:r w:rsidR="002270A2">
        <w:rPr>
          <w:rFonts w:eastAsia="Times New Roman"/>
        </w:rPr>
        <w:t xml:space="preserve"> </w:t>
      </w:r>
      <w:r w:rsidR="001952BF">
        <w:rPr>
          <w:rFonts w:eastAsia="Times New Roman"/>
        </w:rPr>
        <w:t xml:space="preserve">has </w:t>
      </w:r>
      <w:r w:rsidR="00B87672">
        <w:rPr>
          <w:rFonts w:eastAsia="Times New Roman"/>
        </w:rPr>
        <w:t xml:space="preserve">a unique potential </w:t>
      </w:r>
      <w:r w:rsidR="001952BF">
        <w:rPr>
          <w:rFonts w:eastAsia="Times New Roman"/>
        </w:rPr>
        <w:t xml:space="preserve">for </w:t>
      </w:r>
      <w:r w:rsidR="002270A2">
        <w:rPr>
          <w:rFonts w:eastAsia="Times New Roman"/>
        </w:rPr>
        <w:t xml:space="preserve">fostering and enhancing </w:t>
      </w:r>
      <w:r w:rsidR="001952BF">
        <w:rPr>
          <w:rFonts w:eastAsia="Times New Roman"/>
        </w:rPr>
        <w:t>inclusive climate action</w:t>
      </w:r>
      <w:r w:rsidR="00D63DB5">
        <w:rPr>
          <w:rFonts w:eastAsia="Times New Roman"/>
        </w:rPr>
        <w:t xml:space="preserve"> in the areas where indigenous peoples and local communities have the greatest potential to contribute to mitigation, adaptation and resilience, by way of traditional knowledge and forest management practices</w:t>
      </w:r>
      <w:r>
        <w:rPr>
          <w:rFonts w:eastAsia="Times New Roman"/>
        </w:rPr>
        <w:t xml:space="preserve">. </w:t>
      </w:r>
      <w:r w:rsidR="00B87672">
        <w:rPr>
          <w:rFonts w:eastAsia="Times New Roman"/>
        </w:rPr>
        <w:t xml:space="preserve">At this crossroads, </w:t>
      </w:r>
      <w:r>
        <w:rPr>
          <w:rFonts w:eastAsia="Times New Roman"/>
        </w:rPr>
        <w:t xml:space="preserve">country and local efforts </w:t>
      </w:r>
      <w:r w:rsidR="00B87672">
        <w:rPr>
          <w:rFonts w:eastAsia="Times New Roman"/>
        </w:rPr>
        <w:t>on knowledge exchange</w:t>
      </w:r>
      <w:r w:rsidR="00D63DB5">
        <w:rPr>
          <w:rFonts w:eastAsia="Times New Roman"/>
        </w:rPr>
        <w:t>, climate actions</w:t>
      </w:r>
      <w:r w:rsidR="00B87672">
        <w:rPr>
          <w:rFonts w:eastAsia="Times New Roman"/>
        </w:rPr>
        <w:t xml:space="preserve"> and policy dialogue </w:t>
      </w:r>
      <w:r w:rsidR="001952BF">
        <w:rPr>
          <w:rFonts w:eastAsia="Times New Roman"/>
        </w:rPr>
        <w:t>(</w:t>
      </w:r>
      <w:r w:rsidR="00B87672">
        <w:rPr>
          <w:rFonts w:eastAsia="Times New Roman"/>
        </w:rPr>
        <w:t>as UN-REDD and CBR+ ha</w:t>
      </w:r>
      <w:r w:rsidR="001952BF">
        <w:rPr>
          <w:rFonts w:eastAsia="Times New Roman"/>
        </w:rPr>
        <w:t xml:space="preserve">ve </w:t>
      </w:r>
      <w:r w:rsidR="00B87672">
        <w:rPr>
          <w:rFonts w:eastAsia="Times New Roman"/>
        </w:rPr>
        <w:t>been doing over the past years</w:t>
      </w:r>
      <w:r w:rsidR="001952BF">
        <w:rPr>
          <w:rFonts w:eastAsia="Times New Roman"/>
        </w:rPr>
        <w:t xml:space="preserve">) </w:t>
      </w:r>
      <w:r>
        <w:rPr>
          <w:rFonts w:eastAsia="Times New Roman"/>
        </w:rPr>
        <w:t xml:space="preserve">can </w:t>
      </w:r>
      <w:r w:rsidR="001952BF">
        <w:rPr>
          <w:rFonts w:eastAsia="Times New Roman"/>
        </w:rPr>
        <w:t xml:space="preserve">provide </w:t>
      </w:r>
      <w:r w:rsidR="00A36319">
        <w:rPr>
          <w:rFonts w:eastAsia="Times New Roman"/>
        </w:rPr>
        <w:t>concrete and practical</w:t>
      </w:r>
      <w:r w:rsidR="00EA4204">
        <w:rPr>
          <w:rFonts w:eastAsia="Times New Roman"/>
        </w:rPr>
        <w:t xml:space="preserve"> inputs</w:t>
      </w:r>
      <w:r w:rsidR="00A36319">
        <w:rPr>
          <w:rFonts w:eastAsia="Times New Roman"/>
        </w:rPr>
        <w:t xml:space="preserve"> to the Platform</w:t>
      </w:r>
      <w:r w:rsidR="001952BF">
        <w:rPr>
          <w:rFonts w:eastAsia="Times New Roman"/>
        </w:rPr>
        <w:t xml:space="preserve">, </w:t>
      </w:r>
      <w:r w:rsidR="00D63DB5">
        <w:rPr>
          <w:rFonts w:eastAsia="Times New Roman"/>
        </w:rPr>
        <w:t xml:space="preserve">based on indigenous peoples and local communities experience with REDD+, </w:t>
      </w:r>
      <w:r w:rsidR="00A36319">
        <w:rPr>
          <w:rFonts w:eastAsia="Times New Roman"/>
        </w:rPr>
        <w:t xml:space="preserve">thus </w:t>
      </w:r>
      <w:r w:rsidR="00B87672">
        <w:rPr>
          <w:rFonts w:eastAsia="Times New Roman"/>
        </w:rPr>
        <w:t>guid</w:t>
      </w:r>
      <w:r w:rsidR="001952BF">
        <w:rPr>
          <w:rFonts w:eastAsia="Times New Roman"/>
        </w:rPr>
        <w:t xml:space="preserve">ing </w:t>
      </w:r>
      <w:r w:rsidR="00B87672">
        <w:rPr>
          <w:rFonts w:eastAsia="Times New Roman"/>
        </w:rPr>
        <w:t xml:space="preserve">and </w:t>
      </w:r>
      <w:r>
        <w:rPr>
          <w:rFonts w:eastAsia="Times New Roman"/>
        </w:rPr>
        <w:t>nurtur</w:t>
      </w:r>
      <w:r w:rsidR="001952BF">
        <w:rPr>
          <w:rFonts w:eastAsia="Times New Roman"/>
        </w:rPr>
        <w:t xml:space="preserve">ing </w:t>
      </w:r>
      <w:r w:rsidR="00A36319">
        <w:rPr>
          <w:rFonts w:eastAsia="Times New Roman"/>
        </w:rPr>
        <w:t>its early stages</w:t>
      </w:r>
      <w:r>
        <w:rPr>
          <w:rFonts w:eastAsia="Times New Roman"/>
        </w:rPr>
        <w:t>.</w:t>
      </w:r>
    </w:p>
    <w:p w14:paraId="6DF4AAFB" w14:textId="77777777" w:rsidR="00B87672" w:rsidRDefault="00B87672" w:rsidP="00DE1443">
      <w:pPr>
        <w:spacing w:after="0" w:line="240" w:lineRule="auto"/>
      </w:pPr>
    </w:p>
    <w:p w14:paraId="5E504456" w14:textId="77777777" w:rsidR="00EC541F" w:rsidRDefault="006F789D" w:rsidP="00DE1443">
      <w:pPr>
        <w:spacing w:after="0" w:line="240" w:lineRule="auto"/>
        <w:jc w:val="both"/>
      </w:pPr>
      <w:r>
        <w:t>In addition</w:t>
      </w:r>
      <w:r w:rsidR="00EC541F">
        <w:t xml:space="preserve">, </w:t>
      </w:r>
      <w:r w:rsidR="00E34AD2">
        <w:t>as REDD+ finance unlocks, there is a funding gap towards indigenous and forest communities</w:t>
      </w:r>
      <w:r w:rsidR="00E74CB0">
        <w:t xml:space="preserve">. Countries need viable </w:t>
      </w:r>
      <w:r w:rsidR="007A7172">
        <w:t xml:space="preserve">examples of </w:t>
      </w:r>
      <w:r w:rsidR="00E34AD2">
        <w:t xml:space="preserve">funding mechanisms to </w:t>
      </w:r>
      <w:r w:rsidR="00E74CB0">
        <w:t xml:space="preserve">finance </w:t>
      </w:r>
      <w:r w:rsidR="00E34AD2">
        <w:t>grassroots actions for forests and climate</w:t>
      </w:r>
      <w:r w:rsidR="00E74CB0">
        <w:t xml:space="preserve"> that contribute to national goals (SDGs, NDCs)</w:t>
      </w:r>
      <w:r w:rsidR="00EC541F">
        <w:t>.</w:t>
      </w:r>
    </w:p>
    <w:p w14:paraId="485A7979" w14:textId="33BC4B13" w:rsidR="00EC541F" w:rsidRDefault="00EC541F" w:rsidP="00DE1443">
      <w:pPr>
        <w:spacing w:after="0" w:line="240" w:lineRule="auto"/>
      </w:pPr>
    </w:p>
    <w:p w14:paraId="5998F3FD" w14:textId="77777777" w:rsidR="005A2DBE" w:rsidRDefault="005A2DBE" w:rsidP="00DE1443">
      <w:pPr>
        <w:spacing w:after="0" w:line="240" w:lineRule="auto"/>
      </w:pPr>
    </w:p>
    <w:p w14:paraId="51F2F5D1" w14:textId="77777777" w:rsidR="00B87672" w:rsidRDefault="00B87672" w:rsidP="00DE1443">
      <w:pPr>
        <w:pStyle w:val="Heading1"/>
      </w:pPr>
      <w:bookmarkStart w:id="3" w:name="_Toc10457055"/>
      <w:r>
        <w:t>3. Objectives</w:t>
      </w:r>
      <w:bookmarkEnd w:id="3"/>
    </w:p>
    <w:p w14:paraId="70CD2B1D" w14:textId="77777777" w:rsidR="00B87672" w:rsidRDefault="00B87672" w:rsidP="00DE1443">
      <w:pPr>
        <w:spacing w:after="0" w:line="240" w:lineRule="auto"/>
      </w:pPr>
    </w:p>
    <w:p w14:paraId="09FBEFB9" w14:textId="77777777" w:rsidR="00E74CB0" w:rsidRDefault="00B87672" w:rsidP="00DE1443">
      <w:pPr>
        <w:spacing w:after="0" w:line="240" w:lineRule="auto"/>
        <w:jc w:val="both"/>
      </w:pPr>
      <w:r>
        <w:t xml:space="preserve">In view of the mentioned policy crossroads in the climate &amp; forest realm, a new CBR+ initiative </w:t>
      </w:r>
      <w:r w:rsidR="00627E74">
        <w:t xml:space="preserve">(CBR+2) would </w:t>
      </w:r>
      <w:r>
        <w:t xml:space="preserve">support </w:t>
      </w:r>
      <w:r w:rsidR="002270A2">
        <w:t xml:space="preserve">and empower </w:t>
      </w:r>
      <w:r>
        <w:t>indigenous peoples and forest communities to implement and monitor national</w:t>
      </w:r>
      <w:r w:rsidR="00EF5F46">
        <w:t>/subnational</w:t>
      </w:r>
      <w:r>
        <w:t xml:space="preserve"> policies and</w:t>
      </w:r>
      <w:r w:rsidR="00F9079B">
        <w:t xml:space="preserve"> commitments for REDD+ results.</w:t>
      </w:r>
    </w:p>
    <w:p w14:paraId="21284D2C" w14:textId="77777777" w:rsidR="00E74CB0" w:rsidRDefault="00E74CB0" w:rsidP="00DE1443">
      <w:pPr>
        <w:spacing w:after="0" w:line="240" w:lineRule="auto"/>
        <w:jc w:val="both"/>
      </w:pPr>
    </w:p>
    <w:p w14:paraId="222556F8" w14:textId="77777777" w:rsidR="00E74CB0" w:rsidRDefault="00E74CB0" w:rsidP="00DE1443">
      <w:pPr>
        <w:spacing w:after="0" w:line="240" w:lineRule="auto"/>
        <w:jc w:val="both"/>
      </w:pPr>
      <w:r>
        <w:t xml:space="preserve">In particular, </w:t>
      </w:r>
      <w:r w:rsidR="006F789D">
        <w:t xml:space="preserve">CBR+2 will support </w:t>
      </w:r>
      <w:r>
        <w:t>i</w:t>
      </w:r>
      <w:r w:rsidR="002270A2" w:rsidRPr="002270A2">
        <w:t xml:space="preserve">ndigenous peoples and forest-dependent communities to take their own actions within </w:t>
      </w:r>
      <w:r w:rsidR="002270A2">
        <w:t>n</w:t>
      </w:r>
      <w:r w:rsidR="002270A2" w:rsidRPr="002270A2">
        <w:t>ational REDD+ strategies</w:t>
      </w:r>
      <w:r w:rsidR="002270A2">
        <w:t xml:space="preserve"> and the forest components of NDCs.</w:t>
      </w:r>
      <w:r>
        <w:t xml:space="preserve"> It will also promote dialogue and participatory monitoring of the forest components of NDC implementation.</w:t>
      </w:r>
    </w:p>
    <w:p w14:paraId="0D863499" w14:textId="77777777" w:rsidR="00E74CB0" w:rsidRDefault="00E74CB0" w:rsidP="00DE1443">
      <w:pPr>
        <w:spacing w:after="0" w:line="240" w:lineRule="auto"/>
        <w:jc w:val="both"/>
      </w:pPr>
    </w:p>
    <w:p w14:paraId="709C9683" w14:textId="77777777" w:rsidR="00B87672" w:rsidRDefault="00B87672" w:rsidP="00DE1443">
      <w:pPr>
        <w:spacing w:after="0" w:line="240" w:lineRule="auto"/>
        <w:jc w:val="both"/>
      </w:pPr>
      <w:r>
        <w:t xml:space="preserve">By </w:t>
      </w:r>
      <w:r w:rsidR="00E74CB0">
        <w:t xml:space="preserve">financing community actions and </w:t>
      </w:r>
      <w:r>
        <w:t xml:space="preserve">fostering community-government </w:t>
      </w:r>
      <w:r w:rsidR="006F789D">
        <w:t>alignment on REDD+</w:t>
      </w:r>
      <w:r>
        <w:t xml:space="preserve">, CBR+2 will enhance </w:t>
      </w:r>
      <w:r w:rsidR="00E74CB0">
        <w:t xml:space="preserve">the </w:t>
      </w:r>
      <w:r>
        <w:t>ambition of NDCs and accelerate their implementation in the field.</w:t>
      </w:r>
    </w:p>
    <w:p w14:paraId="424723FD" w14:textId="77777777" w:rsidR="00B87672" w:rsidRDefault="00B87672" w:rsidP="00DE1443">
      <w:pPr>
        <w:spacing w:after="0" w:line="240" w:lineRule="auto"/>
        <w:jc w:val="both"/>
      </w:pPr>
    </w:p>
    <w:p w14:paraId="3E3C7940" w14:textId="04152A8D" w:rsidR="00142E66" w:rsidRDefault="00E74CB0" w:rsidP="00DE1443">
      <w:pPr>
        <w:spacing w:after="0" w:line="240" w:lineRule="auto"/>
        <w:jc w:val="both"/>
      </w:pPr>
      <w:r>
        <w:t xml:space="preserve">In addition, </w:t>
      </w:r>
      <w:r w:rsidR="00B87672">
        <w:t xml:space="preserve">CBR+2 </w:t>
      </w:r>
      <w:r w:rsidR="002270A2">
        <w:t>could</w:t>
      </w:r>
      <w:r w:rsidR="00B87672">
        <w:t xml:space="preserve"> also support the </w:t>
      </w:r>
      <w:r>
        <w:t xml:space="preserve">inception </w:t>
      </w:r>
      <w:r w:rsidR="00B87672">
        <w:t xml:space="preserve">of the new LCIP Platform of the UNFCCC by </w:t>
      </w:r>
      <w:r>
        <w:t>offering</w:t>
      </w:r>
      <w:r w:rsidR="002270A2" w:rsidRPr="002270A2">
        <w:t xml:space="preserve"> </w:t>
      </w:r>
      <w:r>
        <w:t xml:space="preserve">country </w:t>
      </w:r>
      <w:r w:rsidR="002270A2" w:rsidRPr="002270A2">
        <w:t>examples</w:t>
      </w:r>
      <w:r>
        <w:t xml:space="preserve"> on both community-government cooperation and the promotion of indigenous knowledge </w:t>
      </w:r>
      <w:r w:rsidR="00D63DB5">
        <w:t xml:space="preserve">and forest management practices </w:t>
      </w:r>
      <w:r>
        <w:t>for climate action</w:t>
      </w:r>
      <w:r w:rsidR="006F789D">
        <w:t xml:space="preserve">. In other words, </w:t>
      </w:r>
      <w:r>
        <w:t xml:space="preserve">CBR+ can stimulate </w:t>
      </w:r>
      <w:r w:rsidR="002270A2">
        <w:t>n</w:t>
      </w:r>
      <w:r w:rsidR="00F40423">
        <w:t xml:space="preserve">ational </w:t>
      </w:r>
      <w:r>
        <w:t xml:space="preserve">policy and knowledge collaborations between indigenous peoples and governments and channel them into the </w:t>
      </w:r>
      <w:r w:rsidR="00B87672">
        <w:t>LCIP Platform</w:t>
      </w:r>
      <w:r w:rsidR="001772C9">
        <w:t>.</w:t>
      </w:r>
      <w:r w:rsidR="00D167CC" w:rsidRPr="00D167CC">
        <w:t xml:space="preserve"> </w:t>
      </w:r>
    </w:p>
    <w:p w14:paraId="6E7F83A3" w14:textId="1D91CA66" w:rsidR="001778BE" w:rsidRDefault="001778BE" w:rsidP="00DE1443">
      <w:pPr>
        <w:spacing w:after="0" w:line="240" w:lineRule="auto"/>
        <w:jc w:val="both"/>
      </w:pPr>
    </w:p>
    <w:p w14:paraId="7D0E59E2" w14:textId="77777777" w:rsidR="005A2DBE" w:rsidRDefault="005A2DBE" w:rsidP="00DE1443">
      <w:pPr>
        <w:spacing w:after="0" w:line="240" w:lineRule="auto"/>
        <w:jc w:val="both"/>
      </w:pPr>
    </w:p>
    <w:p w14:paraId="11B067D0" w14:textId="77777777" w:rsidR="003B4AFC" w:rsidRPr="00F14DF5" w:rsidRDefault="00B87672" w:rsidP="00DE1443">
      <w:pPr>
        <w:pStyle w:val="Heading1"/>
      </w:pPr>
      <w:bookmarkStart w:id="4" w:name="_Toc10457056"/>
      <w:r>
        <w:t xml:space="preserve">4. Tentative </w:t>
      </w:r>
      <w:r w:rsidR="003B4AFC" w:rsidRPr="00F14DF5">
        <w:t>components</w:t>
      </w:r>
      <w:r>
        <w:t xml:space="preserve"> and focus</w:t>
      </w:r>
      <w:bookmarkEnd w:id="4"/>
    </w:p>
    <w:p w14:paraId="378B5D4C" w14:textId="77777777" w:rsidR="001A71AA" w:rsidRDefault="001A71AA" w:rsidP="00DE1443">
      <w:pPr>
        <w:pStyle w:val="ListParagraph"/>
        <w:spacing w:after="0" w:line="240" w:lineRule="auto"/>
        <w:ind w:left="0"/>
        <w:contextualSpacing w:val="0"/>
        <w:jc w:val="both"/>
      </w:pPr>
    </w:p>
    <w:p w14:paraId="7886F211" w14:textId="77777777" w:rsidR="001772C9" w:rsidRDefault="001A6737" w:rsidP="00DE1443">
      <w:pPr>
        <w:pStyle w:val="ListParagraph"/>
        <w:spacing w:after="0" w:line="240" w:lineRule="auto"/>
        <w:ind w:left="0"/>
        <w:contextualSpacing w:val="0"/>
        <w:jc w:val="both"/>
      </w:pPr>
      <w:r>
        <w:t xml:space="preserve">The initiative </w:t>
      </w:r>
      <w:r w:rsidR="00691AA0">
        <w:t>would</w:t>
      </w:r>
      <w:r>
        <w:t xml:space="preserve"> have two streams:</w:t>
      </w:r>
    </w:p>
    <w:p w14:paraId="6C015EA0" w14:textId="77777777" w:rsidR="001772C9" w:rsidRDefault="001772C9" w:rsidP="00DE1443">
      <w:pPr>
        <w:pStyle w:val="ListParagraph"/>
        <w:spacing w:after="0" w:line="240" w:lineRule="auto"/>
        <w:ind w:left="0"/>
        <w:contextualSpacing w:val="0"/>
        <w:jc w:val="both"/>
      </w:pPr>
    </w:p>
    <w:p w14:paraId="0B98020F" w14:textId="77777777" w:rsidR="001772C9" w:rsidRDefault="00F40423" w:rsidP="006F789D">
      <w:pPr>
        <w:pStyle w:val="ListParagraph"/>
        <w:numPr>
          <w:ilvl w:val="0"/>
          <w:numId w:val="17"/>
        </w:numPr>
        <w:spacing w:after="120" w:line="240" w:lineRule="auto"/>
        <w:ind w:left="568" w:hanging="284"/>
        <w:contextualSpacing w:val="0"/>
        <w:jc w:val="both"/>
      </w:pPr>
      <w:r>
        <w:t>a</w:t>
      </w:r>
      <w:r w:rsidR="001772C9">
        <w:t xml:space="preserve"> country</w:t>
      </w:r>
      <w:r w:rsidR="00EF5F46">
        <w:t>-level</w:t>
      </w:r>
      <w:r w:rsidR="001772C9">
        <w:t xml:space="preserve"> stream (the main one), </w:t>
      </w:r>
      <w:r w:rsidR="002D3EE1">
        <w:t xml:space="preserve">financing indigenous and community actions in </w:t>
      </w:r>
      <w:r w:rsidR="001A6737">
        <w:t xml:space="preserve">countries </w:t>
      </w:r>
      <w:r w:rsidR="002D3EE1">
        <w:t xml:space="preserve">that are </w:t>
      </w:r>
      <w:r w:rsidR="001A6737">
        <w:t xml:space="preserve">implementing REDD+ policies </w:t>
      </w:r>
      <w:r w:rsidR="002D3EE1">
        <w:t xml:space="preserve">&amp; </w:t>
      </w:r>
      <w:r w:rsidR="00EF5F46">
        <w:t>measures</w:t>
      </w:r>
      <w:r w:rsidR="002D3EE1">
        <w:t xml:space="preserve">, hence </w:t>
      </w:r>
      <w:r w:rsidR="001A6737">
        <w:t>enhanc</w:t>
      </w:r>
      <w:r w:rsidR="002D3EE1">
        <w:t xml:space="preserve">ing ambition and impact of </w:t>
      </w:r>
      <w:r w:rsidR="001A6737">
        <w:t xml:space="preserve">the </w:t>
      </w:r>
      <w:r w:rsidR="00C12F44">
        <w:t xml:space="preserve">land-use and </w:t>
      </w:r>
      <w:r w:rsidR="001A6737">
        <w:t>forest</w:t>
      </w:r>
      <w:r w:rsidR="00C12F44">
        <w:t xml:space="preserve">-related </w:t>
      </w:r>
      <w:r w:rsidR="002D3EE1">
        <w:t xml:space="preserve">components </w:t>
      </w:r>
      <w:r w:rsidR="001A6737">
        <w:t>of their NDCs</w:t>
      </w:r>
      <w:r w:rsidR="001772C9">
        <w:t xml:space="preserve">; </w:t>
      </w:r>
      <w:r w:rsidR="001A6737">
        <w:t>and</w:t>
      </w:r>
    </w:p>
    <w:p w14:paraId="6193BC82" w14:textId="60FFA3E7" w:rsidR="001A6737" w:rsidRDefault="00F40423" w:rsidP="00DE1443">
      <w:pPr>
        <w:pStyle w:val="ListParagraph"/>
        <w:numPr>
          <w:ilvl w:val="0"/>
          <w:numId w:val="17"/>
        </w:numPr>
        <w:spacing w:after="0" w:line="240" w:lineRule="auto"/>
        <w:ind w:left="567" w:hanging="283"/>
        <w:contextualSpacing w:val="0"/>
        <w:jc w:val="both"/>
      </w:pPr>
      <w:r>
        <w:t>a</w:t>
      </w:r>
      <w:r w:rsidR="001772C9">
        <w:t xml:space="preserve"> </w:t>
      </w:r>
      <w:r w:rsidR="003E12E4">
        <w:t xml:space="preserve">global, </w:t>
      </w:r>
      <w:r w:rsidR="00D167CC">
        <w:t>knowledge</w:t>
      </w:r>
      <w:r w:rsidR="001A6737">
        <w:t xml:space="preserve"> </w:t>
      </w:r>
      <w:r w:rsidR="001772C9">
        <w:t xml:space="preserve">stream </w:t>
      </w:r>
      <w:r w:rsidR="001A6737">
        <w:t>(</w:t>
      </w:r>
      <w:r w:rsidR="00C12F44">
        <w:t>informed</w:t>
      </w:r>
      <w:r w:rsidR="001772C9">
        <w:t xml:space="preserve"> by the country stream)</w:t>
      </w:r>
      <w:r w:rsidR="002D3EE1">
        <w:t xml:space="preserve">, </w:t>
      </w:r>
      <w:r w:rsidR="00691AA0">
        <w:t xml:space="preserve">to underpin the new LCIP Platform with community-based knowledge and experiences, as well as </w:t>
      </w:r>
      <w:r w:rsidR="00C12F44">
        <w:t xml:space="preserve">to </w:t>
      </w:r>
      <w:r w:rsidR="003E12E4">
        <w:t>feed</w:t>
      </w:r>
      <w:r w:rsidR="001772C9">
        <w:t xml:space="preserve"> </w:t>
      </w:r>
      <w:r w:rsidR="002D3EE1">
        <w:t xml:space="preserve">international </w:t>
      </w:r>
      <w:r w:rsidR="00691AA0">
        <w:t>policy dialogue</w:t>
      </w:r>
      <w:r w:rsidR="003E12E4">
        <w:t>s</w:t>
      </w:r>
      <w:r w:rsidR="00691AA0">
        <w:t xml:space="preserve"> around NDCs</w:t>
      </w:r>
      <w:r w:rsidR="001A6737">
        <w:t>.</w:t>
      </w:r>
    </w:p>
    <w:p w14:paraId="7BB3B6DE" w14:textId="77777777" w:rsidR="001A6737" w:rsidRDefault="001A6737" w:rsidP="00DE1443">
      <w:pPr>
        <w:pStyle w:val="ListParagraph"/>
        <w:spacing w:after="0" w:line="240" w:lineRule="auto"/>
        <w:ind w:left="0"/>
        <w:contextualSpacing w:val="0"/>
        <w:jc w:val="both"/>
      </w:pPr>
    </w:p>
    <w:p w14:paraId="387B5537" w14:textId="77777777" w:rsidR="001772C9" w:rsidRDefault="001772C9" w:rsidP="00DE1443">
      <w:pPr>
        <w:pStyle w:val="ListParagraph"/>
        <w:spacing w:after="0" w:line="240" w:lineRule="auto"/>
        <w:ind w:left="0"/>
        <w:contextualSpacing w:val="0"/>
        <w:jc w:val="both"/>
      </w:pPr>
      <w:r>
        <w:t>An outline</w:t>
      </w:r>
      <w:r w:rsidR="002D3EE1">
        <w:t xml:space="preserve"> of CBR+</w:t>
      </w:r>
      <w:r>
        <w:t xml:space="preserve"> follows</w:t>
      </w:r>
      <w:r w:rsidR="00F40423">
        <w:t xml:space="preserve">. </w:t>
      </w:r>
      <w:r w:rsidR="00D167CC">
        <w:t xml:space="preserve">If there is an expression of interest, the outline will </w:t>
      </w:r>
      <w:r w:rsidR="002D3EE1">
        <w:t xml:space="preserve">evolve </w:t>
      </w:r>
      <w:r>
        <w:t xml:space="preserve">into </w:t>
      </w:r>
      <w:r w:rsidRPr="001772C9">
        <w:t>a results framework (with outcomes, outputs and indicators)</w:t>
      </w:r>
      <w:r>
        <w:t xml:space="preserve"> in consultation with prospective CBR+ donors</w:t>
      </w:r>
      <w:r w:rsidR="00D167CC">
        <w:t xml:space="preserve">, </w:t>
      </w:r>
      <w:r>
        <w:t>indigenous peoples</w:t>
      </w:r>
      <w:r w:rsidR="00D167CC">
        <w:t xml:space="preserve"> and other relevant</w:t>
      </w:r>
      <w:r>
        <w:t xml:space="preserve"> stakeholders</w:t>
      </w:r>
      <w:r w:rsidRPr="001772C9">
        <w:t>.</w:t>
      </w:r>
    </w:p>
    <w:p w14:paraId="6E80EE7A" w14:textId="77777777" w:rsidR="001772C9" w:rsidRDefault="001772C9" w:rsidP="00DE1443">
      <w:pPr>
        <w:pStyle w:val="ListParagraph"/>
        <w:spacing w:after="0" w:line="240" w:lineRule="auto"/>
        <w:ind w:left="0"/>
        <w:contextualSpacing w:val="0"/>
        <w:jc w:val="both"/>
      </w:pPr>
    </w:p>
    <w:p w14:paraId="6349B3CE" w14:textId="77777777" w:rsidR="003B4AFC" w:rsidRPr="001A6737" w:rsidRDefault="002D2B9B" w:rsidP="00DE1443">
      <w:pPr>
        <w:pStyle w:val="ListParagraph"/>
        <w:spacing w:after="0" w:line="240" w:lineRule="auto"/>
        <w:ind w:left="0"/>
        <w:contextualSpacing w:val="0"/>
        <w:jc w:val="both"/>
        <w:rPr>
          <w:b/>
          <w:u w:val="single"/>
        </w:rPr>
      </w:pPr>
      <w:r w:rsidRPr="001A6737">
        <w:rPr>
          <w:b/>
          <w:u w:val="single"/>
        </w:rPr>
        <w:t>Countr</w:t>
      </w:r>
      <w:r w:rsidRPr="001A6737">
        <w:rPr>
          <w:b/>
        </w:rPr>
        <w:t>y</w:t>
      </w:r>
      <w:r w:rsidRPr="001A6737">
        <w:rPr>
          <w:b/>
          <w:u w:val="single"/>
        </w:rPr>
        <w:t xml:space="preserve"> stream</w:t>
      </w:r>
    </w:p>
    <w:p w14:paraId="1D83DED9" w14:textId="77777777" w:rsidR="002D2B9B" w:rsidRDefault="002D2B9B" w:rsidP="00DE1443">
      <w:pPr>
        <w:pStyle w:val="ListParagraph"/>
        <w:spacing w:after="0" w:line="240" w:lineRule="auto"/>
        <w:ind w:left="0"/>
        <w:contextualSpacing w:val="0"/>
        <w:jc w:val="both"/>
      </w:pPr>
    </w:p>
    <w:p w14:paraId="6708EBB8" w14:textId="77777777" w:rsidR="001772C9" w:rsidRDefault="001A6737" w:rsidP="00DE1443">
      <w:pPr>
        <w:pStyle w:val="ListParagraph"/>
        <w:spacing w:after="0" w:line="240" w:lineRule="auto"/>
        <w:ind w:left="0"/>
        <w:contextualSpacing w:val="0"/>
        <w:jc w:val="both"/>
      </w:pPr>
      <w:r>
        <w:t xml:space="preserve">The objective </w:t>
      </w:r>
      <w:r w:rsidR="001772C9">
        <w:t xml:space="preserve">of the country stream </w:t>
      </w:r>
      <w:r>
        <w:t>is two-fold:</w:t>
      </w:r>
    </w:p>
    <w:p w14:paraId="5C47D738" w14:textId="77777777" w:rsidR="001772C9" w:rsidRDefault="001772C9" w:rsidP="00DE1443">
      <w:pPr>
        <w:pStyle w:val="ListParagraph"/>
        <w:spacing w:after="0" w:line="240" w:lineRule="auto"/>
        <w:ind w:left="0"/>
        <w:contextualSpacing w:val="0"/>
        <w:jc w:val="both"/>
      </w:pPr>
    </w:p>
    <w:p w14:paraId="4B187654" w14:textId="77777777" w:rsidR="001772C9" w:rsidRDefault="001A6737" w:rsidP="00365B4A">
      <w:pPr>
        <w:pStyle w:val="ListParagraph"/>
        <w:numPr>
          <w:ilvl w:val="0"/>
          <w:numId w:val="18"/>
        </w:numPr>
        <w:spacing w:after="120" w:line="240" w:lineRule="auto"/>
        <w:ind w:left="567" w:hanging="141"/>
        <w:contextualSpacing w:val="0"/>
        <w:jc w:val="both"/>
      </w:pPr>
      <w:r>
        <w:t xml:space="preserve">to support indigenous </w:t>
      </w:r>
      <w:r w:rsidR="00F16287">
        <w:t>and</w:t>
      </w:r>
      <w:r>
        <w:t xml:space="preserve"> forest communities </w:t>
      </w:r>
      <w:r w:rsidR="00D167CC">
        <w:t xml:space="preserve">to participate in the </w:t>
      </w:r>
      <w:r>
        <w:t>implement</w:t>
      </w:r>
      <w:r w:rsidR="00D167CC">
        <w:t>ation and monitoring of</w:t>
      </w:r>
      <w:r>
        <w:t xml:space="preserve"> REDD+</w:t>
      </w:r>
      <w:r w:rsidR="00D167CC">
        <w:t xml:space="preserve"> policies </w:t>
      </w:r>
      <w:r w:rsidR="00F16287">
        <w:t>&amp;</w:t>
      </w:r>
      <w:r w:rsidR="00D167CC">
        <w:t xml:space="preserve"> measures</w:t>
      </w:r>
      <w:r>
        <w:t>; and</w:t>
      </w:r>
    </w:p>
    <w:p w14:paraId="04805F71" w14:textId="104340A1" w:rsidR="001A6737" w:rsidRDefault="001A6737" w:rsidP="00365B4A">
      <w:pPr>
        <w:pStyle w:val="ListParagraph"/>
        <w:numPr>
          <w:ilvl w:val="0"/>
          <w:numId w:val="18"/>
        </w:numPr>
        <w:spacing w:after="0" w:line="240" w:lineRule="auto"/>
        <w:ind w:left="567" w:hanging="141"/>
        <w:contextualSpacing w:val="0"/>
        <w:jc w:val="both"/>
      </w:pPr>
      <w:r>
        <w:t xml:space="preserve">to foster the engagement of indigenous </w:t>
      </w:r>
      <w:r w:rsidR="00F16287">
        <w:t>and</w:t>
      </w:r>
      <w:r>
        <w:t xml:space="preserve"> forest communities in </w:t>
      </w:r>
      <w:r w:rsidR="00D167CC">
        <w:t xml:space="preserve">the </w:t>
      </w:r>
      <w:r w:rsidR="00F16287">
        <w:t>review, implementation and monitoring of the</w:t>
      </w:r>
      <w:r w:rsidR="00BA4CEC">
        <w:t xml:space="preserve"> land-use and</w:t>
      </w:r>
      <w:r w:rsidR="00F16287">
        <w:t xml:space="preserve"> </w:t>
      </w:r>
      <w:r w:rsidR="00D167CC">
        <w:t xml:space="preserve">forest components of </w:t>
      </w:r>
      <w:r>
        <w:t>NDCs.</w:t>
      </w:r>
    </w:p>
    <w:p w14:paraId="4BDA2D3E" w14:textId="77777777" w:rsidR="001A6737" w:rsidRDefault="001A6737" w:rsidP="00DE1443">
      <w:pPr>
        <w:pStyle w:val="ListParagraph"/>
        <w:spacing w:after="0" w:line="240" w:lineRule="auto"/>
        <w:ind w:left="0"/>
        <w:contextualSpacing w:val="0"/>
        <w:jc w:val="both"/>
      </w:pPr>
    </w:p>
    <w:p w14:paraId="0C069066" w14:textId="77777777" w:rsidR="001A6737" w:rsidRDefault="001A6737" w:rsidP="00DE1443">
      <w:pPr>
        <w:pStyle w:val="ListParagraph"/>
        <w:spacing w:after="0" w:line="240" w:lineRule="auto"/>
        <w:ind w:left="0"/>
        <w:contextualSpacing w:val="0"/>
        <w:jc w:val="both"/>
      </w:pPr>
      <w:r>
        <w:t xml:space="preserve">The following </w:t>
      </w:r>
      <w:r w:rsidR="009905E5">
        <w:t>components are proposed for</w:t>
      </w:r>
      <w:r>
        <w:t xml:space="preserve"> the </w:t>
      </w:r>
      <w:r w:rsidR="00F40423">
        <w:t>beneficiary</w:t>
      </w:r>
      <w:r>
        <w:t xml:space="preserve"> countries:</w:t>
      </w:r>
    </w:p>
    <w:p w14:paraId="72DE499B" w14:textId="77777777" w:rsidR="001A6737" w:rsidRDefault="001A6737" w:rsidP="00DE1443">
      <w:pPr>
        <w:pStyle w:val="ListParagraph"/>
        <w:spacing w:after="0" w:line="240" w:lineRule="auto"/>
        <w:ind w:left="0"/>
        <w:contextualSpacing w:val="0"/>
        <w:jc w:val="both"/>
      </w:pPr>
    </w:p>
    <w:p w14:paraId="54BAB41F" w14:textId="16FC9FE8" w:rsidR="002D2B9B" w:rsidRDefault="00CA0624" w:rsidP="009905E5">
      <w:pPr>
        <w:pStyle w:val="ListParagraph"/>
        <w:numPr>
          <w:ilvl w:val="0"/>
          <w:numId w:val="14"/>
        </w:numPr>
        <w:spacing w:after="120" w:line="240" w:lineRule="auto"/>
        <w:ind w:left="568" w:hanging="284"/>
        <w:contextualSpacing w:val="0"/>
        <w:jc w:val="both"/>
      </w:pPr>
      <w:r w:rsidRPr="00354905">
        <w:rPr>
          <w:b/>
        </w:rPr>
        <w:t xml:space="preserve">Community </w:t>
      </w:r>
      <w:r w:rsidR="00354905" w:rsidRPr="00354905">
        <w:rPr>
          <w:b/>
        </w:rPr>
        <w:t>action</w:t>
      </w:r>
      <w:r>
        <w:t xml:space="preserve">: </w:t>
      </w:r>
      <w:r w:rsidR="00C62A22">
        <w:t>Financing</w:t>
      </w:r>
      <w:r w:rsidR="001A6737">
        <w:t xml:space="preserve"> c</w:t>
      </w:r>
      <w:r w:rsidR="002D2B9B">
        <w:t xml:space="preserve">ommunity projects that test, pilot or implement </w:t>
      </w:r>
      <w:r w:rsidR="00C62A22">
        <w:t>national</w:t>
      </w:r>
      <w:r w:rsidR="00D167CC">
        <w:t>/jurisdictional</w:t>
      </w:r>
      <w:r w:rsidR="00C62A22">
        <w:t xml:space="preserve"> </w:t>
      </w:r>
      <w:r w:rsidR="001A6737">
        <w:t>provisions</w:t>
      </w:r>
      <w:r w:rsidR="002D2B9B">
        <w:t xml:space="preserve"> for REDD+</w:t>
      </w:r>
      <w:r w:rsidR="00D167CC">
        <w:t xml:space="preserve">, </w:t>
      </w:r>
      <w:r w:rsidR="00A647E3">
        <w:t>as stated in t</w:t>
      </w:r>
      <w:r w:rsidR="00C62A22">
        <w:t xml:space="preserve">he </w:t>
      </w:r>
      <w:r w:rsidR="002D2B9B">
        <w:t>national strategy for REDD+</w:t>
      </w:r>
      <w:r w:rsidR="00C62A22">
        <w:t>,</w:t>
      </w:r>
      <w:r w:rsidR="002D2B9B">
        <w:t xml:space="preserve"> </w:t>
      </w:r>
      <w:r w:rsidR="00F40423">
        <w:t xml:space="preserve">in </w:t>
      </w:r>
      <w:r w:rsidR="002D2B9B">
        <w:t>multilateral agreement</w:t>
      </w:r>
      <w:r w:rsidR="00354905">
        <w:t>s</w:t>
      </w:r>
      <w:r w:rsidR="002D2B9B">
        <w:t xml:space="preserve"> for REDD+</w:t>
      </w:r>
      <w:r w:rsidR="001A6737">
        <w:t xml:space="preserve">, </w:t>
      </w:r>
      <w:r w:rsidR="00F40423">
        <w:t xml:space="preserve">in the </w:t>
      </w:r>
      <w:r w:rsidR="001A6737">
        <w:t>NDCs</w:t>
      </w:r>
      <w:r w:rsidR="00C12F44">
        <w:t xml:space="preserve"> (</w:t>
      </w:r>
      <w:r w:rsidR="00C12F44" w:rsidRPr="00C12F44">
        <w:t>including associated NDC partnership and/or implementation plans</w:t>
      </w:r>
      <w:r w:rsidR="00C12F44">
        <w:t>),</w:t>
      </w:r>
      <w:r w:rsidR="00C12F44" w:rsidRPr="00C12F44">
        <w:t xml:space="preserve"> </w:t>
      </w:r>
      <w:r w:rsidR="00F40423">
        <w:t xml:space="preserve">in </w:t>
      </w:r>
      <w:r w:rsidR="00354905">
        <w:t>GCF/RBPs programmes</w:t>
      </w:r>
      <w:r w:rsidR="00C62A22">
        <w:t xml:space="preserve">, and/or </w:t>
      </w:r>
      <w:r w:rsidR="00F40423">
        <w:t xml:space="preserve">in </w:t>
      </w:r>
      <w:r w:rsidR="00354905">
        <w:t>partnerships for deforestation-free commodities</w:t>
      </w:r>
      <w:r w:rsidR="001A6737">
        <w:t>.</w:t>
      </w:r>
      <w:r w:rsidR="00691AA0">
        <w:t xml:space="preserve"> In addition, </w:t>
      </w:r>
      <w:r w:rsidR="009905E5">
        <w:t xml:space="preserve">CBR+2 </w:t>
      </w:r>
      <w:r w:rsidR="008C0909">
        <w:t>will</w:t>
      </w:r>
      <w:r w:rsidR="009905E5">
        <w:t xml:space="preserve"> </w:t>
      </w:r>
      <w:r w:rsidR="00691AA0">
        <w:t>provi</w:t>
      </w:r>
      <w:r w:rsidR="009905E5">
        <w:t xml:space="preserve">de </w:t>
      </w:r>
      <w:r w:rsidR="00691AA0">
        <w:t xml:space="preserve">capacity building and </w:t>
      </w:r>
      <w:r w:rsidR="008C0909">
        <w:t xml:space="preserve">technical </w:t>
      </w:r>
      <w:r w:rsidR="00691AA0">
        <w:t>advi</w:t>
      </w:r>
      <w:r w:rsidR="008C0909">
        <w:t>ce</w:t>
      </w:r>
      <w:r w:rsidR="00691AA0">
        <w:t xml:space="preserve"> to organisations implementing complex community projects (</w:t>
      </w:r>
      <w:r w:rsidR="00691AA0" w:rsidRPr="00691AA0">
        <w:rPr>
          <w:i/>
        </w:rPr>
        <w:t xml:space="preserve">e.g.: </w:t>
      </w:r>
      <w:r w:rsidR="00691AA0">
        <w:t>forest restoration, design of community mechanisms for REDD+ payments</w:t>
      </w:r>
      <w:r w:rsidR="009905E5">
        <w:t>,</w:t>
      </w:r>
      <w:r w:rsidR="00691AA0">
        <w:t xml:space="preserve"> land-use planning).</w:t>
      </w:r>
    </w:p>
    <w:p w14:paraId="199CE9FF" w14:textId="4A072C0F" w:rsidR="00A647E3" w:rsidRDefault="00CA0624" w:rsidP="00DE1443">
      <w:pPr>
        <w:pStyle w:val="ListParagraph"/>
        <w:numPr>
          <w:ilvl w:val="0"/>
          <w:numId w:val="14"/>
        </w:numPr>
        <w:spacing w:after="0" w:line="240" w:lineRule="auto"/>
        <w:ind w:left="567" w:hanging="283"/>
        <w:contextualSpacing w:val="0"/>
        <w:jc w:val="both"/>
      </w:pPr>
      <w:r w:rsidRPr="00217B5C">
        <w:rPr>
          <w:b/>
        </w:rPr>
        <w:t>Policy dialogue</w:t>
      </w:r>
      <w:r w:rsidR="00D167CC">
        <w:t xml:space="preserve">: Building on </w:t>
      </w:r>
      <w:r w:rsidR="009905E5">
        <w:t xml:space="preserve">the </w:t>
      </w:r>
      <w:r w:rsidR="00D167CC">
        <w:t>community action</w:t>
      </w:r>
      <w:r w:rsidR="008C0909">
        <w:t xml:space="preserve"> and lessons</w:t>
      </w:r>
      <w:r w:rsidR="00D167CC">
        <w:t xml:space="preserve">, </w:t>
      </w:r>
      <w:r w:rsidR="008C0909">
        <w:t xml:space="preserve">CBR+2 will </w:t>
      </w:r>
      <w:r w:rsidR="00D167CC">
        <w:t>s</w:t>
      </w:r>
      <w:r>
        <w:t xml:space="preserve">upport </w:t>
      </w:r>
      <w:r w:rsidR="00412852">
        <w:t xml:space="preserve">multi-stakeholder </w:t>
      </w:r>
      <w:r w:rsidR="001A71AA">
        <w:t xml:space="preserve">policy dialogues </w:t>
      </w:r>
      <w:r w:rsidR="008C0909">
        <w:t xml:space="preserve">in the beneficiary countries </w:t>
      </w:r>
      <w:r w:rsidR="001A71AA">
        <w:t xml:space="preserve">to </w:t>
      </w:r>
      <w:r w:rsidR="00D167CC">
        <w:t>review</w:t>
      </w:r>
      <w:r w:rsidR="00691AA0">
        <w:t xml:space="preserve">, </w:t>
      </w:r>
      <w:r w:rsidR="00354905">
        <w:t>implement</w:t>
      </w:r>
      <w:r w:rsidR="001A71AA">
        <w:t xml:space="preserve"> </w:t>
      </w:r>
      <w:r w:rsidR="00D167CC">
        <w:t>and</w:t>
      </w:r>
      <w:r w:rsidR="00691AA0">
        <w:t xml:space="preserve"> </w:t>
      </w:r>
      <w:r w:rsidR="001A71AA">
        <w:t>monitor</w:t>
      </w:r>
      <w:r w:rsidR="00274249">
        <w:t xml:space="preserve"> the</w:t>
      </w:r>
      <w:r w:rsidR="001A71AA">
        <w:t xml:space="preserve"> </w:t>
      </w:r>
      <w:r w:rsidR="00274249">
        <w:t>forest-related components of the ND</w:t>
      </w:r>
      <w:r w:rsidR="001A71AA">
        <w:t>Cs</w:t>
      </w:r>
      <w:r w:rsidR="00F24798">
        <w:t xml:space="preserve">. </w:t>
      </w:r>
      <w:r w:rsidR="008C0909">
        <w:t>This will include efforts to integrate</w:t>
      </w:r>
      <w:r w:rsidR="00F24798">
        <w:t xml:space="preserve"> indigenous knowledge</w:t>
      </w:r>
      <w:r w:rsidR="008C0909">
        <w:t xml:space="preserve"> in </w:t>
      </w:r>
      <w:r w:rsidR="00354905">
        <w:t>the design and implement</w:t>
      </w:r>
      <w:r w:rsidR="00A647E3">
        <w:t>ation of</w:t>
      </w:r>
      <w:r w:rsidR="00354905">
        <w:t xml:space="preserve"> NDCs related to forests</w:t>
      </w:r>
      <w:r w:rsidR="00A647E3">
        <w:t xml:space="preserve">. This component </w:t>
      </w:r>
      <w:r w:rsidR="00F40423">
        <w:t xml:space="preserve">will </w:t>
      </w:r>
      <w:r w:rsidR="00691AA0">
        <w:t xml:space="preserve">also </w:t>
      </w:r>
      <w:r w:rsidR="00F40423">
        <w:t>support</w:t>
      </w:r>
      <w:r w:rsidR="00A647E3">
        <w:t xml:space="preserve"> the multi-stakeholder governance mechanism for CBR+</w:t>
      </w:r>
      <w:r w:rsidR="00BA4CEC">
        <w:t xml:space="preserve"> </w:t>
      </w:r>
      <w:r w:rsidR="008C0909">
        <w:t xml:space="preserve">(i.e. the </w:t>
      </w:r>
      <w:r w:rsidR="00BA4CEC">
        <w:t>national</w:t>
      </w:r>
      <w:r w:rsidR="00565619">
        <w:t xml:space="preserve"> </w:t>
      </w:r>
      <w:r w:rsidR="008C0909">
        <w:t xml:space="preserve">CBR+ </w:t>
      </w:r>
      <w:r w:rsidR="00565619">
        <w:t>steering committees</w:t>
      </w:r>
      <w:r w:rsidR="008C0909">
        <w:t>)</w:t>
      </w:r>
      <w:r w:rsidR="00A647E3">
        <w:t>.</w:t>
      </w:r>
    </w:p>
    <w:p w14:paraId="33C9A238" w14:textId="77777777" w:rsidR="00A647E3" w:rsidRDefault="00A647E3" w:rsidP="00DE1443">
      <w:pPr>
        <w:spacing w:after="0" w:line="240" w:lineRule="auto"/>
        <w:ind w:left="360"/>
        <w:jc w:val="both"/>
      </w:pPr>
    </w:p>
    <w:p w14:paraId="59611C3A" w14:textId="5057D65F" w:rsidR="00365B4A" w:rsidRDefault="009905E5" w:rsidP="009905E5">
      <w:pPr>
        <w:pStyle w:val="ListParagraph"/>
        <w:spacing w:after="0" w:line="240" w:lineRule="auto"/>
        <w:ind w:left="0"/>
        <w:contextualSpacing w:val="0"/>
        <w:jc w:val="both"/>
      </w:pPr>
      <w:r>
        <w:lastRenderedPageBreak/>
        <w:t xml:space="preserve">CBR+2 will engage in a few countries that qualify as forerunners in REDD+ action and that are willing to </w:t>
      </w:r>
      <w:r w:rsidR="003849D5">
        <w:t xml:space="preserve">enhance </w:t>
      </w:r>
      <w:r>
        <w:t xml:space="preserve">forest-related ambition in their NDCs </w:t>
      </w:r>
      <w:r w:rsidR="003849D5">
        <w:t xml:space="preserve">by way of empowering indigenous peoples and local communities </w:t>
      </w:r>
      <w:r w:rsidR="00DD16F1">
        <w:t xml:space="preserve">with their </w:t>
      </w:r>
      <w:r w:rsidR="003849D5">
        <w:t>role</w:t>
      </w:r>
      <w:r w:rsidR="00DD16F1">
        <w:t>s</w:t>
      </w:r>
      <w:r w:rsidR="003849D5">
        <w:t xml:space="preserve"> in forest and land use </w:t>
      </w:r>
      <w:r>
        <w:t xml:space="preserve">(see section 6 for criteria and early scoping of potential countries). The country programmes will systematically promote the </w:t>
      </w:r>
      <w:r w:rsidRPr="007B0EA4">
        <w:t>equitable and meaningful engagement of women and men within</w:t>
      </w:r>
      <w:r>
        <w:t xml:space="preserve"> indigenous and forest communities.</w:t>
      </w:r>
    </w:p>
    <w:p w14:paraId="7D84CDC2" w14:textId="77777777" w:rsidR="00365B4A" w:rsidRDefault="00365B4A" w:rsidP="009905E5">
      <w:pPr>
        <w:pStyle w:val="ListParagraph"/>
        <w:spacing w:after="0" w:line="240" w:lineRule="auto"/>
        <w:ind w:left="0"/>
        <w:contextualSpacing w:val="0"/>
        <w:jc w:val="both"/>
      </w:pPr>
    </w:p>
    <w:p w14:paraId="1B59B72B" w14:textId="77777777" w:rsidR="00167423" w:rsidRDefault="00167423" w:rsidP="00167423">
      <w:pPr>
        <w:spacing w:after="0" w:line="240" w:lineRule="auto"/>
        <w:jc w:val="both"/>
      </w:pPr>
      <w:r>
        <w:t>In addition, CBR+2 would engage with, and support selected countries in upstreaming community actions and indigenous knowledge into national and global policy endeavours, as follows:</w:t>
      </w:r>
    </w:p>
    <w:p w14:paraId="5BD4AC02" w14:textId="77777777" w:rsidR="00167423" w:rsidRDefault="00167423" w:rsidP="00167423">
      <w:pPr>
        <w:spacing w:after="0" w:line="240" w:lineRule="auto"/>
        <w:jc w:val="both"/>
      </w:pPr>
    </w:p>
    <w:p w14:paraId="08D7BC32" w14:textId="77777777" w:rsidR="00167423" w:rsidRDefault="00167423" w:rsidP="00167423">
      <w:pPr>
        <w:pStyle w:val="ListParagraph"/>
        <w:numPr>
          <w:ilvl w:val="0"/>
          <w:numId w:val="24"/>
        </w:numPr>
        <w:spacing w:after="120" w:line="240" w:lineRule="auto"/>
        <w:ind w:left="567" w:hanging="283"/>
        <w:contextualSpacing w:val="0"/>
        <w:jc w:val="both"/>
      </w:pPr>
      <w:r>
        <w:t>piloting indigenous knowledge initiatives on forests &amp; climate, as well as South-South exchanges on CBR+, as examples on the ground for the LCIP Platform to draw upon;</w:t>
      </w:r>
    </w:p>
    <w:p w14:paraId="575B7A1E" w14:textId="77777777" w:rsidR="00167423" w:rsidRDefault="00167423" w:rsidP="00167423">
      <w:pPr>
        <w:pStyle w:val="ListParagraph"/>
        <w:numPr>
          <w:ilvl w:val="0"/>
          <w:numId w:val="24"/>
        </w:numPr>
        <w:spacing w:after="120" w:line="240" w:lineRule="auto"/>
        <w:ind w:left="567" w:hanging="283"/>
        <w:contextualSpacing w:val="0"/>
        <w:jc w:val="both"/>
      </w:pPr>
      <w:r w:rsidRPr="00206430">
        <w:t xml:space="preserve">national and sub-national dialogues to consolidate the </w:t>
      </w:r>
      <w:r>
        <w:t xml:space="preserve">community </w:t>
      </w:r>
      <w:r w:rsidRPr="00206430">
        <w:t>experiences and chart the</w:t>
      </w:r>
      <w:r>
        <w:t>ir</w:t>
      </w:r>
      <w:r w:rsidRPr="00206430">
        <w:t xml:space="preserve"> way forward, ensuring incorporation in</w:t>
      </w:r>
      <w:r>
        <w:t xml:space="preserve"> (and </w:t>
      </w:r>
      <w:r w:rsidRPr="00206430">
        <w:t>linkages with</w:t>
      </w:r>
      <w:r>
        <w:t>)</w:t>
      </w:r>
      <w:r w:rsidRPr="00206430">
        <w:t xml:space="preserve"> NDCs and other policies</w:t>
      </w:r>
      <w:r>
        <w:t xml:space="preserve"> (SDGs);</w:t>
      </w:r>
    </w:p>
    <w:p w14:paraId="6B68B453" w14:textId="77777777" w:rsidR="00167423" w:rsidRDefault="00167423" w:rsidP="00167423">
      <w:pPr>
        <w:pStyle w:val="ListParagraph"/>
        <w:numPr>
          <w:ilvl w:val="0"/>
          <w:numId w:val="24"/>
        </w:numPr>
        <w:spacing w:after="0" w:line="240" w:lineRule="auto"/>
        <w:ind w:left="567" w:hanging="283"/>
        <w:jc w:val="both"/>
      </w:pPr>
      <w:r>
        <w:t xml:space="preserve">potentially, </w:t>
      </w:r>
      <w:r w:rsidRPr="00206430">
        <w:t xml:space="preserve">strategic projects (up to </w:t>
      </w:r>
      <w:r>
        <w:t xml:space="preserve">USD </w:t>
      </w:r>
      <w:r w:rsidRPr="00206430">
        <w:t>150,000) to build on and scale up the most promising initiatives implemented under CBR</w:t>
      </w:r>
      <w:r>
        <w:t>+ in 2014-2017</w:t>
      </w:r>
      <w:r w:rsidRPr="00206430">
        <w:t xml:space="preserve"> (1-2 per country)</w:t>
      </w:r>
      <w:r>
        <w:t>.</w:t>
      </w:r>
    </w:p>
    <w:p w14:paraId="788B9CED" w14:textId="77777777" w:rsidR="00167423" w:rsidRDefault="00167423" w:rsidP="009905E5">
      <w:pPr>
        <w:pStyle w:val="ListParagraph"/>
        <w:spacing w:after="0" w:line="240" w:lineRule="auto"/>
        <w:ind w:left="0"/>
        <w:contextualSpacing w:val="0"/>
        <w:jc w:val="both"/>
      </w:pPr>
    </w:p>
    <w:p w14:paraId="6AD692DF" w14:textId="14D5900D" w:rsidR="00354905" w:rsidRDefault="00A647E3" w:rsidP="009905E5">
      <w:pPr>
        <w:pStyle w:val="ListParagraph"/>
        <w:spacing w:after="0" w:line="240" w:lineRule="auto"/>
        <w:ind w:left="0"/>
        <w:contextualSpacing w:val="0"/>
        <w:jc w:val="both"/>
      </w:pPr>
      <w:r>
        <w:t xml:space="preserve">The </w:t>
      </w:r>
      <w:r w:rsidR="00F40423">
        <w:t xml:space="preserve">country </w:t>
      </w:r>
      <w:r>
        <w:t xml:space="preserve">outcomes </w:t>
      </w:r>
      <w:r w:rsidR="00F40423">
        <w:t>(</w:t>
      </w:r>
      <w:r>
        <w:t>both community action and policy dialogue</w:t>
      </w:r>
      <w:r w:rsidR="00F40423">
        <w:t xml:space="preserve">) </w:t>
      </w:r>
      <w:r>
        <w:t xml:space="preserve">will feed the works of the </w:t>
      </w:r>
      <w:r w:rsidR="00F40423">
        <w:t>global stream (</w:t>
      </w:r>
      <w:r w:rsidR="00F40423" w:rsidRPr="00F40423">
        <w:rPr>
          <w:i/>
        </w:rPr>
        <w:t>e.g.</w:t>
      </w:r>
      <w:r w:rsidR="00F40423">
        <w:t xml:space="preserve">: </w:t>
      </w:r>
      <w:r w:rsidR="00354905">
        <w:t>UNFCCC's LCIP Platform</w:t>
      </w:r>
      <w:r w:rsidR="00F40423">
        <w:t>, NDC dialogue</w:t>
      </w:r>
      <w:r w:rsidR="009905E5">
        <w:t>)</w:t>
      </w:r>
      <w:r w:rsidR="00F40423">
        <w:t xml:space="preserve"> – </w:t>
      </w:r>
      <w:r w:rsidR="00565619">
        <w:t>as described</w:t>
      </w:r>
      <w:r w:rsidR="00952D47">
        <w:t xml:space="preserve"> next.</w:t>
      </w:r>
    </w:p>
    <w:p w14:paraId="44CD578B" w14:textId="77777777" w:rsidR="002D2B9B" w:rsidRDefault="002D2B9B" w:rsidP="00DE1443">
      <w:pPr>
        <w:pStyle w:val="ListParagraph"/>
        <w:spacing w:after="0" w:line="240" w:lineRule="auto"/>
        <w:ind w:left="0"/>
        <w:contextualSpacing w:val="0"/>
        <w:jc w:val="both"/>
      </w:pPr>
    </w:p>
    <w:p w14:paraId="14A443F1" w14:textId="600404E2" w:rsidR="002D2B9B" w:rsidRPr="00201190" w:rsidRDefault="003E12E4" w:rsidP="00DE1443">
      <w:pPr>
        <w:pStyle w:val="ListParagraph"/>
        <w:spacing w:after="0" w:line="240" w:lineRule="auto"/>
        <w:ind w:left="0"/>
        <w:contextualSpacing w:val="0"/>
        <w:jc w:val="both"/>
        <w:rPr>
          <w:b/>
          <w:u w:val="single"/>
        </w:rPr>
      </w:pPr>
      <w:r>
        <w:rPr>
          <w:b/>
          <w:u w:val="single"/>
        </w:rPr>
        <w:t>Knowledge</w:t>
      </w:r>
      <w:r w:rsidR="002D2B9B" w:rsidRPr="00201190">
        <w:rPr>
          <w:b/>
          <w:u w:val="single"/>
        </w:rPr>
        <w:t xml:space="preserve"> stream</w:t>
      </w:r>
    </w:p>
    <w:p w14:paraId="7CCF4339" w14:textId="77777777" w:rsidR="00691AA0" w:rsidRDefault="00691AA0" w:rsidP="00DE1443">
      <w:pPr>
        <w:pStyle w:val="ListParagraph"/>
        <w:spacing w:after="0" w:line="240" w:lineRule="auto"/>
        <w:ind w:left="0"/>
        <w:contextualSpacing w:val="0"/>
        <w:jc w:val="both"/>
      </w:pPr>
    </w:p>
    <w:p w14:paraId="3652D745" w14:textId="2FBD8185" w:rsidR="00F40423" w:rsidRDefault="00691AA0" w:rsidP="00DE1443">
      <w:pPr>
        <w:pStyle w:val="ListParagraph"/>
        <w:spacing w:after="0" w:line="240" w:lineRule="auto"/>
        <w:ind w:left="0"/>
        <w:contextualSpacing w:val="0"/>
        <w:jc w:val="both"/>
      </w:pPr>
      <w:r>
        <w:t xml:space="preserve">The </w:t>
      </w:r>
      <w:r w:rsidR="00565619">
        <w:t xml:space="preserve">knowledge </w:t>
      </w:r>
      <w:r>
        <w:t>stream will channel community-level knowledge and experiences into global policy processes</w:t>
      </w:r>
      <w:r w:rsidR="004041FF">
        <w:t xml:space="preserve">, ensuring indigenous and community views and rights feed global policy </w:t>
      </w:r>
      <w:r w:rsidR="00365B4A">
        <w:t>processes</w:t>
      </w:r>
      <w:r w:rsidR="004041FF">
        <w:t xml:space="preserve">. </w:t>
      </w:r>
    </w:p>
    <w:p w14:paraId="23194BC2" w14:textId="77777777" w:rsidR="00A36319" w:rsidRDefault="00A36319" w:rsidP="00DE1443">
      <w:pPr>
        <w:pStyle w:val="ListParagraph"/>
        <w:spacing w:after="0" w:line="240" w:lineRule="auto"/>
        <w:ind w:left="0"/>
        <w:contextualSpacing w:val="0"/>
        <w:jc w:val="both"/>
      </w:pPr>
    </w:p>
    <w:p w14:paraId="1C7C1537" w14:textId="77777777" w:rsidR="002D2B9B" w:rsidRDefault="004041FF" w:rsidP="00DE1443">
      <w:pPr>
        <w:pStyle w:val="ListParagraph"/>
        <w:spacing w:after="0" w:line="240" w:lineRule="auto"/>
        <w:ind w:left="0"/>
        <w:contextualSpacing w:val="0"/>
        <w:jc w:val="both"/>
      </w:pPr>
      <w:r>
        <w:t>The following components are envisaged:</w:t>
      </w:r>
    </w:p>
    <w:p w14:paraId="5F469A3F" w14:textId="77777777" w:rsidR="00691AA0" w:rsidRDefault="00691AA0" w:rsidP="00DE1443">
      <w:pPr>
        <w:pStyle w:val="ListParagraph"/>
        <w:spacing w:after="0" w:line="240" w:lineRule="auto"/>
        <w:ind w:left="0"/>
        <w:contextualSpacing w:val="0"/>
        <w:jc w:val="both"/>
      </w:pPr>
    </w:p>
    <w:p w14:paraId="329856BA" w14:textId="4D913912" w:rsidR="001A71AA" w:rsidRDefault="00354905" w:rsidP="00365B4A">
      <w:pPr>
        <w:pStyle w:val="ListParagraph"/>
        <w:numPr>
          <w:ilvl w:val="0"/>
          <w:numId w:val="15"/>
        </w:numPr>
        <w:spacing w:after="120" w:line="240" w:lineRule="auto"/>
        <w:ind w:left="567" w:hanging="283"/>
        <w:contextualSpacing w:val="0"/>
        <w:jc w:val="both"/>
      </w:pPr>
      <w:r w:rsidRPr="00354905">
        <w:rPr>
          <w:b/>
        </w:rPr>
        <w:t>LCIP Platform</w:t>
      </w:r>
      <w:r>
        <w:t xml:space="preserve">: </w:t>
      </w:r>
      <w:r w:rsidR="001A71AA">
        <w:t xml:space="preserve">Support the jumpstart of the </w:t>
      </w:r>
      <w:r w:rsidR="004041FF">
        <w:t xml:space="preserve">new </w:t>
      </w:r>
      <w:r w:rsidR="001A71AA">
        <w:t>UNFCCC</w:t>
      </w:r>
      <w:r>
        <w:t>'s LC</w:t>
      </w:r>
      <w:r w:rsidR="001A71AA">
        <w:t>IP platform</w:t>
      </w:r>
      <w:r w:rsidR="00A647E3">
        <w:t xml:space="preserve">, notably by providing </w:t>
      </w:r>
      <w:r w:rsidR="001A71AA">
        <w:t>country-based knowledge and experiences</w:t>
      </w:r>
      <w:r w:rsidR="00A647E3">
        <w:t xml:space="preserve"> </w:t>
      </w:r>
      <w:r w:rsidR="004041FF">
        <w:t xml:space="preserve">in the forest realm </w:t>
      </w:r>
      <w:r w:rsidR="00A647E3">
        <w:t xml:space="preserve">that can underpin </w:t>
      </w:r>
      <w:r w:rsidR="004041FF">
        <w:t xml:space="preserve">the Platform's </w:t>
      </w:r>
      <w:r w:rsidR="00A647E3">
        <w:t>global work</w:t>
      </w:r>
      <w:r w:rsidR="004041FF">
        <w:t>. In addition, t</w:t>
      </w:r>
      <w:r w:rsidR="00A647E3">
        <w:t>echnical and institutional advice</w:t>
      </w:r>
      <w:r w:rsidR="004041FF">
        <w:t xml:space="preserve"> to the Platform will also be offered</w:t>
      </w:r>
      <w:r w:rsidR="00A647E3">
        <w:t>.</w:t>
      </w:r>
      <w:r w:rsidR="004041FF">
        <w:t xml:space="preserve"> This component </w:t>
      </w:r>
      <w:r w:rsidR="00DD16F1">
        <w:t xml:space="preserve">is already under </w:t>
      </w:r>
      <w:r w:rsidR="00365B4A">
        <w:t>discuss</w:t>
      </w:r>
      <w:r w:rsidR="00DD16F1">
        <w:t>ion</w:t>
      </w:r>
      <w:r w:rsidR="004041FF">
        <w:t xml:space="preserve"> with</w:t>
      </w:r>
      <w:r w:rsidR="00F40423">
        <w:t xml:space="preserve"> </w:t>
      </w:r>
      <w:r w:rsidR="004041FF">
        <w:t>the UNFCCC Secretariat a</w:t>
      </w:r>
      <w:r w:rsidR="00DD16F1">
        <w:t>s well as with</w:t>
      </w:r>
      <w:r w:rsidR="004041FF">
        <w:t xml:space="preserve"> the stakeholders managing the Platform</w:t>
      </w:r>
      <w:r w:rsidR="00DD16F1">
        <w:t xml:space="preserve"> (the LCIP Platform's inception workshop in Bonn in June 2019 will provide more clarity on the </w:t>
      </w:r>
      <w:r w:rsidR="003E4262">
        <w:t xml:space="preserve">potential </w:t>
      </w:r>
      <w:r w:rsidR="00DD16F1">
        <w:t>support role of a future CBR+ programme)</w:t>
      </w:r>
      <w:r w:rsidR="004041FF">
        <w:t>.</w:t>
      </w:r>
    </w:p>
    <w:p w14:paraId="1943F05E" w14:textId="22C66198" w:rsidR="00354905" w:rsidRDefault="00354905" w:rsidP="00365B4A">
      <w:pPr>
        <w:pStyle w:val="ListParagraph"/>
        <w:numPr>
          <w:ilvl w:val="0"/>
          <w:numId w:val="15"/>
        </w:numPr>
        <w:spacing w:after="120" w:line="240" w:lineRule="auto"/>
        <w:ind w:left="567" w:hanging="283"/>
        <w:contextualSpacing w:val="0"/>
        <w:jc w:val="both"/>
      </w:pPr>
      <w:r w:rsidRPr="00354905">
        <w:rPr>
          <w:b/>
        </w:rPr>
        <w:t xml:space="preserve">NDC </w:t>
      </w:r>
      <w:r w:rsidR="00A647E3">
        <w:rPr>
          <w:b/>
        </w:rPr>
        <w:t>dialogue</w:t>
      </w:r>
      <w:r>
        <w:t xml:space="preserve">: </w:t>
      </w:r>
      <w:r w:rsidR="00274249" w:rsidRPr="00274249">
        <w:t xml:space="preserve">Support the analysis of NDCs in terms of their recognition and promotion of the forest rights and knowledge of indigenous peoples and local communities. This will be done in collaboration with the UNDP NDC Support Programme and in the context of the global NDC partnerships. It will also aim to inform regional and global NDC dialogues </w:t>
      </w:r>
      <w:r w:rsidR="00565619">
        <w:t xml:space="preserve">such </w:t>
      </w:r>
      <w:r w:rsidR="00274249" w:rsidRPr="00274249">
        <w:t xml:space="preserve">as the series of </w:t>
      </w:r>
      <w:hyperlink r:id="rId11" w:history="1">
        <w:r w:rsidR="00274249" w:rsidRPr="000A1F2C">
          <w:rPr>
            <w:rStyle w:val="Hyperlink"/>
          </w:rPr>
          <w:t>UNFCCC/UNDP NDC dialogues</w:t>
        </w:r>
      </w:hyperlink>
      <w:r w:rsidR="00274249" w:rsidRPr="00274249">
        <w:t xml:space="preserve"> that have been conducted with over 200 governments from 150 developing countries</w:t>
      </w:r>
      <w:r w:rsidR="00274249">
        <w:t>.</w:t>
      </w:r>
    </w:p>
    <w:p w14:paraId="5E6914F9" w14:textId="77777777" w:rsidR="005647D2" w:rsidRDefault="005647D2" w:rsidP="00365B4A">
      <w:pPr>
        <w:pStyle w:val="ListParagraph"/>
        <w:numPr>
          <w:ilvl w:val="0"/>
          <w:numId w:val="15"/>
        </w:numPr>
        <w:spacing w:after="0" w:line="240" w:lineRule="auto"/>
        <w:ind w:left="567" w:hanging="283"/>
        <w:contextualSpacing w:val="0"/>
        <w:jc w:val="both"/>
      </w:pPr>
      <w:r>
        <w:rPr>
          <w:b/>
        </w:rPr>
        <w:t>Management &amp; o</w:t>
      </w:r>
      <w:r w:rsidRPr="00354905">
        <w:rPr>
          <w:b/>
        </w:rPr>
        <w:t>utreach</w:t>
      </w:r>
      <w:r>
        <w:t xml:space="preserve">: </w:t>
      </w:r>
      <w:r w:rsidR="008826C3">
        <w:t>Ensure sound coordination, t</w:t>
      </w:r>
      <w:r>
        <w:t>echnical quality and policy alignment</w:t>
      </w:r>
      <w:r w:rsidR="008826C3">
        <w:t xml:space="preserve"> of CBR+ activities</w:t>
      </w:r>
      <w:r>
        <w:t>, a</w:t>
      </w:r>
      <w:r w:rsidR="00365B4A">
        <w:t xml:space="preserve">s well as </w:t>
      </w:r>
      <w:r>
        <w:t>disseminat</w:t>
      </w:r>
      <w:r w:rsidR="00365B4A">
        <w:t>e</w:t>
      </w:r>
      <w:r>
        <w:t xml:space="preserve"> lessons.</w:t>
      </w:r>
    </w:p>
    <w:p w14:paraId="00567199" w14:textId="77777777" w:rsidR="00354905" w:rsidRDefault="00354905" w:rsidP="00DE1443">
      <w:pPr>
        <w:spacing w:after="0" w:line="240" w:lineRule="auto"/>
        <w:jc w:val="both"/>
      </w:pPr>
    </w:p>
    <w:p w14:paraId="5565FF28" w14:textId="049CC353" w:rsidR="003E12E4" w:rsidRDefault="003E12E4" w:rsidP="00DE1443">
      <w:pPr>
        <w:spacing w:after="0" w:line="240" w:lineRule="auto"/>
        <w:jc w:val="both"/>
      </w:pPr>
      <w:r>
        <w:t>During 2020, this stream will be coordinated with the UN-REDD knowledge component on "REDD+, forest tenure and the rights of indigenous peoples" (UN-REDD strategy 2018-2020) as well as with the global knowledge and advocacy work of the Tenure Facility and other international partners that support the LCIP Platform and NDCs.</w:t>
      </w:r>
    </w:p>
    <w:p w14:paraId="63B08239" w14:textId="3EA8A9FA" w:rsidR="003E12E4" w:rsidRDefault="003E12E4" w:rsidP="00DE1443">
      <w:pPr>
        <w:spacing w:after="0" w:line="240" w:lineRule="auto"/>
        <w:jc w:val="both"/>
      </w:pPr>
    </w:p>
    <w:p w14:paraId="31902F7F" w14:textId="77777777" w:rsidR="005F45F4" w:rsidRDefault="005F45F4" w:rsidP="005F45F4">
      <w:pPr>
        <w:spacing w:after="0" w:line="240" w:lineRule="auto"/>
        <w:jc w:val="both"/>
      </w:pPr>
      <w:r>
        <w:t>The gender mainstreaming experiences of CBR+ (2014-2017) and the new UN-REDD gender-equality approach will be applied.</w:t>
      </w:r>
    </w:p>
    <w:p w14:paraId="3CC01FC9" w14:textId="77777777" w:rsidR="005F45F4" w:rsidRDefault="005F45F4" w:rsidP="00DE1443">
      <w:pPr>
        <w:spacing w:after="0" w:line="240" w:lineRule="auto"/>
        <w:jc w:val="both"/>
      </w:pPr>
    </w:p>
    <w:p w14:paraId="32D5E25C" w14:textId="7EEBE7AE" w:rsidR="005F45F4" w:rsidRDefault="00A759EA" w:rsidP="005A2DBE">
      <w:pPr>
        <w:spacing w:after="0" w:line="240" w:lineRule="auto"/>
        <w:jc w:val="both"/>
        <w:rPr>
          <w:b/>
          <w:color w:val="0000FF"/>
        </w:rPr>
      </w:pPr>
      <w:r>
        <w:t xml:space="preserve">A proposed </w:t>
      </w:r>
      <w:r w:rsidR="00C62A22">
        <w:t>distribution of deliverables and funding is presented in Table 1.</w:t>
      </w:r>
      <w:r w:rsidR="005F45F4">
        <w:rPr>
          <w:b/>
          <w:color w:val="0000FF"/>
        </w:rPr>
        <w:br w:type="page"/>
      </w:r>
    </w:p>
    <w:p w14:paraId="67CA9A5F" w14:textId="4DFE60D6" w:rsidR="00C62A22" w:rsidRPr="00926F48" w:rsidRDefault="00284F02" w:rsidP="00284F02">
      <w:pPr>
        <w:spacing w:after="0" w:line="240" w:lineRule="auto"/>
        <w:jc w:val="center"/>
        <w:rPr>
          <w:b/>
          <w:color w:val="0000FF"/>
        </w:rPr>
      </w:pPr>
      <w:r w:rsidRPr="00926F48">
        <w:rPr>
          <w:b/>
          <w:color w:val="0000FF"/>
        </w:rPr>
        <w:lastRenderedPageBreak/>
        <w:t>Table 1. Outline of a potential CBR+2 initiative</w:t>
      </w:r>
    </w:p>
    <w:p w14:paraId="62912233" w14:textId="77777777" w:rsidR="00284F02" w:rsidRDefault="00284F02" w:rsidP="00284F02">
      <w:pPr>
        <w:spacing w:after="0" w:line="240" w:lineRule="auto"/>
        <w:jc w:val="both"/>
      </w:pPr>
    </w:p>
    <w:tbl>
      <w:tblPr>
        <w:tblStyle w:val="TableGrid"/>
        <w:tblW w:w="0" w:type="auto"/>
        <w:jc w:val="center"/>
        <w:tblLook w:val="04A0" w:firstRow="1" w:lastRow="0" w:firstColumn="1" w:lastColumn="0" w:noHBand="0" w:noVBand="1"/>
      </w:tblPr>
      <w:tblGrid>
        <w:gridCol w:w="1272"/>
        <w:gridCol w:w="1409"/>
        <w:gridCol w:w="5078"/>
        <w:gridCol w:w="1075"/>
      </w:tblGrid>
      <w:tr w:rsidR="00C62A22" w:rsidRPr="00365B4A" w14:paraId="154BC6D5" w14:textId="77777777" w:rsidTr="00365B4A">
        <w:trPr>
          <w:jc w:val="center"/>
        </w:trPr>
        <w:tc>
          <w:tcPr>
            <w:tcW w:w="1022" w:type="dxa"/>
            <w:shd w:val="clear" w:color="auto" w:fill="C6D9F1" w:themeFill="text2" w:themeFillTint="33"/>
            <w:tcMar>
              <w:top w:w="57" w:type="dxa"/>
              <w:bottom w:w="57" w:type="dxa"/>
            </w:tcMar>
            <w:vAlign w:val="center"/>
          </w:tcPr>
          <w:p w14:paraId="74D9E9BF" w14:textId="77777777" w:rsidR="00C62A22" w:rsidRPr="00365B4A" w:rsidRDefault="00D167CC" w:rsidP="00354905">
            <w:pPr>
              <w:jc w:val="both"/>
              <w:rPr>
                <w:b/>
                <w:sz w:val="20"/>
                <w:szCs w:val="20"/>
              </w:rPr>
            </w:pPr>
            <w:r w:rsidRPr="00365B4A">
              <w:rPr>
                <w:b/>
                <w:sz w:val="20"/>
                <w:szCs w:val="20"/>
              </w:rPr>
              <w:t>Components</w:t>
            </w:r>
          </w:p>
        </w:tc>
        <w:tc>
          <w:tcPr>
            <w:tcW w:w="1416" w:type="dxa"/>
            <w:shd w:val="clear" w:color="auto" w:fill="C6D9F1" w:themeFill="text2" w:themeFillTint="33"/>
            <w:tcMar>
              <w:top w:w="57" w:type="dxa"/>
              <w:bottom w:w="57" w:type="dxa"/>
            </w:tcMar>
            <w:vAlign w:val="center"/>
          </w:tcPr>
          <w:p w14:paraId="66E941D1" w14:textId="77777777" w:rsidR="00C62A22" w:rsidRPr="00365B4A" w:rsidRDefault="00C62A22" w:rsidP="00354905">
            <w:pPr>
              <w:jc w:val="both"/>
              <w:rPr>
                <w:b/>
                <w:sz w:val="20"/>
                <w:szCs w:val="20"/>
              </w:rPr>
            </w:pPr>
            <w:r w:rsidRPr="00365B4A">
              <w:rPr>
                <w:b/>
                <w:sz w:val="20"/>
                <w:szCs w:val="20"/>
              </w:rPr>
              <w:t>Key tasks</w:t>
            </w:r>
          </w:p>
        </w:tc>
        <w:tc>
          <w:tcPr>
            <w:tcW w:w="5283" w:type="dxa"/>
            <w:shd w:val="clear" w:color="auto" w:fill="C6D9F1" w:themeFill="text2" w:themeFillTint="33"/>
            <w:tcMar>
              <w:top w:w="57" w:type="dxa"/>
              <w:bottom w:w="57" w:type="dxa"/>
            </w:tcMar>
            <w:vAlign w:val="center"/>
          </w:tcPr>
          <w:p w14:paraId="1D8ECB77" w14:textId="77777777" w:rsidR="00C62A22" w:rsidRPr="00365B4A" w:rsidRDefault="00217B5C" w:rsidP="00217B5C">
            <w:pPr>
              <w:jc w:val="center"/>
              <w:rPr>
                <w:b/>
                <w:sz w:val="20"/>
                <w:szCs w:val="20"/>
              </w:rPr>
            </w:pPr>
            <w:r w:rsidRPr="00365B4A">
              <w:rPr>
                <w:b/>
                <w:sz w:val="20"/>
                <w:szCs w:val="20"/>
              </w:rPr>
              <w:t>Main d</w:t>
            </w:r>
            <w:r w:rsidR="00C62A22" w:rsidRPr="00365B4A">
              <w:rPr>
                <w:b/>
                <w:sz w:val="20"/>
                <w:szCs w:val="20"/>
              </w:rPr>
              <w:t>eliverables</w:t>
            </w:r>
          </w:p>
        </w:tc>
        <w:tc>
          <w:tcPr>
            <w:tcW w:w="1089" w:type="dxa"/>
            <w:shd w:val="clear" w:color="auto" w:fill="C6D9F1" w:themeFill="text2" w:themeFillTint="33"/>
            <w:tcMar>
              <w:top w:w="57" w:type="dxa"/>
              <w:bottom w:w="57" w:type="dxa"/>
            </w:tcMar>
            <w:vAlign w:val="center"/>
          </w:tcPr>
          <w:p w14:paraId="0A205439" w14:textId="77777777" w:rsidR="00C62A22" w:rsidRPr="00365B4A" w:rsidRDefault="00C62A22" w:rsidP="005647D2">
            <w:pPr>
              <w:jc w:val="center"/>
              <w:rPr>
                <w:b/>
                <w:sz w:val="20"/>
                <w:szCs w:val="20"/>
              </w:rPr>
            </w:pPr>
            <w:r w:rsidRPr="00365B4A">
              <w:rPr>
                <w:b/>
                <w:sz w:val="20"/>
                <w:szCs w:val="20"/>
              </w:rPr>
              <w:t>Funding share (%)</w:t>
            </w:r>
          </w:p>
        </w:tc>
      </w:tr>
      <w:tr w:rsidR="00C62A22" w:rsidRPr="00365B4A" w14:paraId="50006C10" w14:textId="77777777" w:rsidTr="00365B4A">
        <w:trPr>
          <w:jc w:val="center"/>
        </w:trPr>
        <w:tc>
          <w:tcPr>
            <w:tcW w:w="1022" w:type="dxa"/>
            <w:vMerge w:val="restart"/>
            <w:tcMar>
              <w:top w:w="57" w:type="dxa"/>
              <w:bottom w:w="57" w:type="dxa"/>
            </w:tcMar>
            <w:vAlign w:val="center"/>
          </w:tcPr>
          <w:p w14:paraId="17178EBB" w14:textId="61DEFFD5" w:rsidR="00C62A22" w:rsidRPr="00365B4A" w:rsidRDefault="00C62A22" w:rsidP="00354905">
            <w:pPr>
              <w:jc w:val="both"/>
              <w:rPr>
                <w:b/>
                <w:sz w:val="20"/>
                <w:szCs w:val="20"/>
              </w:rPr>
            </w:pPr>
            <w:r w:rsidRPr="00365B4A">
              <w:rPr>
                <w:b/>
                <w:sz w:val="20"/>
                <w:szCs w:val="20"/>
              </w:rPr>
              <w:t>Country</w:t>
            </w:r>
            <w:r w:rsidR="00D167CC" w:rsidRPr="00365B4A">
              <w:rPr>
                <w:b/>
                <w:sz w:val="20"/>
                <w:szCs w:val="20"/>
              </w:rPr>
              <w:t xml:space="preserve"> stream</w:t>
            </w:r>
          </w:p>
        </w:tc>
        <w:tc>
          <w:tcPr>
            <w:tcW w:w="1416" w:type="dxa"/>
            <w:tcMar>
              <w:top w:w="57" w:type="dxa"/>
              <w:bottom w:w="57" w:type="dxa"/>
            </w:tcMar>
            <w:vAlign w:val="center"/>
          </w:tcPr>
          <w:p w14:paraId="7DCB5BFE" w14:textId="77777777" w:rsidR="00C62A22" w:rsidRPr="00365B4A" w:rsidRDefault="00C62A22" w:rsidP="00217B5C">
            <w:pPr>
              <w:rPr>
                <w:sz w:val="20"/>
                <w:szCs w:val="20"/>
              </w:rPr>
            </w:pPr>
            <w:r w:rsidRPr="00365B4A">
              <w:rPr>
                <w:sz w:val="20"/>
                <w:szCs w:val="20"/>
              </w:rPr>
              <w:t>Community action</w:t>
            </w:r>
          </w:p>
        </w:tc>
        <w:tc>
          <w:tcPr>
            <w:tcW w:w="5283" w:type="dxa"/>
            <w:tcMar>
              <w:top w:w="57" w:type="dxa"/>
              <w:bottom w:w="57" w:type="dxa"/>
            </w:tcMar>
          </w:tcPr>
          <w:p w14:paraId="7D952B16" w14:textId="77777777" w:rsidR="00C62A22" w:rsidRPr="00365B4A" w:rsidRDefault="00217B5C" w:rsidP="00217B5C">
            <w:pPr>
              <w:pStyle w:val="ListParagraph"/>
              <w:numPr>
                <w:ilvl w:val="0"/>
                <w:numId w:val="20"/>
              </w:numPr>
              <w:ind w:left="174" w:hanging="174"/>
              <w:rPr>
                <w:sz w:val="20"/>
                <w:szCs w:val="20"/>
              </w:rPr>
            </w:pPr>
            <w:r w:rsidRPr="00365B4A">
              <w:rPr>
                <w:sz w:val="20"/>
                <w:szCs w:val="20"/>
              </w:rPr>
              <w:t>Community grants</w:t>
            </w:r>
          </w:p>
          <w:p w14:paraId="5EA2E918" w14:textId="77777777" w:rsidR="00217B5C" w:rsidRPr="00365B4A" w:rsidRDefault="00217B5C" w:rsidP="00217B5C">
            <w:pPr>
              <w:pStyle w:val="ListParagraph"/>
              <w:numPr>
                <w:ilvl w:val="0"/>
                <w:numId w:val="20"/>
              </w:numPr>
              <w:ind w:left="174" w:hanging="174"/>
              <w:rPr>
                <w:sz w:val="20"/>
                <w:szCs w:val="20"/>
              </w:rPr>
            </w:pPr>
            <w:r w:rsidRPr="00365B4A">
              <w:rPr>
                <w:sz w:val="20"/>
                <w:szCs w:val="20"/>
              </w:rPr>
              <w:t>Capacity building to community organisations implementing grants</w:t>
            </w:r>
          </w:p>
        </w:tc>
        <w:tc>
          <w:tcPr>
            <w:tcW w:w="1089" w:type="dxa"/>
            <w:tcMar>
              <w:top w:w="57" w:type="dxa"/>
              <w:bottom w:w="57" w:type="dxa"/>
            </w:tcMar>
            <w:vAlign w:val="center"/>
          </w:tcPr>
          <w:p w14:paraId="2AD53289" w14:textId="5FB2C72E" w:rsidR="00C62A22" w:rsidRPr="00365B4A" w:rsidRDefault="00D167CC" w:rsidP="005647D2">
            <w:pPr>
              <w:jc w:val="center"/>
              <w:rPr>
                <w:sz w:val="20"/>
                <w:szCs w:val="20"/>
              </w:rPr>
            </w:pPr>
            <w:r w:rsidRPr="00365B4A">
              <w:rPr>
                <w:sz w:val="20"/>
                <w:szCs w:val="20"/>
              </w:rPr>
              <w:t>7</w:t>
            </w:r>
            <w:r w:rsidR="00391DA5">
              <w:rPr>
                <w:sz w:val="20"/>
                <w:szCs w:val="20"/>
              </w:rPr>
              <w:t>0</w:t>
            </w:r>
          </w:p>
        </w:tc>
      </w:tr>
      <w:tr w:rsidR="00C62A22" w:rsidRPr="00365B4A" w14:paraId="6E496493" w14:textId="77777777" w:rsidTr="00365B4A">
        <w:trPr>
          <w:jc w:val="center"/>
        </w:trPr>
        <w:tc>
          <w:tcPr>
            <w:tcW w:w="1022" w:type="dxa"/>
            <w:vMerge/>
            <w:tcMar>
              <w:top w:w="57" w:type="dxa"/>
              <w:bottom w:w="57" w:type="dxa"/>
            </w:tcMar>
            <w:vAlign w:val="center"/>
          </w:tcPr>
          <w:p w14:paraId="3B3E87CA" w14:textId="77777777" w:rsidR="00C62A22" w:rsidRPr="00365B4A" w:rsidRDefault="00C62A22" w:rsidP="00354905">
            <w:pPr>
              <w:jc w:val="both"/>
              <w:rPr>
                <w:b/>
                <w:sz w:val="20"/>
                <w:szCs w:val="20"/>
              </w:rPr>
            </w:pPr>
          </w:p>
        </w:tc>
        <w:tc>
          <w:tcPr>
            <w:tcW w:w="1416" w:type="dxa"/>
            <w:tcMar>
              <w:top w:w="57" w:type="dxa"/>
              <w:bottom w:w="57" w:type="dxa"/>
            </w:tcMar>
            <w:vAlign w:val="center"/>
          </w:tcPr>
          <w:p w14:paraId="68EC3263" w14:textId="7F11D60B" w:rsidR="00C62A22" w:rsidRPr="00365B4A" w:rsidRDefault="00251007" w:rsidP="00217B5C">
            <w:pPr>
              <w:rPr>
                <w:sz w:val="20"/>
                <w:szCs w:val="20"/>
              </w:rPr>
            </w:pPr>
            <w:r>
              <w:rPr>
                <w:sz w:val="20"/>
                <w:szCs w:val="20"/>
              </w:rPr>
              <w:t xml:space="preserve">National </w:t>
            </w:r>
            <w:r w:rsidR="00391DA5">
              <w:rPr>
                <w:sz w:val="20"/>
                <w:szCs w:val="20"/>
              </w:rPr>
              <w:t>p</w:t>
            </w:r>
            <w:r w:rsidR="00C62A22" w:rsidRPr="00365B4A">
              <w:rPr>
                <w:sz w:val="20"/>
                <w:szCs w:val="20"/>
              </w:rPr>
              <w:t>olicy dialogue</w:t>
            </w:r>
            <w:r w:rsidR="00391DA5">
              <w:rPr>
                <w:sz w:val="20"/>
                <w:szCs w:val="20"/>
              </w:rPr>
              <w:t>s</w:t>
            </w:r>
          </w:p>
        </w:tc>
        <w:tc>
          <w:tcPr>
            <w:tcW w:w="5283" w:type="dxa"/>
            <w:tcMar>
              <w:top w:w="57" w:type="dxa"/>
              <w:bottom w:w="57" w:type="dxa"/>
            </w:tcMar>
          </w:tcPr>
          <w:p w14:paraId="4855F048" w14:textId="77777777" w:rsidR="00C62A22" w:rsidRPr="00365B4A" w:rsidRDefault="00217B5C" w:rsidP="00217B5C">
            <w:pPr>
              <w:pStyle w:val="ListParagraph"/>
              <w:numPr>
                <w:ilvl w:val="0"/>
                <w:numId w:val="20"/>
              </w:numPr>
              <w:ind w:left="174" w:hanging="174"/>
              <w:rPr>
                <w:sz w:val="20"/>
                <w:szCs w:val="20"/>
              </w:rPr>
            </w:pPr>
            <w:r w:rsidRPr="00365B4A">
              <w:rPr>
                <w:sz w:val="20"/>
                <w:szCs w:val="20"/>
              </w:rPr>
              <w:t>National multi-stakeholder dialogues</w:t>
            </w:r>
            <w:r w:rsidR="005F68BE" w:rsidRPr="00365B4A">
              <w:rPr>
                <w:sz w:val="20"/>
                <w:szCs w:val="20"/>
              </w:rPr>
              <w:t>/platforms</w:t>
            </w:r>
            <w:r w:rsidRPr="00365B4A">
              <w:rPr>
                <w:sz w:val="20"/>
                <w:szCs w:val="20"/>
              </w:rPr>
              <w:t xml:space="preserve"> on NDCs</w:t>
            </w:r>
          </w:p>
          <w:p w14:paraId="23EFDEB6" w14:textId="77777777" w:rsidR="00217B5C" w:rsidRPr="00365B4A" w:rsidRDefault="00217B5C" w:rsidP="00217B5C">
            <w:pPr>
              <w:pStyle w:val="ListParagraph"/>
              <w:numPr>
                <w:ilvl w:val="0"/>
                <w:numId w:val="20"/>
              </w:numPr>
              <w:ind w:left="174" w:hanging="174"/>
              <w:rPr>
                <w:sz w:val="20"/>
                <w:szCs w:val="20"/>
              </w:rPr>
            </w:pPr>
            <w:r w:rsidRPr="00365B4A">
              <w:rPr>
                <w:sz w:val="20"/>
                <w:szCs w:val="20"/>
              </w:rPr>
              <w:t>National fora on indigenous knowledge for climate &amp; forest action</w:t>
            </w:r>
          </w:p>
          <w:p w14:paraId="443FBCD1" w14:textId="77777777" w:rsidR="00217B5C" w:rsidRPr="00365B4A" w:rsidRDefault="00217B5C" w:rsidP="00217B5C">
            <w:pPr>
              <w:pStyle w:val="ListParagraph"/>
              <w:numPr>
                <w:ilvl w:val="0"/>
                <w:numId w:val="20"/>
              </w:numPr>
              <w:ind w:left="174" w:hanging="174"/>
              <w:rPr>
                <w:sz w:val="20"/>
                <w:szCs w:val="20"/>
              </w:rPr>
            </w:pPr>
            <w:r w:rsidRPr="00365B4A">
              <w:rPr>
                <w:sz w:val="20"/>
                <w:szCs w:val="20"/>
              </w:rPr>
              <w:t xml:space="preserve">National governance of </w:t>
            </w:r>
            <w:r w:rsidR="00A647E3" w:rsidRPr="00365B4A">
              <w:rPr>
                <w:sz w:val="20"/>
                <w:szCs w:val="20"/>
              </w:rPr>
              <w:t xml:space="preserve">the </w:t>
            </w:r>
            <w:r w:rsidRPr="00365B4A">
              <w:rPr>
                <w:sz w:val="20"/>
                <w:szCs w:val="20"/>
              </w:rPr>
              <w:t>CBR+</w:t>
            </w:r>
            <w:r w:rsidR="00A647E3" w:rsidRPr="00365B4A">
              <w:rPr>
                <w:sz w:val="20"/>
                <w:szCs w:val="20"/>
              </w:rPr>
              <w:t xml:space="preserve"> initiative</w:t>
            </w:r>
          </w:p>
        </w:tc>
        <w:tc>
          <w:tcPr>
            <w:tcW w:w="1089" w:type="dxa"/>
            <w:tcMar>
              <w:top w:w="57" w:type="dxa"/>
              <w:bottom w:w="57" w:type="dxa"/>
            </w:tcMar>
            <w:vAlign w:val="center"/>
          </w:tcPr>
          <w:p w14:paraId="5C3B6974" w14:textId="57474A4B" w:rsidR="00C62A22" w:rsidRPr="00365B4A" w:rsidRDefault="00251007" w:rsidP="005647D2">
            <w:pPr>
              <w:jc w:val="center"/>
              <w:rPr>
                <w:sz w:val="20"/>
                <w:szCs w:val="20"/>
              </w:rPr>
            </w:pPr>
            <w:r>
              <w:rPr>
                <w:sz w:val="20"/>
                <w:szCs w:val="20"/>
              </w:rPr>
              <w:t>10</w:t>
            </w:r>
          </w:p>
        </w:tc>
      </w:tr>
      <w:tr w:rsidR="005647D2" w:rsidRPr="00365B4A" w14:paraId="175626E9" w14:textId="77777777" w:rsidTr="00365B4A">
        <w:trPr>
          <w:jc w:val="center"/>
        </w:trPr>
        <w:tc>
          <w:tcPr>
            <w:tcW w:w="1022" w:type="dxa"/>
            <w:vMerge w:val="restart"/>
            <w:tcMar>
              <w:top w:w="57" w:type="dxa"/>
              <w:bottom w:w="57" w:type="dxa"/>
            </w:tcMar>
            <w:vAlign w:val="center"/>
          </w:tcPr>
          <w:p w14:paraId="3D5D91FF" w14:textId="77777777" w:rsidR="00251007" w:rsidRDefault="00251007" w:rsidP="005647D2">
            <w:pPr>
              <w:jc w:val="both"/>
              <w:rPr>
                <w:b/>
                <w:sz w:val="20"/>
                <w:szCs w:val="20"/>
              </w:rPr>
            </w:pPr>
          </w:p>
          <w:p w14:paraId="10A448A7" w14:textId="23F4EF20" w:rsidR="005647D2" w:rsidRPr="00365B4A" w:rsidRDefault="00D167CC" w:rsidP="005647D2">
            <w:pPr>
              <w:jc w:val="both"/>
              <w:rPr>
                <w:b/>
                <w:sz w:val="20"/>
                <w:szCs w:val="20"/>
              </w:rPr>
            </w:pPr>
            <w:r w:rsidRPr="00365B4A">
              <w:rPr>
                <w:b/>
                <w:sz w:val="20"/>
                <w:szCs w:val="20"/>
              </w:rPr>
              <w:t>Knowledge stream</w:t>
            </w:r>
          </w:p>
        </w:tc>
        <w:tc>
          <w:tcPr>
            <w:tcW w:w="1416" w:type="dxa"/>
            <w:tcMar>
              <w:top w:w="57" w:type="dxa"/>
              <w:bottom w:w="57" w:type="dxa"/>
            </w:tcMar>
            <w:vAlign w:val="center"/>
          </w:tcPr>
          <w:p w14:paraId="0983DBDA" w14:textId="77777777" w:rsidR="005647D2" w:rsidRPr="00365B4A" w:rsidRDefault="005647D2" w:rsidP="00217B5C">
            <w:pPr>
              <w:rPr>
                <w:sz w:val="20"/>
                <w:szCs w:val="20"/>
              </w:rPr>
            </w:pPr>
            <w:r w:rsidRPr="00365B4A">
              <w:rPr>
                <w:sz w:val="20"/>
                <w:szCs w:val="20"/>
              </w:rPr>
              <w:t>LCIP Platform</w:t>
            </w:r>
          </w:p>
        </w:tc>
        <w:tc>
          <w:tcPr>
            <w:tcW w:w="5283" w:type="dxa"/>
            <w:tcMar>
              <w:top w:w="57" w:type="dxa"/>
              <w:bottom w:w="57" w:type="dxa"/>
            </w:tcMar>
          </w:tcPr>
          <w:p w14:paraId="229601FB" w14:textId="1C646603" w:rsidR="005647D2" w:rsidRDefault="00217B5C" w:rsidP="00217B5C">
            <w:pPr>
              <w:pStyle w:val="ListParagraph"/>
              <w:numPr>
                <w:ilvl w:val="0"/>
                <w:numId w:val="20"/>
              </w:numPr>
              <w:ind w:left="174" w:hanging="174"/>
              <w:rPr>
                <w:sz w:val="20"/>
                <w:szCs w:val="20"/>
              </w:rPr>
            </w:pPr>
            <w:r w:rsidRPr="00365B4A">
              <w:rPr>
                <w:sz w:val="20"/>
                <w:szCs w:val="20"/>
              </w:rPr>
              <w:t xml:space="preserve">Knowledge </w:t>
            </w:r>
            <w:r w:rsidR="00A647E3" w:rsidRPr="00365B4A">
              <w:rPr>
                <w:sz w:val="20"/>
                <w:szCs w:val="20"/>
              </w:rPr>
              <w:t xml:space="preserve">exchanges (based on </w:t>
            </w:r>
            <w:r w:rsidR="005A5622" w:rsidRPr="00365B4A">
              <w:rPr>
                <w:sz w:val="20"/>
                <w:szCs w:val="20"/>
              </w:rPr>
              <w:t xml:space="preserve">outcomes from the country stream: </w:t>
            </w:r>
            <w:r w:rsidR="00A647E3" w:rsidRPr="00365B4A">
              <w:rPr>
                <w:sz w:val="20"/>
                <w:szCs w:val="20"/>
              </w:rPr>
              <w:t>community action and policy dialogue)</w:t>
            </w:r>
          </w:p>
          <w:p w14:paraId="52AA3C5B" w14:textId="12E7F984" w:rsidR="00391DA5" w:rsidRPr="00365B4A" w:rsidRDefault="00391DA5" w:rsidP="00217B5C">
            <w:pPr>
              <w:pStyle w:val="ListParagraph"/>
              <w:numPr>
                <w:ilvl w:val="0"/>
                <w:numId w:val="20"/>
              </w:numPr>
              <w:ind w:left="174" w:hanging="174"/>
              <w:rPr>
                <w:sz w:val="20"/>
                <w:szCs w:val="20"/>
              </w:rPr>
            </w:pPr>
            <w:r>
              <w:rPr>
                <w:sz w:val="20"/>
                <w:szCs w:val="20"/>
              </w:rPr>
              <w:t>Support to the participation of indigenous peoples at the LCIP Platform</w:t>
            </w:r>
          </w:p>
          <w:p w14:paraId="6FD6AE1B" w14:textId="77777777" w:rsidR="00217B5C" w:rsidRPr="00365B4A" w:rsidRDefault="00A647E3" w:rsidP="00217B5C">
            <w:pPr>
              <w:pStyle w:val="ListParagraph"/>
              <w:numPr>
                <w:ilvl w:val="0"/>
                <w:numId w:val="20"/>
              </w:numPr>
              <w:ind w:left="174" w:hanging="174"/>
              <w:rPr>
                <w:sz w:val="20"/>
                <w:szCs w:val="20"/>
              </w:rPr>
            </w:pPr>
            <w:r w:rsidRPr="00365B4A">
              <w:rPr>
                <w:sz w:val="20"/>
                <w:szCs w:val="20"/>
              </w:rPr>
              <w:t>Advisory s</w:t>
            </w:r>
            <w:r w:rsidR="00217B5C" w:rsidRPr="00365B4A">
              <w:rPr>
                <w:sz w:val="20"/>
                <w:szCs w:val="20"/>
              </w:rPr>
              <w:t>upport</w:t>
            </w:r>
            <w:r w:rsidRPr="00365B4A">
              <w:rPr>
                <w:sz w:val="20"/>
                <w:szCs w:val="20"/>
              </w:rPr>
              <w:t xml:space="preserve"> to the LCIP Platform</w:t>
            </w:r>
          </w:p>
        </w:tc>
        <w:tc>
          <w:tcPr>
            <w:tcW w:w="1089" w:type="dxa"/>
            <w:tcMar>
              <w:top w:w="57" w:type="dxa"/>
              <w:bottom w:w="57" w:type="dxa"/>
            </w:tcMar>
            <w:vAlign w:val="center"/>
          </w:tcPr>
          <w:p w14:paraId="19E23D4B" w14:textId="77777777" w:rsidR="005647D2" w:rsidRPr="00365B4A" w:rsidRDefault="00D167CC" w:rsidP="005647D2">
            <w:pPr>
              <w:jc w:val="center"/>
              <w:rPr>
                <w:sz w:val="20"/>
                <w:szCs w:val="20"/>
              </w:rPr>
            </w:pPr>
            <w:r w:rsidRPr="00365B4A">
              <w:rPr>
                <w:sz w:val="20"/>
                <w:szCs w:val="20"/>
              </w:rPr>
              <w:t>10</w:t>
            </w:r>
          </w:p>
        </w:tc>
      </w:tr>
      <w:tr w:rsidR="005647D2" w:rsidRPr="00365B4A" w14:paraId="4F82F67F" w14:textId="77777777" w:rsidTr="00365B4A">
        <w:trPr>
          <w:jc w:val="center"/>
        </w:trPr>
        <w:tc>
          <w:tcPr>
            <w:tcW w:w="1022" w:type="dxa"/>
            <w:vMerge/>
            <w:tcMar>
              <w:top w:w="57" w:type="dxa"/>
              <w:bottom w:w="57" w:type="dxa"/>
            </w:tcMar>
          </w:tcPr>
          <w:p w14:paraId="5F1F891E" w14:textId="77777777" w:rsidR="005647D2" w:rsidRPr="00365B4A" w:rsidRDefault="005647D2" w:rsidP="005647D2">
            <w:pPr>
              <w:jc w:val="both"/>
              <w:rPr>
                <w:sz w:val="20"/>
                <w:szCs w:val="20"/>
              </w:rPr>
            </w:pPr>
          </w:p>
        </w:tc>
        <w:tc>
          <w:tcPr>
            <w:tcW w:w="1416" w:type="dxa"/>
            <w:tcMar>
              <w:top w:w="57" w:type="dxa"/>
              <w:bottom w:w="57" w:type="dxa"/>
            </w:tcMar>
            <w:vAlign w:val="center"/>
          </w:tcPr>
          <w:p w14:paraId="003738C8" w14:textId="77777777" w:rsidR="003E4262" w:rsidRDefault="00AA0698" w:rsidP="00217B5C">
            <w:pPr>
              <w:rPr>
                <w:sz w:val="20"/>
                <w:szCs w:val="20"/>
              </w:rPr>
            </w:pPr>
            <w:r>
              <w:rPr>
                <w:sz w:val="20"/>
                <w:szCs w:val="20"/>
              </w:rPr>
              <w:t>Inclusive</w:t>
            </w:r>
          </w:p>
          <w:p w14:paraId="57DC20E2" w14:textId="4AF6FC3B" w:rsidR="005647D2" w:rsidRPr="00365B4A" w:rsidRDefault="00217B5C" w:rsidP="00217B5C">
            <w:pPr>
              <w:rPr>
                <w:sz w:val="20"/>
                <w:szCs w:val="20"/>
              </w:rPr>
            </w:pPr>
            <w:r w:rsidRPr="00365B4A">
              <w:rPr>
                <w:sz w:val="20"/>
                <w:szCs w:val="20"/>
              </w:rPr>
              <w:t>NDCs</w:t>
            </w:r>
            <w:r w:rsidR="003E4262">
              <w:rPr>
                <w:sz w:val="20"/>
                <w:szCs w:val="20"/>
              </w:rPr>
              <w:t xml:space="preserve"> dialogues</w:t>
            </w:r>
          </w:p>
        </w:tc>
        <w:tc>
          <w:tcPr>
            <w:tcW w:w="5283" w:type="dxa"/>
            <w:tcMar>
              <w:top w:w="57" w:type="dxa"/>
              <w:bottom w:w="57" w:type="dxa"/>
            </w:tcMar>
          </w:tcPr>
          <w:p w14:paraId="32E667E7" w14:textId="07122EF6" w:rsidR="005F68BE" w:rsidRPr="00365B4A" w:rsidRDefault="00217B5C" w:rsidP="005F68BE">
            <w:pPr>
              <w:pStyle w:val="ListParagraph"/>
              <w:numPr>
                <w:ilvl w:val="0"/>
                <w:numId w:val="20"/>
              </w:numPr>
              <w:ind w:left="175" w:hanging="175"/>
              <w:rPr>
                <w:sz w:val="20"/>
                <w:szCs w:val="20"/>
              </w:rPr>
            </w:pPr>
            <w:r w:rsidRPr="00365B4A">
              <w:rPr>
                <w:sz w:val="20"/>
                <w:szCs w:val="20"/>
              </w:rPr>
              <w:t>I</w:t>
            </w:r>
            <w:r w:rsidR="005F68BE" w:rsidRPr="00365B4A">
              <w:rPr>
                <w:sz w:val="20"/>
                <w:szCs w:val="20"/>
              </w:rPr>
              <w:t xml:space="preserve">ndependent analysis </w:t>
            </w:r>
            <w:r w:rsidR="00391DA5">
              <w:rPr>
                <w:sz w:val="20"/>
                <w:szCs w:val="20"/>
              </w:rPr>
              <w:t xml:space="preserve">and/or advise </w:t>
            </w:r>
            <w:r w:rsidR="00431681">
              <w:rPr>
                <w:sz w:val="20"/>
                <w:szCs w:val="20"/>
              </w:rPr>
              <w:t>to promote</w:t>
            </w:r>
            <w:r w:rsidR="00391DA5">
              <w:rPr>
                <w:sz w:val="20"/>
                <w:szCs w:val="20"/>
              </w:rPr>
              <w:t xml:space="preserve"> the inclusion of the</w:t>
            </w:r>
            <w:r w:rsidR="00401EEA">
              <w:rPr>
                <w:sz w:val="20"/>
                <w:szCs w:val="20"/>
              </w:rPr>
              <w:t xml:space="preserve"> </w:t>
            </w:r>
            <w:r w:rsidR="005F68BE" w:rsidRPr="00365B4A">
              <w:rPr>
                <w:sz w:val="20"/>
                <w:szCs w:val="20"/>
              </w:rPr>
              <w:t xml:space="preserve">forest </w:t>
            </w:r>
            <w:r w:rsidR="00401EEA">
              <w:rPr>
                <w:sz w:val="20"/>
                <w:szCs w:val="20"/>
              </w:rPr>
              <w:t>management</w:t>
            </w:r>
            <w:r w:rsidR="00391DA5">
              <w:rPr>
                <w:sz w:val="20"/>
                <w:szCs w:val="20"/>
              </w:rPr>
              <w:t xml:space="preserve"> practices,</w:t>
            </w:r>
            <w:r w:rsidR="00401EEA">
              <w:rPr>
                <w:sz w:val="20"/>
                <w:szCs w:val="20"/>
              </w:rPr>
              <w:t xml:space="preserve"> tenure </w:t>
            </w:r>
            <w:r w:rsidR="005F68BE" w:rsidRPr="00365B4A">
              <w:rPr>
                <w:sz w:val="20"/>
                <w:szCs w:val="20"/>
              </w:rPr>
              <w:t xml:space="preserve">rights and </w:t>
            </w:r>
            <w:r w:rsidR="00391DA5">
              <w:rPr>
                <w:sz w:val="20"/>
                <w:szCs w:val="20"/>
              </w:rPr>
              <w:t xml:space="preserve">customary </w:t>
            </w:r>
            <w:r w:rsidR="005F68BE" w:rsidRPr="00365B4A">
              <w:rPr>
                <w:sz w:val="20"/>
                <w:szCs w:val="20"/>
              </w:rPr>
              <w:t>knowledge of indigenous peoples and local communities</w:t>
            </w:r>
            <w:r w:rsidR="008826C3">
              <w:rPr>
                <w:sz w:val="20"/>
                <w:szCs w:val="20"/>
              </w:rPr>
              <w:t xml:space="preserve"> </w:t>
            </w:r>
            <w:r w:rsidR="005F68BE" w:rsidRPr="00365B4A">
              <w:rPr>
                <w:sz w:val="20"/>
                <w:szCs w:val="20"/>
              </w:rPr>
              <w:t>in NDC</w:t>
            </w:r>
            <w:r w:rsidR="008826C3">
              <w:rPr>
                <w:sz w:val="20"/>
                <w:szCs w:val="20"/>
              </w:rPr>
              <w:t>s</w:t>
            </w:r>
            <w:r w:rsidR="005F68BE" w:rsidRPr="00365B4A">
              <w:rPr>
                <w:sz w:val="20"/>
                <w:szCs w:val="20"/>
              </w:rPr>
              <w:t xml:space="preserve"> (</w:t>
            </w:r>
            <w:r w:rsidR="005F68BE" w:rsidRPr="00365B4A">
              <w:rPr>
                <w:i/>
                <w:sz w:val="20"/>
                <w:szCs w:val="20"/>
              </w:rPr>
              <w:t>e.g.</w:t>
            </w:r>
            <w:r w:rsidR="005F68BE" w:rsidRPr="00365B4A">
              <w:rPr>
                <w:sz w:val="20"/>
                <w:szCs w:val="20"/>
              </w:rPr>
              <w:t>: NDC</w:t>
            </w:r>
            <w:r w:rsidR="008826C3">
              <w:rPr>
                <w:sz w:val="20"/>
                <w:szCs w:val="20"/>
              </w:rPr>
              <w:t>s</w:t>
            </w:r>
            <w:r w:rsidR="00431681">
              <w:rPr>
                <w:sz w:val="20"/>
                <w:szCs w:val="20"/>
              </w:rPr>
              <w:t xml:space="preserve"> review processes</w:t>
            </w:r>
            <w:r w:rsidR="008826C3">
              <w:rPr>
                <w:sz w:val="20"/>
                <w:szCs w:val="20"/>
              </w:rPr>
              <w:t xml:space="preserve">, </w:t>
            </w:r>
            <w:r w:rsidR="005F68BE" w:rsidRPr="00365B4A">
              <w:rPr>
                <w:sz w:val="20"/>
                <w:szCs w:val="20"/>
              </w:rPr>
              <w:t>NDC partnership</w:t>
            </w:r>
            <w:r w:rsidR="00431681">
              <w:rPr>
                <w:sz w:val="20"/>
                <w:szCs w:val="20"/>
              </w:rPr>
              <w:t>s</w:t>
            </w:r>
            <w:r w:rsidR="005F68BE" w:rsidRPr="00365B4A">
              <w:rPr>
                <w:sz w:val="20"/>
                <w:szCs w:val="20"/>
              </w:rPr>
              <w:t xml:space="preserve"> and/or </w:t>
            </w:r>
            <w:r w:rsidR="00365B4A">
              <w:rPr>
                <w:sz w:val="20"/>
                <w:szCs w:val="20"/>
              </w:rPr>
              <w:t xml:space="preserve">NDC </w:t>
            </w:r>
            <w:r w:rsidR="005F68BE" w:rsidRPr="00365B4A">
              <w:rPr>
                <w:sz w:val="20"/>
                <w:szCs w:val="20"/>
              </w:rPr>
              <w:t>implementation/action plans</w:t>
            </w:r>
            <w:r w:rsidR="00365B4A">
              <w:rPr>
                <w:sz w:val="20"/>
                <w:szCs w:val="20"/>
              </w:rPr>
              <w:t>)</w:t>
            </w:r>
            <w:r w:rsidR="005F68BE" w:rsidRPr="00365B4A">
              <w:rPr>
                <w:sz w:val="20"/>
                <w:szCs w:val="20"/>
              </w:rPr>
              <w:t>.</w:t>
            </w:r>
          </w:p>
          <w:p w14:paraId="4C2CCEAD" w14:textId="535C9FC3" w:rsidR="005A5622" w:rsidRPr="00365B4A" w:rsidRDefault="005A5622" w:rsidP="00217B5C">
            <w:pPr>
              <w:pStyle w:val="ListParagraph"/>
              <w:numPr>
                <w:ilvl w:val="0"/>
                <w:numId w:val="20"/>
              </w:numPr>
              <w:ind w:left="174" w:hanging="174"/>
              <w:rPr>
                <w:sz w:val="20"/>
                <w:szCs w:val="20"/>
              </w:rPr>
            </w:pPr>
            <w:r w:rsidRPr="00365B4A">
              <w:rPr>
                <w:sz w:val="20"/>
                <w:szCs w:val="20"/>
              </w:rPr>
              <w:t>Multi-stakeholder dialogue</w:t>
            </w:r>
            <w:r w:rsidR="00391DA5">
              <w:rPr>
                <w:sz w:val="20"/>
                <w:szCs w:val="20"/>
              </w:rPr>
              <w:t>s</w:t>
            </w:r>
            <w:r w:rsidRPr="00365B4A">
              <w:rPr>
                <w:sz w:val="20"/>
                <w:szCs w:val="20"/>
              </w:rPr>
              <w:t xml:space="preserve"> on the above</w:t>
            </w:r>
          </w:p>
        </w:tc>
        <w:tc>
          <w:tcPr>
            <w:tcW w:w="1089" w:type="dxa"/>
            <w:tcMar>
              <w:top w:w="57" w:type="dxa"/>
              <w:bottom w:w="57" w:type="dxa"/>
            </w:tcMar>
            <w:vAlign w:val="center"/>
          </w:tcPr>
          <w:p w14:paraId="6E01A0CE" w14:textId="77777777" w:rsidR="005647D2" w:rsidRPr="00365B4A" w:rsidRDefault="00D167CC" w:rsidP="005647D2">
            <w:pPr>
              <w:jc w:val="center"/>
              <w:rPr>
                <w:sz w:val="20"/>
                <w:szCs w:val="20"/>
              </w:rPr>
            </w:pPr>
            <w:r w:rsidRPr="00365B4A">
              <w:rPr>
                <w:sz w:val="20"/>
                <w:szCs w:val="20"/>
              </w:rPr>
              <w:t>5</w:t>
            </w:r>
          </w:p>
        </w:tc>
      </w:tr>
      <w:tr w:rsidR="005647D2" w:rsidRPr="00365B4A" w14:paraId="797CEE25" w14:textId="77777777" w:rsidTr="00365B4A">
        <w:trPr>
          <w:jc w:val="center"/>
        </w:trPr>
        <w:tc>
          <w:tcPr>
            <w:tcW w:w="1022" w:type="dxa"/>
            <w:vMerge/>
            <w:tcMar>
              <w:top w:w="57" w:type="dxa"/>
              <w:bottom w:w="57" w:type="dxa"/>
            </w:tcMar>
          </w:tcPr>
          <w:p w14:paraId="6E37431F" w14:textId="77777777" w:rsidR="005647D2" w:rsidRPr="00365B4A" w:rsidRDefault="005647D2" w:rsidP="005647D2">
            <w:pPr>
              <w:jc w:val="both"/>
              <w:rPr>
                <w:sz w:val="20"/>
                <w:szCs w:val="20"/>
              </w:rPr>
            </w:pPr>
          </w:p>
        </w:tc>
        <w:tc>
          <w:tcPr>
            <w:tcW w:w="1416" w:type="dxa"/>
            <w:tcMar>
              <w:top w:w="57" w:type="dxa"/>
              <w:bottom w:w="57" w:type="dxa"/>
            </w:tcMar>
            <w:vAlign w:val="center"/>
          </w:tcPr>
          <w:p w14:paraId="5916E60F" w14:textId="77777777" w:rsidR="005647D2" w:rsidRPr="00365B4A" w:rsidRDefault="005647D2" w:rsidP="00217B5C">
            <w:pPr>
              <w:rPr>
                <w:sz w:val="20"/>
                <w:szCs w:val="20"/>
              </w:rPr>
            </w:pPr>
            <w:r w:rsidRPr="00365B4A">
              <w:rPr>
                <w:sz w:val="20"/>
                <w:szCs w:val="20"/>
              </w:rPr>
              <w:t>Management &amp; Outreach</w:t>
            </w:r>
          </w:p>
        </w:tc>
        <w:tc>
          <w:tcPr>
            <w:tcW w:w="5283" w:type="dxa"/>
            <w:tcMar>
              <w:top w:w="57" w:type="dxa"/>
              <w:bottom w:w="57" w:type="dxa"/>
            </w:tcMar>
          </w:tcPr>
          <w:p w14:paraId="5E84B992" w14:textId="77777777" w:rsidR="005647D2" w:rsidRPr="00365B4A" w:rsidRDefault="00217B5C" w:rsidP="00217B5C">
            <w:pPr>
              <w:pStyle w:val="ListParagraph"/>
              <w:numPr>
                <w:ilvl w:val="0"/>
                <w:numId w:val="20"/>
              </w:numPr>
              <w:ind w:left="174" w:hanging="174"/>
              <w:rPr>
                <w:sz w:val="20"/>
                <w:szCs w:val="20"/>
              </w:rPr>
            </w:pPr>
            <w:r w:rsidRPr="00365B4A">
              <w:rPr>
                <w:sz w:val="20"/>
                <w:szCs w:val="20"/>
              </w:rPr>
              <w:t>Coordination</w:t>
            </w:r>
          </w:p>
          <w:p w14:paraId="24CFF400" w14:textId="3E3586F5" w:rsidR="00217B5C" w:rsidRPr="00365B4A" w:rsidRDefault="00217B5C" w:rsidP="00217B5C">
            <w:pPr>
              <w:pStyle w:val="ListParagraph"/>
              <w:numPr>
                <w:ilvl w:val="0"/>
                <w:numId w:val="20"/>
              </w:numPr>
              <w:ind w:left="174" w:hanging="174"/>
              <w:rPr>
                <w:sz w:val="20"/>
                <w:szCs w:val="20"/>
              </w:rPr>
            </w:pPr>
            <w:r w:rsidRPr="00365B4A">
              <w:rPr>
                <w:sz w:val="20"/>
                <w:szCs w:val="20"/>
              </w:rPr>
              <w:t>Technical &amp; policy advi</w:t>
            </w:r>
            <w:r w:rsidR="00401EEA">
              <w:rPr>
                <w:sz w:val="20"/>
                <w:szCs w:val="20"/>
              </w:rPr>
              <w:t>c</w:t>
            </w:r>
            <w:r w:rsidRPr="00365B4A">
              <w:rPr>
                <w:sz w:val="20"/>
                <w:szCs w:val="20"/>
              </w:rPr>
              <w:t>e</w:t>
            </w:r>
          </w:p>
          <w:p w14:paraId="58D0754C" w14:textId="77777777" w:rsidR="00217B5C" w:rsidRPr="00365B4A" w:rsidRDefault="00217B5C" w:rsidP="00217B5C">
            <w:pPr>
              <w:pStyle w:val="ListParagraph"/>
              <w:numPr>
                <w:ilvl w:val="0"/>
                <w:numId w:val="20"/>
              </w:numPr>
              <w:ind w:left="174" w:hanging="174"/>
              <w:rPr>
                <w:sz w:val="20"/>
                <w:szCs w:val="20"/>
              </w:rPr>
            </w:pPr>
            <w:r w:rsidRPr="00365B4A">
              <w:rPr>
                <w:sz w:val="20"/>
                <w:szCs w:val="20"/>
              </w:rPr>
              <w:t>Knowledge management</w:t>
            </w:r>
          </w:p>
        </w:tc>
        <w:tc>
          <w:tcPr>
            <w:tcW w:w="1089" w:type="dxa"/>
            <w:tcMar>
              <w:top w:w="57" w:type="dxa"/>
              <w:bottom w:w="57" w:type="dxa"/>
            </w:tcMar>
            <w:vAlign w:val="center"/>
          </w:tcPr>
          <w:p w14:paraId="5030C185" w14:textId="77777777" w:rsidR="005647D2" w:rsidRPr="00365B4A" w:rsidRDefault="00A647E3" w:rsidP="005647D2">
            <w:pPr>
              <w:jc w:val="center"/>
              <w:rPr>
                <w:sz w:val="20"/>
                <w:szCs w:val="20"/>
              </w:rPr>
            </w:pPr>
            <w:r w:rsidRPr="00365B4A">
              <w:rPr>
                <w:sz w:val="20"/>
                <w:szCs w:val="20"/>
              </w:rPr>
              <w:t>5</w:t>
            </w:r>
          </w:p>
        </w:tc>
      </w:tr>
    </w:tbl>
    <w:p w14:paraId="48C8F1AF" w14:textId="77777777" w:rsidR="00A647E3" w:rsidRDefault="00A647E3" w:rsidP="00DE1443">
      <w:pPr>
        <w:spacing w:after="0" w:line="240" w:lineRule="auto"/>
      </w:pPr>
    </w:p>
    <w:p w14:paraId="2CC1F285" w14:textId="77777777" w:rsidR="001778BE" w:rsidRPr="00A647E3" w:rsidRDefault="001778BE" w:rsidP="00DE1443">
      <w:pPr>
        <w:spacing w:after="0" w:line="240" w:lineRule="auto"/>
      </w:pPr>
    </w:p>
    <w:p w14:paraId="0070446B" w14:textId="3AA9815B" w:rsidR="00157B0F" w:rsidRPr="00157B0F" w:rsidRDefault="00284F02" w:rsidP="00DE1443">
      <w:pPr>
        <w:pStyle w:val="Heading1"/>
      </w:pPr>
      <w:bookmarkStart w:id="5" w:name="_Toc10457057"/>
      <w:r>
        <w:t>5</w:t>
      </w:r>
      <w:r w:rsidR="00157B0F" w:rsidRPr="00157B0F">
        <w:t xml:space="preserve">. Comparative </w:t>
      </w:r>
      <w:r w:rsidR="00157B0F">
        <w:t>value</w:t>
      </w:r>
      <w:r w:rsidR="005F45F4">
        <w:t xml:space="preserve"> and international alignment</w:t>
      </w:r>
      <w:bookmarkEnd w:id="5"/>
    </w:p>
    <w:p w14:paraId="6DFD7836" w14:textId="77777777" w:rsidR="005B23FA" w:rsidRDefault="005B23FA" w:rsidP="00DE1443">
      <w:pPr>
        <w:pStyle w:val="ListParagraph"/>
        <w:spacing w:after="0" w:line="240" w:lineRule="auto"/>
        <w:ind w:left="0"/>
        <w:contextualSpacing w:val="0"/>
        <w:jc w:val="both"/>
      </w:pPr>
    </w:p>
    <w:p w14:paraId="2FF9AA6D" w14:textId="5E8ABAF5" w:rsidR="00926F48" w:rsidRDefault="00785B2F" w:rsidP="00DE1443">
      <w:pPr>
        <w:pStyle w:val="ListParagraph"/>
        <w:spacing w:after="0" w:line="240" w:lineRule="auto"/>
        <w:ind w:left="0"/>
        <w:contextualSpacing w:val="0"/>
        <w:jc w:val="both"/>
      </w:pPr>
      <w:r>
        <w:t xml:space="preserve">There are diverse community initiatives in the forest domain </w:t>
      </w:r>
      <w:r w:rsidR="00BD3558">
        <w:t xml:space="preserve">internationally </w:t>
      </w:r>
      <w:r>
        <w:t xml:space="preserve">(see </w:t>
      </w:r>
      <w:r w:rsidR="005F45F4" w:rsidRPr="00D41FAE">
        <w:rPr>
          <w:u w:val="single"/>
        </w:rPr>
        <w:t>Annex 3</w:t>
      </w:r>
      <w:r>
        <w:t xml:space="preserve">). </w:t>
      </w:r>
      <w:r w:rsidR="00354905">
        <w:t xml:space="preserve">The </w:t>
      </w:r>
      <w:r>
        <w:t xml:space="preserve">singularity of CBR+ is to </w:t>
      </w:r>
      <w:r w:rsidR="00926F48">
        <w:t>foster</w:t>
      </w:r>
      <w:r>
        <w:t xml:space="preserve"> a </w:t>
      </w:r>
      <w:r w:rsidR="00A34C8D">
        <w:t>community-government partnership t</w:t>
      </w:r>
      <w:r w:rsidR="00926F48">
        <w:t>o</w:t>
      </w:r>
      <w:r w:rsidR="00A34C8D">
        <w:t xml:space="preserve"> enhance policy design and implementation</w:t>
      </w:r>
      <w:r w:rsidR="00926F48">
        <w:t xml:space="preserve"> </w:t>
      </w:r>
      <w:r w:rsidR="00BD3558">
        <w:t xml:space="preserve">in the </w:t>
      </w:r>
      <w:r w:rsidR="00926F48">
        <w:t>climate</w:t>
      </w:r>
      <w:r w:rsidR="00BD3558">
        <w:t>-f</w:t>
      </w:r>
      <w:r w:rsidR="00926F48">
        <w:t>orests</w:t>
      </w:r>
      <w:r w:rsidR="00BD3558">
        <w:t xml:space="preserve"> nexus</w:t>
      </w:r>
      <w:r w:rsidR="00A34C8D">
        <w:t xml:space="preserve">. </w:t>
      </w:r>
      <w:r>
        <w:t xml:space="preserve">In this sense, </w:t>
      </w:r>
      <w:r w:rsidR="00926F48">
        <w:t xml:space="preserve">CBR+ </w:t>
      </w:r>
      <w:r w:rsidR="007C38E2">
        <w:t xml:space="preserve">aims at </w:t>
      </w:r>
      <w:r w:rsidR="00926F48">
        <w:t>overcom</w:t>
      </w:r>
      <w:r w:rsidR="007C38E2">
        <w:t xml:space="preserve">ing </w:t>
      </w:r>
      <w:r w:rsidR="00E55F1E">
        <w:t xml:space="preserve">the </w:t>
      </w:r>
      <w:r w:rsidR="00926F48">
        <w:t xml:space="preserve">usual </w:t>
      </w:r>
      <w:r w:rsidR="00E55F1E">
        <w:t xml:space="preserve">divide </w:t>
      </w:r>
      <w:r w:rsidR="00926F48">
        <w:t xml:space="preserve">in REDD+ </w:t>
      </w:r>
      <w:r w:rsidR="00A34C8D">
        <w:t>between government programmes and community grants</w:t>
      </w:r>
      <w:r w:rsidR="00926F48">
        <w:t xml:space="preserve">, </w:t>
      </w:r>
      <w:r w:rsidR="00E55F1E">
        <w:t xml:space="preserve">which </w:t>
      </w:r>
      <w:r w:rsidR="00926F48">
        <w:t xml:space="preserve">tend to </w:t>
      </w:r>
      <w:r w:rsidR="00E55F1E">
        <w:t xml:space="preserve">undermine </w:t>
      </w:r>
      <w:r w:rsidR="00926F48">
        <w:t xml:space="preserve">the </w:t>
      </w:r>
      <w:r w:rsidR="00E55F1E">
        <w:t>partnership</w:t>
      </w:r>
      <w:r w:rsidR="00926F48">
        <w:t xml:space="preserve"> spirit</w:t>
      </w:r>
      <w:r w:rsidR="00E55F1E">
        <w:t xml:space="preserve"> and </w:t>
      </w:r>
      <w:r>
        <w:t xml:space="preserve">the </w:t>
      </w:r>
      <w:r w:rsidR="00E55F1E">
        <w:t>common vision that are required for effective REDD+ results</w:t>
      </w:r>
      <w:r w:rsidR="00A34C8D">
        <w:t>.</w:t>
      </w:r>
    </w:p>
    <w:p w14:paraId="180BF1E4" w14:textId="77777777" w:rsidR="00926F48" w:rsidRDefault="00926F48" w:rsidP="00DE1443">
      <w:pPr>
        <w:pStyle w:val="ListParagraph"/>
        <w:spacing w:after="0" w:line="240" w:lineRule="auto"/>
        <w:ind w:left="0"/>
        <w:contextualSpacing w:val="0"/>
        <w:jc w:val="both"/>
      </w:pPr>
    </w:p>
    <w:p w14:paraId="76225400" w14:textId="111A9368" w:rsidR="00A34C8D" w:rsidRDefault="00A34C8D" w:rsidP="00DE1443">
      <w:pPr>
        <w:pStyle w:val="ListParagraph"/>
        <w:spacing w:after="0" w:line="240" w:lineRule="auto"/>
        <w:ind w:left="0"/>
        <w:contextualSpacing w:val="0"/>
        <w:jc w:val="both"/>
      </w:pPr>
      <w:r>
        <w:t xml:space="preserve">The </w:t>
      </w:r>
      <w:r w:rsidR="00E55F1E">
        <w:t xml:space="preserve">CBR+ </w:t>
      </w:r>
      <w:r>
        <w:t>approach</w:t>
      </w:r>
      <w:r w:rsidR="00E55F1E">
        <w:t xml:space="preserve">, following the inclusive philosophy of UN-REDD, </w:t>
      </w:r>
      <w:r>
        <w:t xml:space="preserve">requires community and government stakeholders to work together and to align their ideas and efforts </w:t>
      </w:r>
      <w:r w:rsidR="00926F48">
        <w:t>on forests</w:t>
      </w:r>
      <w:r w:rsidR="007C38E2">
        <w:t>,</w:t>
      </w:r>
      <w:r w:rsidR="00926F48">
        <w:t xml:space="preserve"> so these deliver their critical roles in community </w:t>
      </w:r>
      <w:r w:rsidR="00E55F1E">
        <w:t>livelihood</w:t>
      </w:r>
      <w:r w:rsidR="00926F48">
        <w:t>s</w:t>
      </w:r>
      <w:r w:rsidR="00785B2F">
        <w:t xml:space="preserve">, national </w:t>
      </w:r>
      <w:r w:rsidR="00BD3558">
        <w:t xml:space="preserve">sustainable-development </w:t>
      </w:r>
      <w:r w:rsidR="00785B2F">
        <w:t>goals</w:t>
      </w:r>
      <w:r w:rsidR="00E55F1E">
        <w:t xml:space="preserve"> and </w:t>
      </w:r>
      <w:r w:rsidR="00926F48">
        <w:t xml:space="preserve">global </w:t>
      </w:r>
      <w:r>
        <w:t>clim</w:t>
      </w:r>
      <w:r w:rsidR="00926F48">
        <w:t>ate mitigation</w:t>
      </w:r>
      <w:r>
        <w:t>.</w:t>
      </w:r>
      <w:r w:rsidR="00D41FAE">
        <w:t xml:space="preserve"> </w:t>
      </w:r>
      <w:r w:rsidR="00BD3558">
        <w:t>Among t</w:t>
      </w:r>
      <w:r>
        <w:t>he existing community REDD+ programmes</w:t>
      </w:r>
      <w:r w:rsidR="00BD3558">
        <w:t xml:space="preserve">, CBR+ is unique in the pursuit of a partnership between </w:t>
      </w:r>
      <w:r w:rsidR="00926F48">
        <w:t>community</w:t>
      </w:r>
      <w:r w:rsidR="00BD3558">
        <w:t xml:space="preserve">/indigenous stakeholders and </w:t>
      </w:r>
      <w:r w:rsidR="00926F48">
        <w:t xml:space="preserve">government </w:t>
      </w:r>
      <w:r w:rsidR="00BD3558">
        <w:t>actors as a pivotal action</w:t>
      </w:r>
      <w:r w:rsidR="00E55F1E">
        <w:t xml:space="preserve"> (see </w:t>
      </w:r>
      <w:r w:rsidR="00BD3558" w:rsidRPr="00D41FAE">
        <w:rPr>
          <w:u w:val="single"/>
        </w:rPr>
        <w:t>Annex 3</w:t>
      </w:r>
      <w:r w:rsidR="00BD3558">
        <w:t xml:space="preserve"> </w:t>
      </w:r>
      <w:r w:rsidR="00E55F1E">
        <w:t>for a</w:t>
      </w:r>
      <w:r w:rsidR="00926F48">
        <w:t xml:space="preserve"> comparative</w:t>
      </w:r>
      <w:r w:rsidR="00E55F1E">
        <w:t xml:space="preserve"> analysis). In addition, only CBR+ has </w:t>
      </w:r>
      <w:r w:rsidR="00BD3558">
        <w:t xml:space="preserve">systematically </w:t>
      </w:r>
      <w:r w:rsidR="00E55F1E">
        <w:t>employed a multi-stakeholder governance mechanism at national level</w:t>
      </w:r>
      <w:r w:rsidR="00BD3558">
        <w:t xml:space="preserve"> (</w:t>
      </w:r>
      <w:r w:rsidR="00CB2338">
        <w:t>through</w:t>
      </w:r>
      <w:r w:rsidR="00BD3558">
        <w:t xml:space="preserve"> the</w:t>
      </w:r>
      <w:r w:rsidR="00CB2338">
        <w:t xml:space="preserve"> SGP’s national steering committee mechanism</w:t>
      </w:r>
      <w:r w:rsidR="00BD3558">
        <w:t>s)</w:t>
      </w:r>
      <w:r w:rsidR="00E55F1E">
        <w:t>, which has demonstrated to be conducive to joint dialogue and co</w:t>
      </w:r>
      <w:r w:rsidR="00BD3558">
        <w:t>-</w:t>
      </w:r>
      <w:r w:rsidR="00E55F1E">
        <w:t xml:space="preserve">operation between indigenous and government stakeholders on REDD+ actions. </w:t>
      </w:r>
    </w:p>
    <w:p w14:paraId="1DFD8780" w14:textId="77777777" w:rsidR="00A34C8D" w:rsidRDefault="00A34C8D" w:rsidP="00DE1443">
      <w:pPr>
        <w:pStyle w:val="ListParagraph"/>
        <w:spacing w:after="0" w:line="240" w:lineRule="auto"/>
        <w:ind w:left="0"/>
        <w:contextualSpacing w:val="0"/>
        <w:jc w:val="both"/>
      </w:pPr>
    </w:p>
    <w:p w14:paraId="22440AF3" w14:textId="73D570A6" w:rsidR="00E55F1E" w:rsidRDefault="00E55F1E" w:rsidP="00DE1443">
      <w:pPr>
        <w:pStyle w:val="ListParagraph"/>
        <w:spacing w:after="0" w:line="240" w:lineRule="auto"/>
        <w:ind w:left="0"/>
        <w:contextualSpacing w:val="0"/>
        <w:jc w:val="both"/>
      </w:pPr>
      <w:r>
        <w:t xml:space="preserve">In this sense, a </w:t>
      </w:r>
      <w:r w:rsidR="001A71AA">
        <w:t xml:space="preserve">new CBR+ </w:t>
      </w:r>
      <w:r>
        <w:t xml:space="preserve">initiative </w:t>
      </w:r>
      <w:r w:rsidR="001A71AA">
        <w:t>would complement</w:t>
      </w:r>
      <w:r w:rsidR="00BD3558">
        <w:t xml:space="preserve"> well</w:t>
      </w:r>
      <w:r w:rsidR="001A71AA">
        <w:t xml:space="preserve"> the</w:t>
      </w:r>
      <w:r>
        <w:t xml:space="preserve"> existing </w:t>
      </w:r>
      <w:r w:rsidR="00926F48">
        <w:t xml:space="preserve">landscape of </w:t>
      </w:r>
      <w:r>
        <w:t>community REDD+ programmes</w:t>
      </w:r>
      <w:r w:rsidR="001A71AA">
        <w:t xml:space="preserve">, </w:t>
      </w:r>
      <w:r w:rsidR="00785B2F">
        <w:t xml:space="preserve">fostering </w:t>
      </w:r>
      <w:r>
        <w:t xml:space="preserve">joint </w:t>
      </w:r>
      <w:r w:rsidR="001A71AA">
        <w:t>community-</w:t>
      </w:r>
      <w:r>
        <w:t xml:space="preserve">government </w:t>
      </w:r>
      <w:r w:rsidR="001A71AA">
        <w:t xml:space="preserve">policy </w:t>
      </w:r>
      <w:r w:rsidR="00926F48">
        <w:t>dialogue and concertation</w:t>
      </w:r>
      <w:r w:rsidR="00BD3558">
        <w:t>, which are key for the success of both NDCs and the LCIP Platform</w:t>
      </w:r>
      <w:r>
        <w:t xml:space="preserve">. In addition, </w:t>
      </w:r>
      <w:r w:rsidR="00785B2F">
        <w:t>CBR+ would focus on the pioneering countries implementing REDD+</w:t>
      </w:r>
      <w:r w:rsidR="00BD3558">
        <w:t>, so to enhance synergies and accelerate transformations and reforms</w:t>
      </w:r>
      <w:r w:rsidR="00785B2F">
        <w:t xml:space="preserve">. </w:t>
      </w:r>
      <w:r>
        <w:t xml:space="preserve">CBR+2 would </w:t>
      </w:r>
      <w:r w:rsidR="00785B2F">
        <w:t xml:space="preserve">also </w:t>
      </w:r>
      <w:r>
        <w:t>support the initiation of the n</w:t>
      </w:r>
      <w:r w:rsidR="001A71AA">
        <w:t xml:space="preserve">ew UNFCCC </w:t>
      </w:r>
      <w:r>
        <w:t>LC</w:t>
      </w:r>
      <w:r w:rsidR="001A71AA">
        <w:t xml:space="preserve">IP </w:t>
      </w:r>
      <w:r w:rsidR="001A71AA">
        <w:lastRenderedPageBreak/>
        <w:t>Platform</w:t>
      </w:r>
      <w:r>
        <w:t xml:space="preserve"> by providing country</w:t>
      </w:r>
      <w:r w:rsidR="00BD3558">
        <w:t xml:space="preserve"> </w:t>
      </w:r>
      <w:r>
        <w:t>examples of indigenous knowledge feeding national policies</w:t>
      </w:r>
      <w:r w:rsidR="00BD3558">
        <w:t xml:space="preserve"> &amp;</w:t>
      </w:r>
      <w:r>
        <w:t xml:space="preserve"> programmes in the forest</w:t>
      </w:r>
      <w:r w:rsidR="00BD3558">
        <w:t>/</w:t>
      </w:r>
      <w:r>
        <w:t xml:space="preserve">REDD+ </w:t>
      </w:r>
      <w:r w:rsidR="003C23A0">
        <w:t>arena</w:t>
      </w:r>
      <w:r w:rsidR="001A71AA">
        <w:t>.</w:t>
      </w:r>
    </w:p>
    <w:p w14:paraId="4118F22E" w14:textId="77777777" w:rsidR="00884B0C" w:rsidRDefault="00884B0C" w:rsidP="001A71AA">
      <w:pPr>
        <w:pStyle w:val="ListParagraph"/>
        <w:spacing w:after="0" w:line="240" w:lineRule="auto"/>
        <w:contextualSpacing w:val="0"/>
        <w:jc w:val="both"/>
      </w:pPr>
    </w:p>
    <w:p w14:paraId="750FB163" w14:textId="2E122A85" w:rsidR="00F2168A" w:rsidRDefault="007C38E2" w:rsidP="00F2168A">
      <w:pPr>
        <w:pStyle w:val="ListParagraph"/>
        <w:spacing w:after="0" w:line="240" w:lineRule="auto"/>
        <w:ind w:left="0"/>
        <w:contextualSpacing w:val="0"/>
        <w:jc w:val="both"/>
      </w:pPr>
      <w:r>
        <w:t xml:space="preserve">Norway was the first donor of CBR+ and has expressed openness to consider financing a new phase if the case so merits. </w:t>
      </w:r>
      <w:r w:rsidR="001F3699">
        <w:t xml:space="preserve">The proposed </w:t>
      </w:r>
      <w:r w:rsidR="00926F48">
        <w:t xml:space="preserve">CBR+2 would </w:t>
      </w:r>
      <w:r w:rsidR="00F2168A">
        <w:t xml:space="preserve">align to the </w:t>
      </w:r>
      <w:r w:rsidR="001F3699">
        <w:t xml:space="preserve">new </w:t>
      </w:r>
      <w:r w:rsidR="00F2168A">
        <w:t>strategic framework of NICFI (June 2017)</w:t>
      </w:r>
      <w:r w:rsidR="001F3699">
        <w:t>,</w:t>
      </w:r>
      <w:r w:rsidR="00F2168A">
        <w:t xml:space="preserve"> </w:t>
      </w:r>
      <w:r w:rsidR="00E55F1E">
        <w:t>including</w:t>
      </w:r>
      <w:r w:rsidR="00BD3558">
        <w:t>:</w:t>
      </w:r>
      <w:r w:rsidR="00E55F1E">
        <w:t xml:space="preserve"> one of the Parliament-endorsed goals, two NICFI goals, </w:t>
      </w:r>
      <w:r>
        <w:t xml:space="preserve">and several </w:t>
      </w:r>
      <w:r w:rsidR="00E55F1E">
        <w:t xml:space="preserve">NICFI milestones </w:t>
      </w:r>
      <w:r>
        <w:t>and i</w:t>
      </w:r>
      <w:r w:rsidR="00E55F1E">
        <w:t>ndicators</w:t>
      </w:r>
      <w:r w:rsidR="001F3699">
        <w:t xml:space="preserve"> (</w:t>
      </w:r>
      <w:r w:rsidR="00BD3558" w:rsidRPr="005A2DBE">
        <w:rPr>
          <w:u w:val="single"/>
        </w:rPr>
        <w:t>Annex 4</w:t>
      </w:r>
      <w:r w:rsidR="00BD3558">
        <w:t xml:space="preserve"> </w:t>
      </w:r>
      <w:r w:rsidR="00E55F1E">
        <w:t xml:space="preserve">provides an analysis of </w:t>
      </w:r>
      <w:r w:rsidR="00BD3558">
        <w:t>the</w:t>
      </w:r>
      <w:r w:rsidR="00E55F1E">
        <w:t xml:space="preserve"> alignment</w:t>
      </w:r>
      <w:r w:rsidR="001F3699">
        <w:t xml:space="preserve"> between CBR+2 and NICFI)</w:t>
      </w:r>
      <w:r w:rsidR="00E55F1E">
        <w:t>.</w:t>
      </w:r>
    </w:p>
    <w:p w14:paraId="7D7C75B5" w14:textId="06A5935E" w:rsidR="00A36319" w:rsidRDefault="00A36319" w:rsidP="00DE1443">
      <w:pPr>
        <w:pStyle w:val="ListParagraph"/>
        <w:spacing w:after="0" w:line="240" w:lineRule="auto"/>
        <w:ind w:left="0"/>
        <w:contextualSpacing w:val="0"/>
        <w:jc w:val="both"/>
        <w:rPr>
          <w:b/>
          <w:color w:val="0000FF"/>
        </w:rPr>
      </w:pPr>
    </w:p>
    <w:p w14:paraId="191320AB" w14:textId="77777777" w:rsidR="005A2DBE" w:rsidRDefault="005A2DBE" w:rsidP="00DE1443">
      <w:pPr>
        <w:pStyle w:val="ListParagraph"/>
        <w:spacing w:after="0" w:line="240" w:lineRule="auto"/>
        <w:ind w:left="0"/>
        <w:contextualSpacing w:val="0"/>
        <w:jc w:val="both"/>
        <w:rPr>
          <w:b/>
          <w:color w:val="0000FF"/>
        </w:rPr>
      </w:pPr>
    </w:p>
    <w:p w14:paraId="2ABC8FE0" w14:textId="77777777" w:rsidR="003B4AFC" w:rsidRPr="00157B0F" w:rsidRDefault="006F7E8B" w:rsidP="00DE1443">
      <w:pPr>
        <w:pStyle w:val="Heading1"/>
      </w:pPr>
      <w:bookmarkStart w:id="6" w:name="_Toc10457058"/>
      <w:r>
        <w:t>6</w:t>
      </w:r>
      <w:r w:rsidR="003B4AFC" w:rsidRPr="00157B0F">
        <w:t xml:space="preserve">. </w:t>
      </w:r>
      <w:r>
        <w:t>Criteria and e</w:t>
      </w:r>
      <w:r w:rsidR="00157B0F">
        <w:t>arly s</w:t>
      </w:r>
      <w:r w:rsidR="003B4AFC" w:rsidRPr="00157B0F">
        <w:t>coping of countr</w:t>
      </w:r>
      <w:r w:rsidR="00157B0F">
        <w:t>ies for CBR+</w:t>
      </w:r>
      <w:bookmarkEnd w:id="6"/>
    </w:p>
    <w:p w14:paraId="1EE85D2B" w14:textId="77777777" w:rsidR="003B4AFC" w:rsidRDefault="003B4AFC" w:rsidP="00DE1443">
      <w:pPr>
        <w:pStyle w:val="ListParagraph"/>
        <w:spacing w:after="0" w:line="240" w:lineRule="auto"/>
        <w:ind w:left="0"/>
        <w:contextualSpacing w:val="0"/>
        <w:jc w:val="both"/>
      </w:pPr>
    </w:p>
    <w:p w14:paraId="534AF776" w14:textId="77777777" w:rsidR="0081196E" w:rsidRDefault="00C10AFF" w:rsidP="00DE1443">
      <w:pPr>
        <w:spacing w:after="0" w:line="240" w:lineRule="auto"/>
        <w:jc w:val="both"/>
      </w:pPr>
      <w:r>
        <w:t>In selecting beneficiary countries</w:t>
      </w:r>
      <w:r w:rsidR="00921DBD">
        <w:t xml:space="preserve"> for </w:t>
      </w:r>
      <w:r>
        <w:t>a second phase</w:t>
      </w:r>
      <w:r w:rsidR="00921DBD">
        <w:t>,</w:t>
      </w:r>
      <w:r>
        <w:t xml:space="preserve"> CBR+ would </w:t>
      </w:r>
      <w:r w:rsidR="00921DBD">
        <w:t xml:space="preserve">use </w:t>
      </w:r>
      <w:r w:rsidR="001F3699">
        <w:t>specific</w:t>
      </w:r>
      <w:r w:rsidR="00921DBD">
        <w:t xml:space="preserve"> </w:t>
      </w:r>
      <w:r>
        <w:t xml:space="preserve">criteria to better </w:t>
      </w:r>
      <w:r w:rsidR="001A71AA">
        <w:t>respond to the evolving circumstances and key challenges in the REDD+ arena</w:t>
      </w:r>
      <w:r w:rsidR="0081196E">
        <w:t xml:space="preserve"> (</w:t>
      </w:r>
      <w:r w:rsidR="001F3699">
        <w:t>as indicated in</w:t>
      </w:r>
      <w:r w:rsidR="0081196E">
        <w:t xml:space="preserve"> section 2 on the Policy Framework)</w:t>
      </w:r>
      <w:r w:rsidR="001A71AA">
        <w:t>.</w:t>
      </w:r>
    </w:p>
    <w:p w14:paraId="7E045696" w14:textId="77777777" w:rsidR="0081196E" w:rsidRDefault="0081196E" w:rsidP="00DE1443">
      <w:pPr>
        <w:spacing w:after="0" w:line="240" w:lineRule="auto"/>
        <w:jc w:val="both"/>
      </w:pPr>
    </w:p>
    <w:p w14:paraId="077AA7D7" w14:textId="5619F2E5" w:rsidR="00C10AFF" w:rsidRDefault="00EA348B" w:rsidP="00DE1443">
      <w:pPr>
        <w:spacing w:after="0" w:line="240" w:lineRule="auto"/>
        <w:jc w:val="both"/>
      </w:pPr>
      <w:r>
        <w:t xml:space="preserve">Countries will be selected </w:t>
      </w:r>
      <w:proofErr w:type="gramStart"/>
      <w:r>
        <w:t>on the basis of</w:t>
      </w:r>
      <w:proofErr w:type="gramEnd"/>
      <w:r>
        <w:t xml:space="preserve"> a formal expression of interest</w:t>
      </w:r>
      <w:r w:rsidR="005A2DBE">
        <w:t xml:space="preserve">. Then, they will be </w:t>
      </w:r>
      <w:r>
        <w:t xml:space="preserve">assessed </w:t>
      </w:r>
      <w:r w:rsidR="005A2DBE">
        <w:t xml:space="preserve">by UN-REDD </w:t>
      </w:r>
      <w:r w:rsidR="0085230B">
        <w:t xml:space="preserve">according to </w:t>
      </w:r>
      <w:r w:rsidR="00F24798">
        <w:t>a set of policy and operational criteria, as follows</w:t>
      </w:r>
      <w:r w:rsidR="00C10AFF">
        <w:t>:</w:t>
      </w:r>
    </w:p>
    <w:p w14:paraId="07859396" w14:textId="7C404CE5" w:rsidR="0081196E" w:rsidRDefault="0081196E" w:rsidP="00DE1443">
      <w:pPr>
        <w:spacing w:after="0" w:line="240" w:lineRule="auto"/>
        <w:jc w:val="both"/>
      </w:pPr>
    </w:p>
    <w:p w14:paraId="49D2D6EA" w14:textId="2D1E4461" w:rsidR="00F24798" w:rsidRPr="00F24798" w:rsidRDefault="00F24798" w:rsidP="00F24798">
      <w:pPr>
        <w:spacing w:after="0" w:line="240" w:lineRule="auto"/>
        <w:ind w:firstLine="284"/>
        <w:jc w:val="both"/>
        <w:rPr>
          <w:u w:val="single"/>
        </w:rPr>
      </w:pPr>
      <w:r w:rsidRPr="00F24798">
        <w:rPr>
          <w:u w:val="single"/>
        </w:rPr>
        <w:t>Polic</w:t>
      </w:r>
      <w:r w:rsidRPr="00F24798">
        <w:t>y</w:t>
      </w:r>
      <w:r w:rsidRPr="00F24798">
        <w:rPr>
          <w:u w:val="single"/>
        </w:rPr>
        <w:t xml:space="preserve"> criteria</w:t>
      </w:r>
    </w:p>
    <w:p w14:paraId="628E4AD8" w14:textId="77777777" w:rsidR="00F24798" w:rsidRDefault="00F24798" w:rsidP="00DE1443">
      <w:pPr>
        <w:spacing w:after="0" w:line="240" w:lineRule="auto"/>
        <w:jc w:val="both"/>
      </w:pPr>
    </w:p>
    <w:p w14:paraId="2A7BA8FA" w14:textId="77777777" w:rsidR="00C10AFF" w:rsidRDefault="00C10AFF" w:rsidP="001F3699">
      <w:pPr>
        <w:pStyle w:val="ListParagraph"/>
        <w:numPr>
          <w:ilvl w:val="0"/>
          <w:numId w:val="16"/>
        </w:numPr>
        <w:spacing w:after="120" w:line="240" w:lineRule="auto"/>
        <w:ind w:left="568" w:hanging="284"/>
        <w:contextualSpacing w:val="0"/>
        <w:jc w:val="both"/>
      </w:pPr>
      <w:r>
        <w:t xml:space="preserve">National strategy for REDD+ </w:t>
      </w:r>
      <w:r w:rsidR="00DC559A">
        <w:t xml:space="preserve">(or equivalent) </w:t>
      </w:r>
      <w:r>
        <w:t>adopted and registered in the UNFCCC Hub</w:t>
      </w:r>
      <w:r w:rsidR="00DC559A">
        <w:t>.</w:t>
      </w:r>
    </w:p>
    <w:p w14:paraId="650E3D3C" w14:textId="3DC822FA" w:rsidR="00C10AFF" w:rsidRDefault="00C10AFF" w:rsidP="001F3699">
      <w:pPr>
        <w:pStyle w:val="ListParagraph"/>
        <w:numPr>
          <w:ilvl w:val="0"/>
          <w:numId w:val="16"/>
        </w:numPr>
        <w:spacing w:after="120" w:line="240" w:lineRule="auto"/>
        <w:ind w:left="568" w:hanging="284"/>
        <w:contextualSpacing w:val="0"/>
        <w:jc w:val="both"/>
      </w:pPr>
      <w:r>
        <w:t>REDD+ implementation finance</w:t>
      </w:r>
      <w:r w:rsidR="00DC559A">
        <w:t xml:space="preserve"> mobilised</w:t>
      </w:r>
      <w:r w:rsidR="001F3699">
        <w:t xml:space="preserve"> and initiated</w:t>
      </w:r>
      <w:r w:rsidR="00DC559A">
        <w:t xml:space="preserve"> </w:t>
      </w:r>
      <w:r>
        <w:t>(</w:t>
      </w:r>
      <w:r w:rsidR="00BA13C2">
        <w:t xml:space="preserve">national fund, </w:t>
      </w:r>
      <w:r>
        <w:t xml:space="preserve">multilateral </w:t>
      </w:r>
      <w:r w:rsidR="00BA13C2">
        <w:t>REDD+ agreement or GCF programme)</w:t>
      </w:r>
      <w:r w:rsidR="001F3699">
        <w:t xml:space="preserve">, while a </w:t>
      </w:r>
      <w:r w:rsidR="005B23FA">
        <w:t>funding gap</w:t>
      </w:r>
      <w:r w:rsidR="001F3699">
        <w:t>/opportunity</w:t>
      </w:r>
      <w:r w:rsidR="005B23FA">
        <w:t xml:space="preserve"> for community actions</w:t>
      </w:r>
      <w:r w:rsidR="00F902C6">
        <w:t xml:space="preserve"> and investments is</w:t>
      </w:r>
      <w:r w:rsidR="005B23FA">
        <w:t xml:space="preserve"> identified.</w:t>
      </w:r>
    </w:p>
    <w:p w14:paraId="6E500C66" w14:textId="77777777" w:rsidR="00C10AFF" w:rsidRDefault="00C10AFF" w:rsidP="001F3699">
      <w:pPr>
        <w:pStyle w:val="ListParagraph"/>
        <w:numPr>
          <w:ilvl w:val="0"/>
          <w:numId w:val="16"/>
        </w:numPr>
        <w:spacing w:after="120" w:line="240" w:lineRule="auto"/>
        <w:ind w:left="568" w:hanging="284"/>
        <w:contextualSpacing w:val="0"/>
        <w:jc w:val="both"/>
      </w:pPr>
      <w:r>
        <w:t xml:space="preserve">Interest expressed </w:t>
      </w:r>
      <w:r w:rsidR="005B23FA">
        <w:t xml:space="preserve">formally </w:t>
      </w:r>
      <w:r w:rsidR="00921DBD">
        <w:t xml:space="preserve">and jointly </w:t>
      </w:r>
      <w:r>
        <w:t>by governmen</w:t>
      </w:r>
      <w:r w:rsidR="005B23FA">
        <w:t>t and indigenous representatives.</w:t>
      </w:r>
    </w:p>
    <w:p w14:paraId="0FF88A96" w14:textId="304E2AF7" w:rsidR="00C10AFF" w:rsidRDefault="00BA13C2" w:rsidP="001F3699">
      <w:pPr>
        <w:pStyle w:val="ListParagraph"/>
        <w:numPr>
          <w:ilvl w:val="0"/>
          <w:numId w:val="16"/>
        </w:numPr>
        <w:spacing w:after="0" w:line="240" w:lineRule="auto"/>
        <w:ind w:left="567" w:hanging="283"/>
        <w:contextualSpacing w:val="0"/>
        <w:jc w:val="both"/>
      </w:pPr>
      <w:r>
        <w:t xml:space="preserve">Evidence of </w:t>
      </w:r>
      <w:r w:rsidR="00F32CBD">
        <w:t xml:space="preserve">willingness to </w:t>
      </w:r>
      <w:r w:rsidR="005F68BE">
        <w:t xml:space="preserve">both </w:t>
      </w:r>
      <w:r>
        <w:t>enhanc</w:t>
      </w:r>
      <w:r w:rsidR="00F32CBD">
        <w:t>e</w:t>
      </w:r>
      <w:r>
        <w:t xml:space="preserve"> the forest</w:t>
      </w:r>
      <w:r w:rsidR="005F68BE">
        <w:t>-related component of the NDC</w:t>
      </w:r>
      <w:r w:rsidR="00F32CBD">
        <w:t xml:space="preserve"> and </w:t>
      </w:r>
      <w:r w:rsidR="005F68BE">
        <w:t xml:space="preserve">to </w:t>
      </w:r>
      <w:r w:rsidR="00F32CBD">
        <w:t>do so through a participatory</w:t>
      </w:r>
      <w:r w:rsidR="00921DBD">
        <w:t xml:space="preserve"> and rights-based</w:t>
      </w:r>
      <w:r w:rsidR="00F32CBD">
        <w:t xml:space="preserve"> approach</w:t>
      </w:r>
      <w:r w:rsidR="005B23FA">
        <w:t>.</w:t>
      </w:r>
    </w:p>
    <w:p w14:paraId="41D30652" w14:textId="49DF9352" w:rsidR="00F24798" w:rsidRDefault="00F24798" w:rsidP="00F24798">
      <w:pPr>
        <w:spacing w:after="0" w:line="240" w:lineRule="auto"/>
        <w:jc w:val="both"/>
      </w:pPr>
    </w:p>
    <w:p w14:paraId="2123834A" w14:textId="43EE8AB9" w:rsidR="00F24798" w:rsidRPr="00F24798" w:rsidRDefault="00F24798" w:rsidP="00F24798">
      <w:pPr>
        <w:spacing w:after="0" w:line="240" w:lineRule="auto"/>
        <w:ind w:firstLine="284"/>
        <w:jc w:val="both"/>
        <w:rPr>
          <w:u w:val="single"/>
        </w:rPr>
      </w:pPr>
      <w:r w:rsidRPr="00F24798">
        <w:rPr>
          <w:u w:val="single"/>
        </w:rPr>
        <w:t>O</w:t>
      </w:r>
      <w:r w:rsidRPr="00F24798">
        <w:t>p</w:t>
      </w:r>
      <w:r w:rsidRPr="00F24798">
        <w:rPr>
          <w:u w:val="single"/>
        </w:rPr>
        <w:t>erational criteria</w:t>
      </w:r>
    </w:p>
    <w:p w14:paraId="33884360" w14:textId="77777777" w:rsidR="00F24798" w:rsidRDefault="00F24798" w:rsidP="00F24798">
      <w:pPr>
        <w:spacing w:after="0" w:line="240" w:lineRule="auto"/>
        <w:jc w:val="both"/>
      </w:pPr>
    </w:p>
    <w:p w14:paraId="2D76A285" w14:textId="16238579" w:rsidR="00F24798" w:rsidRDefault="00F24798" w:rsidP="00534E63">
      <w:pPr>
        <w:pStyle w:val="ListParagraph"/>
        <w:numPr>
          <w:ilvl w:val="0"/>
          <w:numId w:val="16"/>
        </w:numPr>
        <w:spacing w:after="120" w:line="240" w:lineRule="auto"/>
        <w:ind w:left="568" w:hanging="284"/>
        <w:contextualSpacing w:val="0"/>
        <w:jc w:val="both"/>
      </w:pPr>
      <w:r>
        <w:t xml:space="preserve">SGP dynamism or active UNDP community funding </w:t>
      </w:r>
      <w:r w:rsidR="0085230B">
        <w:t>channels</w:t>
      </w:r>
      <w:r>
        <w:t xml:space="preserve"> (i.e.: in-country demonstrated capacity to deliver CBR+ grants)</w:t>
      </w:r>
      <w:r w:rsidR="0085230B">
        <w:t>.</w:t>
      </w:r>
    </w:p>
    <w:p w14:paraId="47886838" w14:textId="17FAA29F" w:rsidR="00EA348B" w:rsidRDefault="00F24798" w:rsidP="001F3699">
      <w:pPr>
        <w:pStyle w:val="ListParagraph"/>
        <w:numPr>
          <w:ilvl w:val="0"/>
          <w:numId w:val="16"/>
        </w:numPr>
        <w:spacing w:after="0" w:line="240" w:lineRule="auto"/>
        <w:ind w:left="567" w:hanging="283"/>
        <w:contextualSpacing w:val="0"/>
        <w:jc w:val="both"/>
      </w:pPr>
      <w:r>
        <w:t xml:space="preserve">Active presence of the UN-REDD Programme or the UNDP Climate &amp; Forests Team (i.e. </w:t>
      </w:r>
      <w:r w:rsidR="007B0D9A">
        <w:t xml:space="preserve">existence of channels </w:t>
      </w:r>
      <w:r w:rsidR="0085230B">
        <w:t>to provide</w:t>
      </w:r>
      <w:r w:rsidR="007B0D9A">
        <w:t xml:space="preserve"> </w:t>
      </w:r>
      <w:r>
        <w:t>technical assistance</w:t>
      </w:r>
      <w:r w:rsidR="0085230B">
        <w:t xml:space="preserve"> and oversight</w:t>
      </w:r>
      <w:r>
        <w:t>)</w:t>
      </w:r>
      <w:r w:rsidR="00EA348B">
        <w:t xml:space="preserve">. </w:t>
      </w:r>
    </w:p>
    <w:p w14:paraId="4CE954C3" w14:textId="77777777" w:rsidR="0081196E" w:rsidRDefault="0081196E" w:rsidP="00DE1443">
      <w:pPr>
        <w:spacing w:after="0" w:line="240" w:lineRule="auto"/>
        <w:jc w:val="both"/>
      </w:pPr>
    </w:p>
    <w:p w14:paraId="2E65A67D" w14:textId="062F11C0" w:rsidR="00921DBD" w:rsidRDefault="00921DBD" w:rsidP="00DE1443">
      <w:pPr>
        <w:spacing w:after="0" w:line="240" w:lineRule="auto"/>
        <w:jc w:val="both"/>
      </w:pPr>
      <w:r>
        <w:t xml:space="preserve">The </w:t>
      </w:r>
      <w:r w:rsidR="001F3699">
        <w:t>pre-</w:t>
      </w:r>
      <w:r>
        <w:t xml:space="preserve">identification of countries will be based on </w:t>
      </w:r>
      <w:r w:rsidR="00BF0CA8">
        <w:t>the mentioned criteria</w:t>
      </w:r>
      <w:r>
        <w:t xml:space="preserve">. Only about a dozen </w:t>
      </w:r>
      <w:r w:rsidR="007B0D9A">
        <w:t xml:space="preserve">countries </w:t>
      </w:r>
      <w:r>
        <w:t xml:space="preserve">may meet the </w:t>
      </w:r>
      <w:r w:rsidR="00EA348B">
        <w:t>above</w:t>
      </w:r>
      <w:r w:rsidR="00534E63">
        <w:t>-</w:t>
      </w:r>
      <w:r>
        <w:t>mentioned criteria</w:t>
      </w:r>
      <w:r w:rsidR="001F3699">
        <w:t xml:space="preserve"> and, depending on funding available, 4 to 6 countries </w:t>
      </w:r>
      <w:r w:rsidR="007B0D9A">
        <w:t>w</w:t>
      </w:r>
      <w:r w:rsidR="001F3699">
        <w:t>ould be supported</w:t>
      </w:r>
      <w:r w:rsidR="00280783">
        <w:t xml:space="preserve"> </w:t>
      </w:r>
      <w:r w:rsidR="007B0D9A">
        <w:t xml:space="preserve">at a time. The </w:t>
      </w:r>
      <w:r w:rsidR="00C279E4" w:rsidRPr="005A2DBE">
        <w:rPr>
          <w:u w:val="single"/>
        </w:rPr>
        <w:t xml:space="preserve">Annex </w:t>
      </w:r>
      <w:r w:rsidR="00BD3558" w:rsidRPr="005A2DBE">
        <w:rPr>
          <w:u w:val="single"/>
        </w:rPr>
        <w:t>5</w:t>
      </w:r>
      <w:r w:rsidR="00280783">
        <w:t xml:space="preserve"> presents a</w:t>
      </w:r>
      <w:r>
        <w:t>n internal</w:t>
      </w:r>
      <w:r w:rsidR="007B0D9A">
        <w:t>, unofficial</w:t>
      </w:r>
      <w:r>
        <w:t xml:space="preserve"> scoping </w:t>
      </w:r>
      <w:r w:rsidR="001F3699">
        <w:t>of potential eligible countries</w:t>
      </w:r>
      <w:r w:rsidR="007B0D9A">
        <w:t>, conducted</w:t>
      </w:r>
      <w:r w:rsidR="001F3699">
        <w:t xml:space="preserve"> </w:t>
      </w:r>
      <w:r w:rsidR="00F902C6">
        <w:t>by</w:t>
      </w:r>
      <w:r>
        <w:t xml:space="preserve"> the UNDP Climate &amp; Forests Team </w:t>
      </w:r>
      <w:r w:rsidR="001F3699">
        <w:t>as a pre-appraisal of the viability of CBR+2</w:t>
      </w:r>
      <w:r w:rsidR="007B0D9A">
        <w:t xml:space="preserve"> (only some of these would be selected</w:t>
      </w:r>
      <w:r w:rsidR="00280783">
        <w:t>).</w:t>
      </w:r>
      <w:r w:rsidR="0085230B">
        <w:t xml:space="preserve"> </w:t>
      </w:r>
      <w:r w:rsidR="00167423">
        <w:t>T</w:t>
      </w:r>
      <w:r w:rsidR="0085230B">
        <w:t>he country selection process</w:t>
      </w:r>
      <w:r w:rsidR="00167423">
        <w:t xml:space="preserve"> could be conducted by </w:t>
      </w:r>
      <w:r w:rsidR="0085230B">
        <w:t>a committee established by the UN-REDD Executive Board and composed by representatives from the donor/s, UNDP and indigenous peoples.</w:t>
      </w:r>
    </w:p>
    <w:p w14:paraId="7B31A6FF" w14:textId="4D4C2EAB" w:rsidR="00206430" w:rsidRDefault="00206430" w:rsidP="00DE1443">
      <w:pPr>
        <w:spacing w:after="0" w:line="240" w:lineRule="auto"/>
        <w:jc w:val="both"/>
      </w:pPr>
    </w:p>
    <w:p w14:paraId="7EA73E0B" w14:textId="77777777" w:rsidR="00C279E4" w:rsidRDefault="00C279E4" w:rsidP="00DE1443">
      <w:pPr>
        <w:spacing w:after="0" w:line="240" w:lineRule="auto"/>
        <w:jc w:val="both"/>
      </w:pPr>
    </w:p>
    <w:p w14:paraId="3AE080DE" w14:textId="77777777" w:rsidR="00142E66" w:rsidRPr="00142E66" w:rsidRDefault="006F7E8B" w:rsidP="00DE1443">
      <w:pPr>
        <w:pStyle w:val="Heading1"/>
      </w:pPr>
      <w:bookmarkStart w:id="7" w:name="_Toc10457059"/>
      <w:r>
        <w:t>7</w:t>
      </w:r>
      <w:r w:rsidR="00157B0F">
        <w:t>. Implementation arrangements</w:t>
      </w:r>
      <w:bookmarkEnd w:id="7"/>
    </w:p>
    <w:p w14:paraId="51BCA4C8" w14:textId="77777777" w:rsidR="00142E66" w:rsidRDefault="00142E66" w:rsidP="00DE1443">
      <w:pPr>
        <w:pStyle w:val="ListParagraph"/>
        <w:spacing w:after="0" w:line="240" w:lineRule="auto"/>
        <w:ind w:left="0"/>
        <w:contextualSpacing w:val="0"/>
        <w:jc w:val="both"/>
      </w:pPr>
    </w:p>
    <w:p w14:paraId="1F51ACC5" w14:textId="544E1217" w:rsidR="00845AD4" w:rsidRDefault="00A647E3" w:rsidP="00DE1443">
      <w:pPr>
        <w:spacing w:after="0" w:line="240" w:lineRule="auto"/>
        <w:jc w:val="both"/>
      </w:pPr>
      <w:bookmarkStart w:id="8" w:name="_Hlk1464832"/>
      <w:r>
        <w:t xml:space="preserve">The </w:t>
      </w:r>
      <w:r w:rsidR="00206430">
        <w:t xml:space="preserve">CBR+2 </w:t>
      </w:r>
      <w:r>
        <w:t xml:space="preserve">initiative will be implemented </w:t>
      </w:r>
      <w:r w:rsidR="00921DBD">
        <w:t xml:space="preserve">in the same way </w:t>
      </w:r>
      <w:r>
        <w:t>as the first CBR+ initiative</w:t>
      </w:r>
      <w:r w:rsidR="00921DBD">
        <w:t>, which proved to deliver timely and effectively</w:t>
      </w:r>
      <w:r w:rsidR="00D41FAE">
        <w:t xml:space="preserve">. They key implementing partners will be </w:t>
      </w:r>
      <w:r w:rsidR="00845AD4">
        <w:t>as follows:</w:t>
      </w:r>
    </w:p>
    <w:p w14:paraId="09F6C43F" w14:textId="77777777" w:rsidR="00845AD4" w:rsidRDefault="00845AD4" w:rsidP="00DE1443">
      <w:pPr>
        <w:spacing w:after="0" w:line="240" w:lineRule="auto"/>
        <w:jc w:val="both"/>
      </w:pPr>
    </w:p>
    <w:p w14:paraId="7EBD6163" w14:textId="4F1616AB" w:rsidR="00845AD4" w:rsidRDefault="00206430" w:rsidP="00534E63">
      <w:pPr>
        <w:pStyle w:val="ListParagraph"/>
        <w:numPr>
          <w:ilvl w:val="0"/>
          <w:numId w:val="28"/>
        </w:numPr>
        <w:spacing w:after="120" w:line="240" w:lineRule="auto"/>
        <w:ind w:left="568" w:hanging="284"/>
        <w:contextualSpacing w:val="0"/>
        <w:jc w:val="both"/>
      </w:pPr>
      <w:r>
        <w:t>T</w:t>
      </w:r>
      <w:r w:rsidR="00A647E3">
        <w:t xml:space="preserve">he </w:t>
      </w:r>
      <w:r w:rsidR="00A647E3" w:rsidRPr="00845AD4">
        <w:rPr>
          <w:b/>
        </w:rPr>
        <w:t>UN-REDD Programme</w:t>
      </w:r>
      <w:r w:rsidR="00A647E3">
        <w:t xml:space="preserve"> will </w:t>
      </w:r>
      <w:r w:rsidR="00345F03">
        <w:t>channel the</w:t>
      </w:r>
      <w:r w:rsidR="00A647E3">
        <w:t xml:space="preserve"> funding </w:t>
      </w:r>
      <w:r w:rsidR="00345F03">
        <w:t xml:space="preserve">(via UNDP), </w:t>
      </w:r>
      <w:r w:rsidR="00F902C6">
        <w:t>conduct</w:t>
      </w:r>
      <w:r w:rsidR="00345F03">
        <w:t xml:space="preserve"> the process for country selection, a</w:t>
      </w:r>
      <w:r w:rsidR="00A647E3">
        <w:t xml:space="preserve">nd </w:t>
      </w:r>
      <w:r w:rsidR="00345F03">
        <w:t xml:space="preserve">provide the </w:t>
      </w:r>
      <w:r w:rsidR="00A647E3">
        <w:t>reporting</w:t>
      </w:r>
      <w:r w:rsidR="00781D47">
        <w:t>.</w:t>
      </w:r>
    </w:p>
    <w:p w14:paraId="0FF64D74" w14:textId="6189FFDC" w:rsidR="00845AD4" w:rsidRDefault="00206430" w:rsidP="00534E63">
      <w:pPr>
        <w:pStyle w:val="ListParagraph"/>
        <w:numPr>
          <w:ilvl w:val="0"/>
          <w:numId w:val="28"/>
        </w:numPr>
        <w:spacing w:after="120" w:line="240" w:lineRule="auto"/>
        <w:ind w:left="568" w:hanging="284"/>
        <w:contextualSpacing w:val="0"/>
        <w:jc w:val="both"/>
      </w:pPr>
      <w:r>
        <w:lastRenderedPageBreak/>
        <w:t xml:space="preserve">The </w:t>
      </w:r>
      <w:r w:rsidRPr="00845AD4">
        <w:rPr>
          <w:b/>
        </w:rPr>
        <w:t>SGP</w:t>
      </w:r>
      <w:r>
        <w:t xml:space="preserve"> will implement t</w:t>
      </w:r>
      <w:r w:rsidR="00345F03">
        <w:t xml:space="preserve">he </w:t>
      </w:r>
      <w:r>
        <w:t xml:space="preserve">community grants as well as the policy/knowledge </w:t>
      </w:r>
      <w:r w:rsidR="00845AD4">
        <w:t>work</w:t>
      </w:r>
      <w:r w:rsidR="009E2F23">
        <w:t xml:space="preserve">, using </w:t>
      </w:r>
      <w:r w:rsidR="00345F03">
        <w:t xml:space="preserve">the existing </w:t>
      </w:r>
      <w:r w:rsidR="009E2F23">
        <w:t xml:space="preserve">SGP </w:t>
      </w:r>
      <w:r w:rsidR="00345F03">
        <w:t>operational architecture</w:t>
      </w:r>
      <w:r w:rsidR="009E2F23">
        <w:t xml:space="preserve">, </w:t>
      </w:r>
      <w:r>
        <w:t>w</w:t>
      </w:r>
      <w:r w:rsidR="00345F03">
        <w:t xml:space="preserve">hich </w:t>
      </w:r>
      <w:r>
        <w:t>has a proven record</w:t>
      </w:r>
      <w:r w:rsidR="009E2F23">
        <w:t xml:space="preserve"> of timely and effective implementation</w:t>
      </w:r>
      <w:r>
        <w:t xml:space="preserve"> (</w:t>
      </w:r>
      <w:r w:rsidR="009E2F23">
        <w:t xml:space="preserve">the </w:t>
      </w:r>
      <w:r w:rsidR="00781D47" w:rsidRPr="00781D47">
        <w:t xml:space="preserve">SGP </w:t>
      </w:r>
      <w:r w:rsidR="00845AD4">
        <w:t>may</w:t>
      </w:r>
      <w:r w:rsidR="00781D47" w:rsidRPr="00781D47">
        <w:t xml:space="preserve"> also provide matching grant funds</w:t>
      </w:r>
      <w:r w:rsidR="003E0C4F">
        <w:t xml:space="preserve"> to community projects</w:t>
      </w:r>
      <w:r w:rsidR="00845AD4">
        <w:t xml:space="preserve"> and national policy dialogues</w:t>
      </w:r>
      <w:r w:rsidR="00781D47" w:rsidRPr="00781D47">
        <w:t xml:space="preserve"> </w:t>
      </w:r>
      <w:r>
        <w:t xml:space="preserve">to </w:t>
      </w:r>
      <w:r w:rsidR="00781D47" w:rsidRPr="00781D47">
        <w:t>amplify impact</w:t>
      </w:r>
      <w:r w:rsidR="00845AD4">
        <w:t>, depending on GEF funding availability</w:t>
      </w:r>
      <w:r w:rsidR="003E0C4F">
        <w:t>)</w:t>
      </w:r>
      <w:r w:rsidR="00781D47" w:rsidRPr="00781D47">
        <w:t>.</w:t>
      </w:r>
    </w:p>
    <w:p w14:paraId="4D0A6838" w14:textId="2B7CAA70" w:rsidR="00A647E3" w:rsidRDefault="00345F03" w:rsidP="00845AD4">
      <w:pPr>
        <w:pStyle w:val="ListParagraph"/>
        <w:numPr>
          <w:ilvl w:val="0"/>
          <w:numId w:val="28"/>
        </w:numPr>
        <w:spacing w:after="0" w:line="240" w:lineRule="auto"/>
        <w:ind w:left="567" w:hanging="283"/>
        <w:jc w:val="both"/>
      </w:pPr>
      <w:r>
        <w:t xml:space="preserve">The </w:t>
      </w:r>
      <w:r w:rsidRPr="00845AD4">
        <w:rPr>
          <w:b/>
        </w:rPr>
        <w:t>UNDP Climate &amp; Forests Team</w:t>
      </w:r>
      <w:r>
        <w:t xml:space="preserve"> </w:t>
      </w:r>
      <w:r w:rsidR="00D41FAE">
        <w:t xml:space="preserve">(which sustains UN-REDD) </w:t>
      </w:r>
      <w:r>
        <w:t>will pr</w:t>
      </w:r>
      <w:r w:rsidR="00921DBD">
        <w:t>ovide technical advice</w:t>
      </w:r>
      <w:r w:rsidR="00845AD4">
        <w:t>,</w:t>
      </w:r>
      <w:r w:rsidR="00921DBD">
        <w:t xml:space="preserve"> a</w:t>
      </w:r>
      <w:r w:rsidR="009E2F23">
        <w:t xml:space="preserve">s well as </w:t>
      </w:r>
      <w:r w:rsidR="00921DBD">
        <w:t>nurtur</w:t>
      </w:r>
      <w:r w:rsidR="00845AD4">
        <w:t>ing</w:t>
      </w:r>
      <w:r w:rsidR="00921DBD">
        <w:t xml:space="preserve"> </w:t>
      </w:r>
      <w:r>
        <w:t xml:space="preserve">the policy alignment of CBR+ with national commitments and global </w:t>
      </w:r>
      <w:r w:rsidR="00F902C6">
        <w:t xml:space="preserve">processes </w:t>
      </w:r>
      <w:r w:rsidR="009A0DA0">
        <w:t>(</w:t>
      </w:r>
      <w:r w:rsidR="009A0DA0" w:rsidRPr="00845AD4">
        <w:rPr>
          <w:i/>
        </w:rPr>
        <w:t>e.g.</w:t>
      </w:r>
      <w:r w:rsidR="009A0DA0">
        <w:t xml:space="preserve">: </w:t>
      </w:r>
      <w:r w:rsidR="009E2F23">
        <w:t>link</w:t>
      </w:r>
      <w:r w:rsidR="00845AD4">
        <w:t>ing</w:t>
      </w:r>
      <w:r w:rsidR="009E2F23">
        <w:t xml:space="preserve"> with the </w:t>
      </w:r>
      <w:r w:rsidR="00F902C6">
        <w:t xml:space="preserve">LCIP Platform, </w:t>
      </w:r>
      <w:r w:rsidR="009E2F23">
        <w:t xml:space="preserve">the </w:t>
      </w:r>
      <w:r w:rsidR="003102F9" w:rsidRPr="003102F9">
        <w:t>NDC Partnership</w:t>
      </w:r>
      <w:r w:rsidR="009E2F23">
        <w:t xml:space="preserve"> and the </w:t>
      </w:r>
      <w:r w:rsidR="003102F9" w:rsidRPr="003102F9">
        <w:t xml:space="preserve">UNFCCC/UNDP </w:t>
      </w:r>
      <w:r w:rsidR="00F902C6">
        <w:t>NDC</w:t>
      </w:r>
      <w:r w:rsidR="003102F9">
        <w:t xml:space="preserve"> regional</w:t>
      </w:r>
      <w:r w:rsidR="00F902C6">
        <w:t xml:space="preserve"> dialogues)</w:t>
      </w:r>
      <w:r>
        <w:t>.</w:t>
      </w:r>
    </w:p>
    <w:bookmarkEnd w:id="8"/>
    <w:p w14:paraId="234D04D6" w14:textId="77777777" w:rsidR="00A647E3" w:rsidRDefault="00A647E3" w:rsidP="00DE1443">
      <w:pPr>
        <w:spacing w:after="0" w:line="240" w:lineRule="auto"/>
        <w:jc w:val="both"/>
      </w:pPr>
    </w:p>
    <w:p w14:paraId="5CBF4D13" w14:textId="75D807F8" w:rsidR="00964EDD" w:rsidRPr="00475283" w:rsidRDefault="003B4AFC" w:rsidP="00DE1443">
      <w:pPr>
        <w:spacing w:after="0" w:line="240" w:lineRule="auto"/>
        <w:jc w:val="both"/>
      </w:pPr>
      <w:r w:rsidRPr="00475283">
        <w:t xml:space="preserve">At the </w:t>
      </w:r>
      <w:r w:rsidRPr="005372E6">
        <w:rPr>
          <w:b/>
        </w:rPr>
        <w:t>country level</w:t>
      </w:r>
      <w:r w:rsidRPr="00475283">
        <w:t xml:space="preserve">, operations </w:t>
      </w:r>
      <w:r w:rsidR="009A0DA0">
        <w:t xml:space="preserve">will </w:t>
      </w:r>
      <w:r w:rsidRPr="00475283">
        <w:t xml:space="preserve">follow the well-tuned </w:t>
      </w:r>
      <w:r w:rsidRPr="009E2F23">
        <w:t>SGP systems and procedures, with some adjustments to genuinely respond to the</w:t>
      </w:r>
      <w:r w:rsidR="003E0C4F">
        <w:t xml:space="preserve"> technical focus and participatory</w:t>
      </w:r>
      <w:r w:rsidRPr="009E2F23">
        <w:t xml:space="preserve"> features of REDD+</w:t>
      </w:r>
      <w:r w:rsidR="00845AD4">
        <w:t xml:space="preserve">, both in terms of international provisions (UNFCCC, </w:t>
      </w:r>
      <w:r w:rsidR="00534E63">
        <w:t xml:space="preserve">the </w:t>
      </w:r>
      <w:r w:rsidR="00845AD4" w:rsidRPr="00534E63">
        <w:rPr>
          <w:i/>
        </w:rPr>
        <w:t>Paris Agreement</w:t>
      </w:r>
      <w:r w:rsidR="00845AD4">
        <w:t>) and national policy (REDD+ strategies, NDCs)</w:t>
      </w:r>
      <w:r w:rsidRPr="009E2F23">
        <w:t xml:space="preserve">. </w:t>
      </w:r>
      <w:r w:rsidR="003E0C4F">
        <w:t xml:space="preserve">Building off existing SGP institutional structures, </w:t>
      </w:r>
      <w:r w:rsidR="00534E63">
        <w:t>n</w:t>
      </w:r>
      <w:r w:rsidRPr="009E2F23">
        <w:t>ational steering committees (NSC</w:t>
      </w:r>
      <w:r w:rsidR="00345F03" w:rsidRPr="009E2F23">
        <w:t>s</w:t>
      </w:r>
      <w:r w:rsidRPr="009E2F23">
        <w:t>)</w:t>
      </w:r>
      <w:r w:rsidR="00345F03" w:rsidRPr="009E2F23">
        <w:t xml:space="preserve"> </w:t>
      </w:r>
      <w:r w:rsidR="009E2F23">
        <w:t>will be</w:t>
      </w:r>
      <w:r w:rsidR="00345F03" w:rsidRPr="009E2F23">
        <w:t xml:space="preserve"> established in each country to govern the initiative: they </w:t>
      </w:r>
      <w:r w:rsidRPr="009E2F23">
        <w:t>are multi-stakeholder in composition</w:t>
      </w:r>
      <w:r w:rsidR="005372E6" w:rsidRPr="009E2F23">
        <w:t>, with governmental and indigenous &amp; communi</w:t>
      </w:r>
      <w:r w:rsidR="005372E6">
        <w:t xml:space="preserve">ty stakeholders, as well as independent </w:t>
      </w:r>
      <w:r w:rsidRPr="00475283">
        <w:t>experts.</w:t>
      </w:r>
      <w:r w:rsidR="00345F03">
        <w:t xml:space="preserve"> </w:t>
      </w:r>
      <w:r w:rsidR="00964EDD" w:rsidRPr="00475283">
        <w:t>The CBR+/NSC</w:t>
      </w:r>
      <w:r w:rsidR="00345F03">
        <w:t>s</w:t>
      </w:r>
      <w:r w:rsidR="00B42747" w:rsidRPr="00475283">
        <w:t xml:space="preserve"> </w:t>
      </w:r>
      <w:r w:rsidR="00964EDD" w:rsidRPr="00475283">
        <w:t>provide overall guidance to the CBR+ initiative in the</w:t>
      </w:r>
      <w:r w:rsidR="00B42747" w:rsidRPr="00475283">
        <w:t xml:space="preserve"> </w:t>
      </w:r>
      <w:r w:rsidR="00964EDD" w:rsidRPr="00475283">
        <w:t>country, including</w:t>
      </w:r>
      <w:r w:rsidR="005372E6">
        <w:t>:</w:t>
      </w:r>
      <w:r w:rsidR="00964EDD" w:rsidRPr="00475283">
        <w:t xml:space="preserve"> </w:t>
      </w:r>
      <w:r w:rsidR="00345F03">
        <w:t xml:space="preserve">adopting the national plan, setting criteria, </w:t>
      </w:r>
      <w:r w:rsidR="00964EDD" w:rsidRPr="00475283">
        <w:t>reviewing proposals</w:t>
      </w:r>
      <w:r w:rsidR="00345F03">
        <w:t xml:space="preserve">, </w:t>
      </w:r>
      <w:r w:rsidR="00964EDD" w:rsidRPr="00475283">
        <w:t>selecting the</w:t>
      </w:r>
      <w:r w:rsidR="00B42747" w:rsidRPr="00475283">
        <w:t xml:space="preserve"> b</w:t>
      </w:r>
      <w:r w:rsidR="00964EDD" w:rsidRPr="00475283">
        <w:t>eneficiary projects</w:t>
      </w:r>
      <w:r w:rsidR="00345F03">
        <w:t xml:space="preserve"> and providing oversight</w:t>
      </w:r>
      <w:r w:rsidR="00964EDD" w:rsidRPr="00475283">
        <w:t>.</w:t>
      </w:r>
      <w:r w:rsidR="00B42747" w:rsidRPr="00475283">
        <w:t xml:space="preserve"> </w:t>
      </w:r>
      <w:r w:rsidR="00345F03">
        <w:t xml:space="preserve">The </w:t>
      </w:r>
      <w:r w:rsidR="00964EDD" w:rsidRPr="00475283">
        <w:t>National Plan for CBR+</w:t>
      </w:r>
      <w:r w:rsidR="00345F03">
        <w:t>, which i</w:t>
      </w:r>
      <w:r w:rsidR="00964EDD" w:rsidRPr="00475283">
        <w:t>s designed through</w:t>
      </w:r>
      <w:r w:rsidR="00B42747" w:rsidRPr="00475283">
        <w:t xml:space="preserve"> </w:t>
      </w:r>
      <w:r w:rsidR="00345F03">
        <w:t xml:space="preserve">stakeholder </w:t>
      </w:r>
      <w:r w:rsidR="00964EDD" w:rsidRPr="00475283">
        <w:t>consultation</w:t>
      </w:r>
      <w:r w:rsidR="00345F03">
        <w:t>s</w:t>
      </w:r>
      <w:r w:rsidR="00964EDD" w:rsidRPr="00475283">
        <w:t xml:space="preserve"> and adopted by the</w:t>
      </w:r>
      <w:r w:rsidR="00B42747" w:rsidRPr="00475283">
        <w:t xml:space="preserve"> </w:t>
      </w:r>
      <w:r w:rsidR="00964EDD" w:rsidRPr="00475283">
        <w:t>CBR+/NSC</w:t>
      </w:r>
      <w:r w:rsidR="00345F03">
        <w:t xml:space="preserve">s, </w:t>
      </w:r>
      <w:r w:rsidR="00964EDD" w:rsidRPr="00475283">
        <w:t xml:space="preserve">provides </w:t>
      </w:r>
      <w:r w:rsidR="00345F03">
        <w:t xml:space="preserve">the national framework to </w:t>
      </w:r>
      <w:r w:rsidR="00964EDD" w:rsidRPr="00475283">
        <w:t>guid</w:t>
      </w:r>
      <w:r w:rsidR="00345F03">
        <w:t xml:space="preserve">e </w:t>
      </w:r>
      <w:r w:rsidR="00964EDD" w:rsidRPr="00475283">
        <w:t xml:space="preserve">the </w:t>
      </w:r>
      <w:r w:rsidR="00345F03">
        <w:t>purpose, criteria an</w:t>
      </w:r>
      <w:r w:rsidR="00964EDD" w:rsidRPr="00475283">
        <w:t xml:space="preserve">d selection </w:t>
      </w:r>
      <w:r w:rsidR="00345F03">
        <w:t xml:space="preserve">process </w:t>
      </w:r>
      <w:r w:rsidR="00964EDD" w:rsidRPr="00475283">
        <w:t>of CBR+ proposals,</w:t>
      </w:r>
      <w:r w:rsidR="00B42747" w:rsidRPr="00475283">
        <w:t xml:space="preserve"> </w:t>
      </w:r>
      <w:r w:rsidR="00964EDD" w:rsidRPr="00475283">
        <w:t>ensuring synergies between local initiatives and national</w:t>
      </w:r>
      <w:r w:rsidR="00B42747" w:rsidRPr="00475283">
        <w:t xml:space="preserve"> </w:t>
      </w:r>
      <w:r w:rsidR="00345F03">
        <w:t>policy</w:t>
      </w:r>
      <w:r w:rsidR="00964EDD" w:rsidRPr="00475283">
        <w:t>.</w:t>
      </w:r>
      <w:r w:rsidR="00B42747" w:rsidRPr="00475283">
        <w:t xml:space="preserve"> </w:t>
      </w:r>
      <w:r w:rsidR="00345F03">
        <w:t>In each beneficiary country, calls f</w:t>
      </w:r>
      <w:r w:rsidR="00964EDD" w:rsidRPr="00475283">
        <w:t xml:space="preserve">or proposals </w:t>
      </w:r>
      <w:r w:rsidR="00345F03">
        <w:t xml:space="preserve">are </w:t>
      </w:r>
      <w:r w:rsidR="00964EDD" w:rsidRPr="00475283">
        <w:t>issued in line with the National</w:t>
      </w:r>
      <w:r w:rsidR="00B42747" w:rsidRPr="00475283">
        <w:t xml:space="preserve"> </w:t>
      </w:r>
      <w:r w:rsidR="00964EDD" w:rsidRPr="00475283">
        <w:t>Plan for CBR+ and following SGP procedures. Capacity building is given to potential grant applicants</w:t>
      </w:r>
      <w:r w:rsidR="00B42747" w:rsidRPr="00475283">
        <w:t xml:space="preserve"> </w:t>
      </w:r>
      <w:r w:rsidR="00964EDD" w:rsidRPr="00475283">
        <w:t>to help them develop and submit proposals</w:t>
      </w:r>
      <w:r w:rsidR="00345F03">
        <w:t xml:space="preserve"> that are technical</w:t>
      </w:r>
      <w:r w:rsidR="00FD4D16">
        <w:t>ly</w:t>
      </w:r>
      <w:r w:rsidR="00345F03">
        <w:t xml:space="preserve"> sound and viable</w:t>
      </w:r>
      <w:r w:rsidR="00964EDD" w:rsidRPr="00475283">
        <w:t>. Typically, CBR+ delivers small grants (</w:t>
      </w:r>
      <w:r w:rsidR="003C280F">
        <w:t>up to</w:t>
      </w:r>
      <w:r w:rsidR="005372E6">
        <w:t xml:space="preserve"> </w:t>
      </w:r>
      <w:r w:rsidR="00964EDD" w:rsidRPr="00475283">
        <w:t>USD 50,000</w:t>
      </w:r>
      <w:r w:rsidR="003C280F">
        <w:t xml:space="preserve"> with the possibility of higher grants if well justified</w:t>
      </w:r>
      <w:r w:rsidR="00964EDD" w:rsidRPr="00475283">
        <w:t>)</w:t>
      </w:r>
      <w:r w:rsidR="00B42747" w:rsidRPr="00475283">
        <w:t xml:space="preserve"> </w:t>
      </w:r>
      <w:r w:rsidR="00964EDD" w:rsidRPr="00475283">
        <w:t>directly to indigenous peoples and forest communities</w:t>
      </w:r>
      <w:r w:rsidR="00B42747" w:rsidRPr="00475283">
        <w:t xml:space="preserve"> </w:t>
      </w:r>
      <w:r w:rsidR="00964EDD" w:rsidRPr="00475283">
        <w:t xml:space="preserve">for REDD+ action. </w:t>
      </w:r>
      <w:r w:rsidR="00345F03">
        <w:t xml:space="preserve">The </w:t>
      </w:r>
      <w:r w:rsidR="00964EDD" w:rsidRPr="00475283">
        <w:t>SGP and UN-REDD specialists guide and monitor the</w:t>
      </w:r>
      <w:r w:rsidR="00B42747" w:rsidRPr="00475283">
        <w:t xml:space="preserve"> </w:t>
      </w:r>
      <w:r w:rsidR="00964EDD" w:rsidRPr="00475283">
        <w:t xml:space="preserve">implementation of CBR+ projects. </w:t>
      </w:r>
      <w:r w:rsidR="00DF4B85">
        <w:t xml:space="preserve">Synergies and collaboration with other similar initiatives, such as the Tenure Facility's country projects and the World Bank's DGM, will be scoped and integrated in the country CBR+ plans, in order to exploit complementarities, share lessons and enhance </w:t>
      </w:r>
      <w:r w:rsidR="00F0155D">
        <w:t xml:space="preserve">the </w:t>
      </w:r>
      <w:r w:rsidR="00DF4B85">
        <w:t xml:space="preserve">policy effects. </w:t>
      </w:r>
      <w:r w:rsidR="00964EDD" w:rsidRPr="00475283">
        <w:t>On completion of the CBR+ grant, lessons are shared with REDD+</w:t>
      </w:r>
      <w:r w:rsidR="00B42747" w:rsidRPr="00475283">
        <w:t xml:space="preserve"> </w:t>
      </w:r>
      <w:r w:rsidR="00964EDD" w:rsidRPr="00475283">
        <w:t>decision-makers in order to influence REDD+ policy</w:t>
      </w:r>
      <w:r w:rsidR="00B42747" w:rsidRPr="00475283">
        <w:t xml:space="preserve"> </w:t>
      </w:r>
      <w:r w:rsidR="005372E6">
        <w:t xml:space="preserve">nationally </w:t>
      </w:r>
      <w:r w:rsidR="00964EDD" w:rsidRPr="00475283">
        <w:t xml:space="preserve">and </w:t>
      </w:r>
      <w:r w:rsidR="005372E6">
        <w:t xml:space="preserve">further </w:t>
      </w:r>
      <w:r w:rsidR="00964EDD" w:rsidRPr="00475283">
        <w:t>action on the ground.</w:t>
      </w:r>
    </w:p>
    <w:p w14:paraId="31FCA8BF" w14:textId="77777777" w:rsidR="000128B7" w:rsidRDefault="000128B7" w:rsidP="00DE1443">
      <w:pPr>
        <w:spacing w:after="0" w:line="240" w:lineRule="auto"/>
        <w:jc w:val="both"/>
      </w:pPr>
    </w:p>
    <w:p w14:paraId="44E26EDE" w14:textId="2731AD4D" w:rsidR="00EB30BB" w:rsidRDefault="00345F03" w:rsidP="00DE1443">
      <w:pPr>
        <w:spacing w:after="0" w:line="240" w:lineRule="auto"/>
        <w:jc w:val="both"/>
      </w:pPr>
      <w:r>
        <w:t xml:space="preserve">For the </w:t>
      </w:r>
      <w:r w:rsidR="009E2F23" w:rsidRPr="009E2F23">
        <w:rPr>
          <w:b/>
        </w:rPr>
        <w:t>knowledge</w:t>
      </w:r>
      <w:r w:rsidRPr="009E2F23">
        <w:rPr>
          <w:b/>
        </w:rPr>
        <w:t xml:space="preserve"> stream</w:t>
      </w:r>
      <w:r>
        <w:t xml:space="preserve">, </w:t>
      </w:r>
      <w:r w:rsidR="005372E6">
        <w:t xml:space="preserve">a </w:t>
      </w:r>
      <w:r>
        <w:t>partnership</w:t>
      </w:r>
      <w:r w:rsidR="005372E6">
        <w:t xml:space="preserve"> collaboration </w:t>
      </w:r>
      <w:r>
        <w:t xml:space="preserve">with the UNFCCC Secretariat, </w:t>
      </w:r>
      <w:r w:rsidR="009E2F23">
        <w:t xml:space="preserve">the </w:t>
      </w:r>
      <w:r>
        <w:t>NDC platforms</w:t>
      </w:r>
      <w:r w:rsidR="00DF4B85">
        <w:t>, the Tenure Facility</w:t>
      </w:r>
      <w:r>
        <w:t xml:space="preserve"> and </w:t>
      </w:r>
      <w:r w:rsidR="00DF4B85">
        <w:t>various</w:t>
      </w:r>
      <w:r w:rsidR="009E2F23">
        <w:t xml:space="preserve"> </w:t>
      </w:r>
      <w:r>
        <w:t>global</w:t>
      </w:r>
      <w:r w:rsidR="00DF4B85">
        <w:t>/regional</w:t>
      </w:r>
      <w:r>
        <w:t xml:space="preserve"> networks of indigenous peoples will be established to coordinate actions and enhance synergies.</w:t>
      </w:r>
    </w:p>
    <w:p w14:paraId="3DC41F6D" w14:textId="77777777" w:rsidR="00453D8C" w:rsidRDefault="00453D8C" w:rsidP="00DE1443">
      <w:pPr>
        <w:spacing w:after="0" w:line="240" w:lineRule="auto"/>
        <w:jc w:val="both"/>
      </w:pPr>
    </w:p>
    <w:p w14:paraId="27F67E34" w14:textId="37C5C0AF" w:rsidR="00453D8C" w:rsidRDefault="00453D8C" w:rsidP="00DE1443">
      <w:pPr>
        <w:spacing w:after="0" w:line="240" w:lineRule="auto"/>
        <w:jc w:val="both"/>
      </w:pPr>
      <w:r w:rsidRPr="00453D8C">
        <w:t xml:space="preserve">The </w:t>
      </w:r>
      <w:r w:rsidRPr="00453D8C">
        <w:rPr>
          <w:b/>
        </w:rPr>
        <w:t>UNDP Climate &amp; Forests Team</w:t>
      </w:r>
      <w:r w:rsidRPr="00453D8C">
        <w:t xml:space="preserve"> has the expertise and experience in building and helping manage alliances between governments and indigenous/forest peoples. It is perceived as an impartial agent that can convene different stakeholders and facilitate their work towards co-operation, partnership, consensus and participatory governance. The Team</w:t>
      </w:r>
      <w:r>
        <w:t xml:space="preserve">, deployed across regions, </w:t>
      </w:r>
      <w:r w:rsidRPr="00453D8C">
        <w:t xml:space="preserve">is able to rapidly provide countries with a mix of capacity building, soft diplomacy, support to policy dialogue, facilitation of consensus, assisting governments with complex national reforms and </w:t>
      </w:r>
      <w:r w:rsidR="005372E6">
        <w:t>guiding</w:t>
      </w:r>
      <w:r w:rsidRPr="00453D8C">
        <w:t xml:space="preserve"> community funds to engage the grassroots. In addition, the UNDP </w:t>
      </w:r>
      <w:r>
        <w:t xml:space="preserve">Climate &amp; Forests </w:t>
      </w:r>
      <w:r w:rsidRPr="00453D8C">
        <w:t xml:space="preserve">Team is at the core of key international REDD+ initiatives, including </w:t>
      </w:r>
      <w:r w:rsidR="00FD4D16">
        <w:t xml:space="preserve">as </w:t>
      </w:r>
      <w:r w:rsidRPr="00453D8C">
        <w:t xml:space="preserve">a founding and management partner of UN-REDD, originator of the CBR+ initiative, a delivery partner of the FCPF, a co-financing partner of the GCP and, not least, a partner in the implementation of </w:t>
      </w:r>
      <w:r>
        <w:t>various</w:t>
      </w:r>
      <w:r w:rsidRPr="00453D8C">
        <w:t xml:space="preserve"> </w:t>
      </w:r>
      <w:r>
        <w:t xml:space="preserve">multilateral and </w:t>
      </w:r>
      <w:r w:rsidRPr="00453D8C">
        <w:t xml:space="preserve">bilateral agreements for REDD+ </w:t>
      </w:r>
      <w:r>
        <w:t>(</w:t>
      </w:r>
      <w:r w:rsidRPr="00DA0B18">
        <w:rPr>
          <w:i/>
        </w:rPr>
        <w:t>e.g.</w:t>
      </w:r>
      <w:r w:rsidR="00DA0B18">
        <w:t>:</w:t>
      </w:r>
      <w:r>
        <w:t xml:space="preserve"> Peru</w:t>
      </w:r>
      <w:r w:rsidR="005372E6">
        <w:t>/JDI</w:t>
      </w:r>
      <w:r>
        <w:t>, CAFI, DRC</w:t>
      </w:r>
      <w:r w:rsidR="00C868F7">
        <w:t>/</w:t>
      </w:r>
      <w:r>
        <w:t>FONAREDD).</w:t>
      </w:r>
    </w:p>
    <w:p w14:paraId="387DB871" w14:textId="4A1989BD" w:rsidR="001778BE" w:rsidRDefault="001778BE" w:rsidP="00DE1443">
      <w:pPr>
        <w:spacing w:after="0" w:line="240" w:lineRule="auto"/>
        <w:jc w:val="both"/>
      </w:pPr>
    </w:p>
    <w:p w14:paraId="50C5E476" w14:textId="1F2EB167" w:rsidR="001778BE" w:rsidRDefault="001778BE" w:rsidP="001778BE">
      <w:pPr>
        <w:spacing w:after="0" w:line="240" w:lineRule="auto"/>
        <w:jc w:val="center"/>
      </w:pPr>
    </w:p>
    <w:p w14:paraId="3654500E" w14:textId="77777777" w:rsidR="00EB30BB" w:rsidRDefault="00EB30BB" w:rsidP="00DE1443">
      <w:pPr>
        <w:spacing w:after="0" w:line="240" w:lineRule="auto"/>
      </w:pPr>
      <w:r>
        <w:br w:type="page"/>
      </w:r>
    </w:p>
    <w:p w14:paraId="5B9007A5" w14:textId="77777777" w:rsidR="00EB30BB" w:rsidRPr="00475283" w:rsidRDefault="00EB30BB" w:rsidP="005B23FA">
      <w:pPr>
        <w:pStyle w:val="Heading1"/>
        <w:jc w:val="center"/>
      </w:pPr>
      <w:bookmarkStart w:id="9" w:name="_Toc10457060"/>
      <w:r>
        <w:lastRenderedPageBreak/>
        <w:t xml:space="preserve">Annex </w:t>
      </w:r>
      <w:r w:rsidR="005B23FA">
        <w:t xml:space="preserve">1. </w:t>
      </w:r>
      <w:r w:rsidRPr="00475283">
        <w:t>Synthesis of CBR+ projects</w:t>
      </w:r>
      <w:r w:rsidR="00425BEF">
        <w:t>, activities</w:t>
      </w:r>
      <w:r w:rsidRPr="00475283">
        <w:t xml:space="preserve"> and delivery (201</w:t>
      </w:r>
      <w:r w:rsidR="005B23FA">
        <w:t>4</w:t>
      </w:r>
      <w:r w:rsidRPr="00475283">
        <w:t>-2017)</w:t>
      </w:r>
      <w:bookmarkEnd w:id="9"/>
    </w:p>
    <w:p w14:paraId="3F82279F" w14:textId="7A3F6489" w:rsidR="00EB30BB" w:rsidRDefault="00EB30BB" w:rsidP="00EB30BB">
      <w:pPr>
        <w:spacing w:after="0" w:line="240" w:lineRule="auto"/>
      </w:pPr>
    </w:p>
    <w:p w14:paraId="6D00CFAE" w14:textId="77777777" w:rsidR="00BD3558" w:rsidRPr="00475283" w:rsidRDefault="00BD3558" w:rsidP="00EB30BB">
      <w:pPr>
        <w:spacing w:after="0" w:line="240" w:lineRule="auto"/>
      </w:pP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66"/>
        <w:gridCol w:w="1358"/>
        <w:gridCol w:w="4719"/>
        <w:gridCol w:w="1445"/>
      </w:tblGrid>
      <w:tr w:rsidR="00EB30BB" w:rsidRPr="00475283" w14:paraId="3489B234" w14:textId="77777777" w:rsidTr="00F14DF5">
        <w:trPr>
          <w:trHeight w:val="300"/>
          <w:tblHeader/>
          <w:jc w:val="center"/>
        </w:trPr>
        <w:tc>
          <w:tcPr>
            <w:tcW w:w="1266" w:type="dxa"/>
            <w:shd w:val="clear" w:color="auto" w:fill="C5D9F1"/>
            <w:noWrap/>
            <w:tcMar>
              <w:top w:w="57" w:type="dxa"/>
              <w:left w:w="85" w:type="dxa"/>
              <w:bottom w:w="57" w:type="dxa"/>
              <w:right w:w="85" w:type="dxa"/>
            </w:tcMar>
            <w:vAlign w:val="center"/>
            <w:hideMark/>
          </w:tcPr>
          <w:p w14:paraId="7F36E110" w14:textId="77777777" w:rsidR="00EB30BB" w:rsidRPr="00475283" w:rsidRDefault="00EB30BB" w:rsidP="00F14DF5">
            <w:pPr>
              <w:spacing w:after="0" w:line="240" w:lineRule="auto"/>
              <w:jc w:val="center"/>
              <w:rPr>
                <w:rFonts w:eastAsia="Calibri" w:cs="Calibri"/>
                <w:b/>
                <w:bCs/>
                <w:color w:val="000000"/>
                <w:sz w:val="20"/>
                <w:szCs w:val="20"/>
              </w:rPr>
            </w:pPr>
            <w:r w:rsidRPr="00475283">
              <w:rPr>
                <w:rFonts w:eastAsia="Calibri" w:cs="Calibri"/>
                <w:b/>
                <w:bCs/>
                <w:color w:val="000000"/>
                <w:sz w:val="20"/>
                <w:szCs w:val="20"/>
              </w:rPr>
              <w:t>CBR+ components</w:t>
            </w:r>
          </w:p>
        </w:tc>
        <w:tc>
          <w:tcPr>
            <w:tcW w:w="1358" w:type="dxa"/>
            <w:shd w:val="clear" w:color="auto" w:fill="C5D9F1"/>
            <w:tcMar>
              <w:top w:w="57" w:type="dxa"/>
              <w:left w:w="85" w:type="dxa"/>
              <w:bottom w:w="57" w:type="dxa"/>
              <w:right w:w="85" w:type="dxa"/>
            </w:tcMar>
            <w:vAlign w:val="center"/>
          </w:tcPr>
          <w:p w14:paraId="77652F00" w14:textId="77777777" w:rsidR="00EB30BB" w:rsidRPr="00475283" w:rsidRDefault="00EB30BB" w:rsidP="00F14DF5">
            <w:pPr>
              <w:spacing w:after="0" w:line="240" w:lineRule="auto"/>
              <w:jc w:val="center"/>
              <w:rPr>
                <w:rFonts w:eastAsia="Calibri" w:cs="Calibri"/>
                <w:b/>
                <w:bCs/>
                <w:color w:val="000000"/>
                <w:sz w:val="20"/>
                <w:szCs w:val="20"/>
              </w:rPr>
            </w:pPr>
            <w:r w:rsidRPr="00475283">
              <w:rPr>
                <w:rFonts w:eastAsia="Calibri" w:cs="Calibri"/>
                <w:b/>
                <w:bCs/>
                <w:color w:val="000000"/>
                <w:sz w:val="20"/>
                <w:szCs w:val="20"/>
              </w:rPr>
              <w:t xml:space="preserve">Number of </w:t>
            </w:r>
            <w:r w:rsidR="00425BEF">
              <w:rPr>
                <w:rFonts w:eastAsia="Calibri" w:cs="Calibri"/>
                <w:b/>
                <w:bCs/>
                <w:color w:val="000000"/>
                <w:sz w:val="20"/>
                <w:szCs w:val="20"/>
              </w:rPr>
              <w:t xml:space="preserve">community </w:t>
            </w:r>
            <w:r w:rsidRPr="00475283">
              <w:rPr>
                <w:rFonts w:eastAsia="Calibri" w:cs="Calibri"/>
                <w:b/>
                <w:bCs/>
                <w:color w:val="000000"/>
                <w:sz w:val="20"/>
                <w:szCs w:val="20"/>
              </w:rPr>
              <w:t>projects</w:t>
            </w:r>
          </w:p>
        </w:tc>
        <w:tc>
          <w:tcPr>
            <w:tcW w:w="4719" w:type="dxa"/>
            <w:shd w:val="clear" w:color="auto" w:fill="C5D9F1"/>
            <w:tcMar>
              <w:top w:w="57" w:type="dxa"/>
              <w:left w:w="85" w:type="dxa"/>
              <w:bottom w:w="57" w:type="dxa"/>
              <w:right w:w="85" w:type="dxa"/>
            </w:tcMar>
          </w:tcPr>
          <w:p w14:paraId="7FC90D81" w14:textId="77777777" w:rsidR="00EB30BB" w:rsidRPr="00475283" w:rsidRDefault="00EB30BB" w:rsidP="00F14DF5">
            <w:pPr>
              <w:spacing w:after="0" w:line="240" w:lineRule="auto"/>
              <w:jc w:val="center"/>
              <w:rPr>
                <w:rFonts w:eastAsia="Calibri" w:cs="Calibri"/>
                <w:b/>
                <w:bCs/>
                <w:color w:val="000000"/>
                <w:sz w:val="20"/>
                <w:szCs w:val="20"/>
              </w:rPr>
            </w:pPr>
            <w:r w:rsidRPr="00475283">
              <w:rPr>
                <w:rFonts w:eastAsia="Calibri" w:cs="Calibri"/>
                <w:b/>
                <w:bCs/>
                <w:color w:val="000000"/>
                <w:sz w:val="20"/>
                <w:szCs w:val="20"/>
              </w:rPr>
              <w:t>Other CBR+ activities</w:t>
            </w:r>
          </w:p>
          <w:p w14:paraId="5F180D77" w14:textId="77777777" w:rsidR="00425BEF" w:rsidRDefault="00EB30BB" w:rsidP="00F14DF5">
            <w:pPr>
              <w:spacing w:after="0" w:line="240" w:lineRule="auto"/>
              <w:jc w:val="center"/>
              <w:rPr>
                <w:rFonts w:eastAsia="Calibri" w:cs="Calibri"/>
                <w:bCs/>
                <w:i/>
                <w:color w:val="000000"/>
                <w:sz w:val="20"/>
                <w:szCs w:val="20"/>
              </w:rPr>
            </w:pPr>
            <w:r w:rsidRPr="00475283">
              <w:rPr>
                <w:rFonts w:eastAsia="Calibri" w:cs="Calibri"/>
                <w:bCs/>
                <w:i/>
                <w:color w:val="000000"/>
                <w:sz w:val="20"/>
                <w:szCs w:val="20"/>
              </w:rPr>
              <w:t>(in addition to planning</w:t>
            </w:r>
            <w:r w:rsidR="00F74871">
              <w:rPr>
                <w:rFonts w:eastAsia="Calibri" w:cs="Calibri"/>
                <w:bCs/>
                <w:i/>
                <w:color w:val="000000"/>
                <w:sz w:val="20"/>
                <w:szCs w:val="20"/>
              </w:rPr>
              <w:t xml:space="preserve">, </w:t>
            </w:r>
            <w:r w:rsidRPr="00475283">
              <w:rPr>
                <w:rFonts w:eastAsia="Calibri" w:cs="Calibri"/>
                <w:bCs/>
                <w:i/>
                <w:color w:val="000000"/>
                <w:sz w:val="20"/>
                <w:szCs w:val="20"/>
              </w:rPr>
              <w:t>coordination</w:t>
            </w:r>
          </w:p>
          <w:p w14:paraId="38C974F5" w14:textId="77777777" w:rsidR="00EB30BB" w:rsidRPr="00475283" w:rsidRDefault="00F74871" w:rsidP="00F14DF5">
            <w:pPr>
              <w:spacing w:after="0" w:line="240" w:lineRule="auto"/>
              <w:jc w:val="center"/>
              <w:rPr>
                <w:rFonts w:eastAsia="Calibri" w:cs="Calibri"/>
                <w:bCs/>
                <w:i/>
                <w:color w:val="000000"/>
                <w:sz w:val="20"/>
                <w:szCs w:val="20"/>
              </w:rPr>
            </w:pPr>
            <w:r>
              <w:rPr>
                <w:rFonts w:eastAsia="Calibri" w:cs="Calibri"/>
                <w:bCs/>
                <w:i/>
                <w:color w:val="000000"/>
                <w:sz w:val="20"/>
                <w:szCs w:val="20"/>
              </w:rPr>
              <w:t>and grant</w:t>
            </w:r>
            <w:r w:rsidR="00425BEF">
              <w:rPr>
                <w:rFonts w:eastAsia="Calibri" w:cs="Calibri"/>
                <w:bCs/>
                <w:i/>
                <w:color w:val="000000"/>
                <w:sz w:val="20"/>
                <w:szCs w:val="20"/>
              </w:rPr>
              <w:t xml:space="preserve"> management</w:t>
            </w:r>
            <w:r w:rsidR="00EB30BB" w:rsidRPr="00475283">
              <w:rPr>
                <w:rFonts w:eastAsia="Calibri" w:cs="Calibri"/>
                <w:bCs/>
                <w:i/>
                <w:color w:val="000000"/>
                <w:sz w:val="20"/>
                <w:szCs w:val="20"/>
              </w:rPr>
              <w:t>)</w:t>
            </w:r>
          </w:p>
        </w:tc>
        <w:tc>
          <w:tcPr>
            <w:tcW w:w="1445" w:type="dxa"/>
            <w:shd w:val="clear" w:color="auto" w:fill="C5D9F1"/>
            <w:noWrap/>
            <w:tcMar>
              <w:top w:w="57" w:type="dxa"/>
              <w:left w:w="85" w:type="dxa"/>
              <w:bottom w:w="57" w:type="dxa"/>
              <w:right w:w="85" w:type="dxa"/>
            </w:tcMar>
            <w:vAlign w:val="center"/>
            <w:hideMark/>
          </w:tcPr>
          <w:p w14:paraId="2398B5F8" w14:textId="77777777" w:rsidR="00EB30BB" w:rsidRPr="00475283" w:rsidRDefault="00EB30BB" w:rsidP="00F14DF5">
            <w:pPr>
              <w:spacing w:after="0" w:line="240" w:lineRule="auto"/>
              <w:jc w:val="center"/>
              <w:rPr>
                <w:rFonts w:eastAsia="Calibri" w:cs="Calibri"/>
                <w:b/>
                <w:bCs/>
                <w:color w:val="000000"/>
                <w:sz w:val="20"/>
                <w:szCs w:val="20"/>
              </w:rPr>
            </w:pPr>
            <w:r w:rsidRPr="00475283">
              <w:rPr>
                <w:rFonts w:eastAsia="Calibri" w:cs="Calibri"/>
                <w:b/>
                <w:bCs/>
                <w:color w:val="000000"/>
                <w:sz w:val="20"/>
                <w:szCs w:val="20"/>
              </w:rPr>
              <w:t>CBR+ delivery (USD)</w:t>
            </w:r>
          </w:p>
        </w:tc>
      </w:tr>
      <w:tr w:rsidR="00EB30BB" w:rsidRPr="00475283" w14:paraId="031B73A9" w14:textId="77777777" w:rsidTr="00F14DF5">
        <w:trPr>
          <w:trHeight w:val="300"/>
          <w:jc w:val="center"/>
        </w:trPr>
        <w:tc>
          <w:tcPr>
            <w:tcW w:w="1266" w:type="dxa"/>
            <w:noWrap/>
            <w:tcMar>
              <w:top w:w="57" w:type="dxa"/>
              <w:left w:w="85" w:type="dxa"/>
              <w:bottom w:w="57" w:type="dxa"/>
              <w:right w:w="85" w:type="dxa"/>
            </w:tcMar>
            <w:vAlign w:val="center"/>
            <w:hideMark/>
          </w:tcPr>
          <w:p w14:paraId="218636D4" w14:textId="77777777" w:rsidR="00EB30BB" w:rsidRPr="00475283" w:rsidRDefault="00EB30BB" w:rsidP="00F14DF5">
            <w:pPr>
              <w:spacing w:after="0" w:line="240" w:lineRule="auto"/>
              <w:rPr>
                <w:rFonts w:eastAsia="Calibri" w:cs="Calibri"/>
                <w:color w:val="000000"/>
                <w:sz w:val="20"/>
                <w:szCs w:val="20"/>
              </w:rPr>
            </w:pPr>
            <w:r w:rsidRPr="00475283">
              <w:rPr>
                <w:rFonts w:eastAsia="Calibri" w:cs="Calibri"/>
                <w:color w:val="000000"/>
                <w:sz w:val="20"/>
                <w:szCs w:val="20"/>
              </w:rPr>
              <w:t>Cambodia</w:t>
            </w:r>
          </w:p>
        </w:tc>
        <w:tc>
          <w:tcPr>
            <w:tcW w:w="1358" w:type="dxa"/>
            <w:tcMar>
              <w:top w:w="57" w:type="dxa"/>
              <w:left w:w="85" w:type="dxa"/>
              <w:bottom w:w="57" w:type="dxa"/>
              <w:right w:w="85" w:type="dxa"/>
            </w:tcMar>
            <w:vAlign w:val="center"/>
          </w:tcPr>
          <w:p w14:paraId="34F236DD" w14:textId="77777777" w:rsidR="00EB30BB" w:rsidRPr="00475283" w:rsidRDefault="00EB30BB" w:rsidP="00F14DF5">
            <w:pPr>
              <w:spacing w:after="0" w:line="240" w:lineRule="auto"/>
              <w:jc w:val="center"/>
              <w:rPr>
                <w:rFonts w:eastAsia="Calibri" w:cs="Calibri"/>
                <w:color w:val="000000"/>
                <w:sz w:val="20"/>
                <w:szCs w:val="20"/>
              </w:rPr>
            </w:pPr>
            <w:r w:rsidRPr="00475283">
              <w:rPr>
                <w:rFonts w:eastAsia="Calibri" w:cs="Calibri"/>
                <w:color w:val="000000"/>
                <w:sz w:val="20"/>
                <w:szCs w:val="20"/>
              </w:rPr>
              <w:t>13</w:t>
            </w:r>
          </w:p>
        </w:tc>
        <w:tc>
          <w:tcPr>
            <w:tcW w:w="4719" w:type="dxa"/>
            <w:tcMar>
              <w:top w:w="57" w:type="dxa"/>
              <w:left w:w="85" w:type="dxa"/>
              <w:bottom w:w="57" w:type="dxa"/>
              <w:right w:w="85" w:type="dxa"/>
            </w:tcMar>
          </w:tcPr>
          <w:p w14:paraId="4B2F7993" w14:textId="77777777" w:rsidR="00EB30BB" w:rsidRPr="00475283" w:rsidRDefault="00EB30BB" w:rsidP="00F14DF5">
            <w:pPr>
              <w:pStyle w:val="ListParagraph"/>
              <w:numPr>
                <w:ilvl w:val="0"/>
                <w:numId w:val="6"/>
              </w:numPr>
              <w:spacing w:after="0" w:line="240" w:lineRule="auto"/>
              <w:ind w:left="343" w:hanging="283"/>
              <w:rPr>
                <w:rFonts w:eastAsia="Calibri" w:cs="Calibri"/>
                <w:color w:val="000000"/>
                <w:sz w:val="20"/>
                <w:szCs w:val="20"/>
              </w:rPr>
            </w:pPr>
            <w:r w:rsidRPr="00475283">
              <w:rPr>
                <w:rFonts w:eastAsia="Calibri" w:cs="Calibri"/>
                <w:color w:val="000000"/>
                <w:sz w:val="20"/>
                <w:szCs w:val="20"/>
              </w:rPr>
              <w:t>Independent evaluation for each project</w:t>
            </w:r>
          </w:p>
        </w:tc>
        <w:tc>
          <w:tcPr>
            <w:tcW w:w="1445" w:type="dxa"/>
            <w:noWrap/>
            <w:tcMar>
              <w:top w:w="57" w:type="dxa"/>
              <w:left w:w="85" w:type="dxa"/>
              <w:bottom w:w="57" w:type="dxa"/>
              <w:right w:w="85" w:type="dxa"/>
            </w:tcMar>
            <w:vAlign w:val="center"/>
            <w:hideMark/>
          </w:tcPr>
          <w:p w14:paraId="7757EC91" w14:textId="77777777" w:rsidR="00EB30BB" w:rsidRPr="00475283" w:rsidRDefault="00EB30BB" w:rsidP="00F14DF5">
            <w:pPr>
              <w:spacing w:after="0" w:line="240" w:lineRule="auto"/>
              <w:jc w:val="right"/>
              <w:rPr>
                <w:rFonts w:eastAsia="Calibri" w:cs="Calibri"/>
                <w:color w:val="000000"/>
                <w:sz w:val="20"/>
                <w:szCs w:val="20"/>
              </w:rPr>
            </w:pPr>
            <w:r w:rsidRPr="00475283">
              <w:rPr>
                <w:rFonts w:eastAsia="Calibri" w:cs="Calibri"/>
                <w:color w:val="000000"/>
                <w:sz w:val="20"/>
                <w:szCs w:val="20"/>
              </w:rPr>
              <w:t>518,386</w:t>
            </w:r>
          </w:p>
        </w:tc>
      </w:tr>
      <w:tr w:rsidR="00EB30BB" w:rsidRPr="00475283" w14:paraId="21055BD4" w14:textId="77777777" w:rsidTr="00F14DF5">
        <w:trPr>
          <w:trHeight w:val="300"/>
          <w:jc w:val="center"/>
        </w:trPr>
        <w:tc>
          <w:tcPr>
            <w:tcW w:w="1266" w:type="dxa"/>
            <w:noWrap/>
            <w:tcMar>
              <w:top w:w="57" w:type="dxa"/>
              <w:left w:w="85" w:type="dxa"/>
              <w:bottom w:w="57" w:type="dxa"/>
              <w:right w:w="85" w:type="dxa"/>
            </w:tcMar>
            <w:vAlign w:val="center"/>
            <w:hideMark/>
          </w:tcPr>
          <w:p w14:paraId="4F30CCF8" w14:textId="77777777" w:rsidR="00EB30BB" w:rsidRPr="00475283" w:rsidRDefault="00EB30BB" w:rsidP="00F14DF5">
            <w:pPr>
              <w:spacing w:after="0" w:line="240" w:lineRule="auto"/>
              <w:rPr>
                <w:rFonts w:eastAsia="Calibri" w:cs="Calibri"/>
                <w:color w:val="000000"/>
                <w:sz w:val="20"/>
                <w:szCs w:val="20"/>
              </w:rPr>
            </w:pPr>
            <w:r w:rsidRPr="00475283">
              <w:rPr>
                <w:rFonts w:eastAsia="Calibri" w:cs="Calibri"/>
                <w:color w:val="000000"/>
                <w:sz w:val="20"/>
                <w:szCs w:val="20"/>
              </w:rPr>
              <w:t>DR Congo</w:t>
            </w:r>
          </w:p>
        </w:tc>
        <w:tc>
          <w:tcPr>
            <w:tcW w:w="1358" w:type="dxa"/>
            <w:tcMar>
              <w:top w:w="57" w:type="dxa"/>
              <w:left w:w="85" w:type="dxa"/>
              <w:bottom w:w="57" w:type="dxa"/>
              <w:right w:w="85" w:type="dxa"/>
            </w:tcMar>
            <w:vAlign w:val="center"/>
          </w:tcPr>
          <w:p w14:paraId="1E34373D" w14:textId="77777777" w:rsidR="00EB30BB" w:rsidRPr="00475283" w:rsidRDefault="00EB30BB" w:rsidP="00F14DF5">
            <w:pPr>
              <w:spacing w:after="0" w:line="240" w:lineRule="auto"/>
              <w:jc w:val="center"/>
              <w:rPr>
                <w:rFonts w:eastAsia="Calibri" w:cs="Calibri"/>
                <w:color w:val="000000"/>
                <w:sz w:val="20"/>
                <w:szCs w:val="20"/>
              </w:rPr>
            </w:pPr>
            <w:r w:rsidRPr="00475283">
              <w:rPr>
                <w:rFonts w:eastAsia="Calibri" w:cs="Calibri"/>
                <w:color w:val="000000"/>
                <w:sz w:val="20"/>
                <w:szCs w:val="20"/>
              </w:rPr>
              <w:t>26</w:t>
            </w:r>
          </w:p>
        </w:tc>
        <w:tc>
          <w:tcPr>
            <w:tcW w:w="4719" w:type="dxa"/>
            <w:tcMar>
              <w:top w:w="57" w:type="dxa"/>
              <w:left w:w="85" w:type="dxa"/>
              <w:bottom w:w="57" w:type="dxa"/>
              <w:right w:w="85" w:type="dxa"/>
            </w:tcMar>
          </w:tcPr>
          <w:p w14:paraId="5437F447" w14:textId="77777777" w:rsidR="00EB30BB" w:rsidRDefault="00EB30BB" w:rsidP="00F14DF5">
            <w:pPr>
              <w:pStyle w:val="ListParagraph"/>
              <w:numPr>
                <w:ilvl w:val="0"/>
                <w:numId w:val="6"/>
              </w:numPr>
              <w:spacing w:after="0" w:line="240" w:lineRule="auto"/>
              <w:ind w:left="343" w:hanging="283"/>
              <w:rPr>
                <w:rFonts w:eastAsia="Calibri" w:cs="Calibri"/>
                <w:color w:val="000000"/>
                <w:sz w:val="20"/>
                <w:szCs w:val="20"/>
              </w:rPr>
            </w:pPr>
            <w:r w:rsidRPr="00475283">
              <w:rPr>
                <w:rFonts w:eastAsia="Calibri" w:cs="Calibri"/>
                <w:color w:val="000000"/>
                <w:sz w:val="20"/>
                <w:szCs w:val="20"/>
              </w:rPr>
              <w:t>Capacity building to indigenous and rural organisations in conjunction with the national REDD+ programmes.</w:t>
            </w:r>
          </w:p>
          <w:p w14:paraId="01A32ED3" w14:textId="77777777" w:rsidR="00EB30BB" w:rsidRPr="00475283" w:rsidRDefault="00F74871" w:rsidP="00F14DF5">
            <w:pPr>
              <w:pStyle w:val="ListParagraph"/>
              <w:numPr>
                <w:ilvl w:val="0"/>
                <w:numId w:val="6"/>
              </w:numPr>
              <w:spacing w:after="0" w:line="240" w:lineRule="auto"/>
              <w:ind w:left="343" w:hanging="283"/>
              <w:rPr>
                <w:rFonts w:eastAsia="Calibri" w:cs="Calibri"/>
                <w:color w:val="000000"/>
                <w:sz w:val="20"/>
                <w:szCs w:val="20"/>
              </w:rPr>
            </w:pPr>
            <w:r>
              <w:rPr>
                <w:rFonts w:eastAsia="Calibri" w:cs="Calibri"/>
                <w:color w:val="000000"/>
                <w:sz w:val="20"/>
                <w:szCs w:val="20"/>
              </w:rPr>
              <w:t>Strong m</w:t>
            </w:r>
            <w:r w:rsidR="00EB30BB">
              <w:rPr>
                <w:rFonts w:eastAsia="Calibri" w:cs="Calibri"/>
                <w:color w:val="000000"/>
                <w:sz w:val="20"/>
                <w:szCs w:val="20"/>
              </w:rPr>
              <w:t>edia linkages</w:t>
            </w:r>
          </w:p>
        </w:tc>
        <w:tc>
          <w:tcPr>
            <w:tcW w:w="1445" w:type="dxa"/>
            <w:noWrap/>
            <w:tcMar>
              <w:top w:w="57" w:type="dxa"/>
              <w:left w:w="85" w:type="dxa"/>
              <w:bottom w:w="57" w:type="dxa"/>
              <w:right w:w="85" w:type="dxa"/>
            </w:tcMar>
            <w:vAlign w:val="center"/>
            <w:hideMark/>
          </w:tcPr>
          <w:p w14:paraId="6C47FEC2" w14:textId="77777777" w:rsidR="00EB30BB" w:rsidRPr="00475283" w:rsidRDefault="00EB30BB" w:rsidP="00F14DF5">
            <w:pPr>
              <w:spacing w:after="0" w:line="240" w:lineRule="auto"/>
              <w:jc w:val="right"/>
              <w:rPr>
                <w:rFonts w:eastAsia="Calibri" w:cs="Calibri"/>
                <w:color w:val="000000"/>
                <w:sz w:val="20"/>
                <w:szCs w:val="20"/>
              </w:rPr>
            </w:pPr>
            <w:r w:rsidRPr="00475283">
              <w:rPr>
                <w:rFonts w:eastAsia="Calibri" w:cs="Calibri"/>
                <w:color w:val="000000"/>
                <w:sz w:val="20"/>
                <w:szCs w:val="20"/>
              </w:rPr>
              <w:t>543,996</w:t>
            </w:r>
          </w:p>
        </w:tc>
      </w:tr>
      <w:tr w:rsidR="00EB30BB" w:rsidRPr="00475283" w14:paraId="40E0DC64" w14:textId="77777777" w:rsidTr="00F14DF5">
        <w:trPr>
          <w:trHeight w:val="300"/>
          <w:jc w:val="center"/>
        </w:trPr>
        <w:tc>
          <w:tcPr>
            <w:tcW w:w="1266" w:type="dxa"/>
            <w:noWrap/>
            <w:tcMar>
              <w:top w:w="57" w:type="dxa"/>
              <w:left w:w="85" w:type="dxa"/>
              <w:bottom w:w="57" w:type="dxa"/>
              <w:right w:w="85" w:type="dxa"/>
            </w:tcMar>
            <w:vAlign w:val="center"/>
            <w:hideMark/>
          </w:tcPr>
          <w:p w14:paraId="65A0A310" w14:textId="77777777" w:rsidR="00EB30BB" w:rsidRPr="00475283" w:rsidRDefault="00EB30BB" w:rsidP="00F14DF5">
            <w:pPr>
              <w:spacing w:after="0" w:line="240" w:lineRule="auto"/>
              <w:rPr>
                <w:rFonts w:eastAsia="Calibri" w:cs="Calibri"/>
                <w:color w:val="000000"/>
                <w:sz w:val="20"/>
                <w:szCs w:val="20"/>
              </w:rPr>
            </w:pPr>
            <w:r w:rsidRPr="00475283">
              <w:rPr>
                <w:rFonts w:eastAsia="Calibri" w:cs="Calibri"/>
                <w:color w:val="000000"/>
                <w:sz w:val="20"/>
                <w:szCs w:val="20"/>
              </w:rPr>
              <w:t>Nigeria</w:t>
            </w:r>
          </w:p>
        </w:tc>
        <w:tc>
          <w:tcPr>
            <w:tcW w:w="1358" w:type="dxa"/>
            <w:tcMar>
              <w:top w:w="57" w:type="dxa"/>
              <w:left w:w="85" w:type="dxa"/>
              <w:bottom w:w="57" w:type="dxa"/>
              <w:right w:w="85" w:type="dxa"/>
            </w:tcMar>
            <w:vAlign w:val="center"/>
          </w:tcPr>
          <w:p w14:paraId="5E9C8EDA" w14:textId="77777777" w:rsidR="00EB30BB" w:rsidRPr="00475283" w:rsidRDefault="00EB30BB" w:rsidP="00F14DF5">
            <w:pPr>
              <w:spacing w:after="0" w:line="240" w:lineRule="auto"/>
              <w:jc w:val="center"/>
              <w:rPr>
                <w:rFonts w:eastAsia="Calibri" w:cs="Calibri"/>
                <w:color w:val="000000"/>
                <w:sz w:val="20"/>
                <w:szCs w:val="20"/>
              </w:rPr>
            </w:pPr>
            <w:r w:rsidRPr="00475283">
              <w:rPr>
                <w:rFonts w:eastAsia="Calibri" w:cs="Calibri"/>
                <w:color w:val="000000"/>
                <w:sz w:val="20"/>
                <w:szCs w:val="20"/>
              </w:rPr>
              <w:t>15</w:t>
            </w:r>
          </w:p>
        </w:tc>
        <w:tc>
          <w:tcPr>
            <w:tcW w:w="4719" w:type="dxa"/>
            <w:tcMar>
              <w:top w:w="57" w:type="dxa"/>
              <w:left w:w="85" w:type="dxa"/>
              <w:bottom w:w="57" w:type="dxa"/>
              <w:right w:w="85" w:type="dxa"/>
            </w:tcMar>
          </w:tcPr>
          <w:p w14:paraId="37212C92" w14:textId="77777777" w:rsidR="00EB30BB" w:rsidRPr="00475283" w:rsidRDefault="00EB30BB" w:rsidP="00F14DF5">
            <w:pPr>
              <w:pStyle w:val="ListParagraph"/>
              <w:numPr>
                <w:ilvl w:val="0"/>
                <w:numId w:val="6"/>
              </w:numPr>
              <w:spacing w:after="0" w:line="240" w:lineRule="auto"/>
              <w:ind w:left="343" w:hanging="283"/>
              <w:rPr>
                <w:rFonts w:eastAsia="Calibri" w:cs="Calibri"/>
                <w:color w:val="000000"/>
                <w:sz w:val="20"/>
                <w:szCs w:val="20"/>
              </w:rPr>
            </w:pPr>
            <w:r w:rsidRPr="00475283">
              <w:rPr>
                <w:rFonts w:eastAsia="Calibri" w:cs="Calibri"/>
                <w:color w:val="000000"/>
                <w:sz w:val="20"/>
                <w:szCs w:val="20"/>
              </w:rPr>
              <w:t>Support to stakeholder consultations for the REDD+ Strategy of Cross River State.</w:t>
            </w:r>
          </w:p>
          <w:p w14:paraId="0EB79BAF" w14:textId="77777777" w:rsidR="00EB30BB" w:rsidRDefault="00EB30BB" w:rsidP="00F14DF5">
            <w:pPr>
              <w:pStyle w:val="ListParagraph"/>
              <w:numPr>
                <w:ilvl w:val="0"/>
                <w:numId w:val="6"/>
              </w:numPr>
              <w:spacing w:after="0" w:line="240" w:lineRule="auto"/>
              <w:ind w:left="343" w:hanging="283"/>
              <w:rPr>
                <w:rFonts w:eastAsia="Calibri" w:cs="Calibri"/>
                <w:color w:val="000000"/>
                <w:sz w:val="20"/>
                <w:szCs w:val="20"/>
              </w:rPr>
            </w:pPr>
            <w:r w:rsidRPr="00475283">
              <w:rPr>
                <w:rFonts w:eastAsia="Calibri" w:cs="Calibri"/>
                <w:color w:val="000000"/>
                <w:sz w:val="20"/>
                <w:szCs w:val="20"/>
              </w:rPr>
              <w:t xml:space="preserve">Capacity support for the </w:t>
            </w:r>
            <w:r w:rsidRPr="00475283">
              <w:rPr>
                <w:rFonts w:eastAsia="Calibri" w:cs="Calibri"/>
                <w:i/>
                <w:color w:val="000000"/>
                <w:sz w:val="20"/>
                <w:szCs w:val="20"/>
              </w:rPr>
              <w:t>Free, Prior and Informed Consent</w:t>
            </w:r>
            <w:r w:rsidRPr="00475283">
              <w:rPr>
                <w:rFonts w:eastAsia="Calibri" w:cs="Calibri"/>
                <w:color w:val="000000"/>
                <w:sz w:val="20"/>
                <w:szCs w:val="20"/>
              </w:rPr>
              <w:t xml:space="preserve"> of forest communities affected by a major motorway proposal crossing the Cross River National Park and nearby forest reserves.</w:t>
            </w:r>
          </w:p>
          <w:p w14:paraId="34DC365B" w14:textId="77777777" w:rsidR="00EB30BB" w:rsidRPr="00475283" w:rsidRDefault="00EB30BB" w:rsidP="00F14DF5">
            <w:pPr>
              <w:pStyle w:val="ListParagraph"/>
              <w:numPr>
                <w:ilvl w:val="0"/>
                <w:numId w:val="6"/>
              </w:numPr>
              <w:spacing w:after="0" w:line="240" w:lineRule="auto"/>
              <w:ind w:left="343" w:hanging="283"/>
              <w:rPr>
                <w:rFonts w:eastAsia="Calibri" w:cs="Calibri"/>
                <w:color w:val="000000"/>
                <w:sz w:val="20"/>
                <w:szCs w:val="20"/>
              </w:rPr>
            </w:pPr>
            <w:r>
              <w:rPr>
                <w:rFonts w:eastAsia="Calibri" w:cs="Calibri"/>
                <w:color w:val="000000"/>
                <w:sz w:val="20"/>
                <w:szCs w:val="20"/>
              </w:rPr>
              <w:t>Public awareness campaigns on forest and REDD+ in Cross River State and nationwide.</w:t>
            </w:r>
          </w:p>
        </w:tc>
        <w:tc>
          <w:tcPr>
            <w:tcW w:w="1445" w:type="dxa"/>
            <w:noWrap/>
            <w:tcMar>
              <w:top w:w="57" w:type="dxa"/>
              <w:left w:w="85" w:type="dxa"/>
              <w:bottom w:w="57" w:type="dxa"/>
              <w:right w:w="85" w:type="dxa"/>
            </w:tcMar>
            <w:vAlign w:val="center"/>
            <w:hideMark/>
          </w:tcPr>
          <w:p w14:paraId="7F1E1A38" w14:textId="77777777" w:rsidR="00EB30BB" w:rsidRPr="00475283" w:rsidRDefault="00EB30BB" w:rsidP="00F14DF5">
            <w:pPr>
              <w:spacing w:after="0" w:line="240" w:lineRule="auto"/>
              <w:jc w:val="right"/>
              <w:rPr>
                <w:rFonts w:eastAsia="Calibri" w:cs="Calibri"/>
                <w:color w:val="000000"/>
                <w:sz w:val="20"/>
                <w:szCs w:val="20"/>
              </w:rPr>
            </w:pPr>
            <w:r w:rsidRPr="00475283">
              <w:rPr>
                <w:rFonts w:eastAsia="Calibri" w:cs="Calibri"/>
                <w:color w:val="000000"/>
                <w:sz w:val="20"/>
                <w:szCs w:val="20"/>
              </w:rPr>
              <w:t>561,723</w:t>
            </w:r>
          </w:p>
        </w:tc>
      </w:tr>
      <w:tr w:rsidR="00EB30BB" w:rsidRPr="00475283" w14:paraId="3281917D" w14:textId="77777777" w:rsidTr="00F14DF5">
        <w:trPr>
          <w:trHeight w:val="300"/>
          <w:jc w:val="center"/>
        </w:trPr>
        <w:tc>
          <w:tcPr>
            <w:tcW w:w="1266" w:type="dxa"/>
            <w:noWrap/>
            <w:tcMar>
              <w:top w:w="57" w:type="dxa"/>
              <w:left w:w="85" w:type="dxa"/>
              <w:bottom w:w="57" w:type="dxa"/>
              <w:right w:w="85" w:type="dxa"/>
            </w:tcMar>
            <w:vAlign w:val="center"/>
            <w:hideMark/>
          </w:tcPr>
          <w:p w14:paraId="0D73C086" w14:textId="77777777" w:rsidR="00EB30BB" w:rsidRPr="00475283" w:rsidRDefault="00EB30BB" w:rsidP="00F14DF5">
            <w:pPr>
              <w:spacing w:after="0" w:line="240" w:lineRule="auto"/>
              <w:rPr>
                <w:rFonts w:eastAsia="Calibri" w:cs="Calibri"/>
                <w:color w:val="000000"/>
                <w:sz w:val="20"/>
                <w:szCs w:val="20"/>
              </w:rPr>
            </w:pPr>
            <w:r w:rsidRPr="00475283">
              <w:rPr>
                <w:rFonts w:eastAsia="Calibri" w:cs="Calibri"/>
                <w:color w:val="000000"/>
                <w:sz w:val="20"/>
                <w:szCs w:val="20"/>
              </w:rPr>
              <w:t>Panama</w:t>
            </w:r>
          </w:p>
        </w:tc>
        <w:tc>
          <w:tcPr>
            <w:tcW w:w="1358" w:type="dxa"/>
            <w:tcMar>
              <w:top w:w="57" w:type="dxa"/>
              <w:left w:w="85" w:type="dxa"/>
              <w:bottom w:w="57" w:type="dxa"/>
              <w:right w:w="85" w:type="dxa"/>
            </w:tcMar>
            <w:vAlign w:val="center"/>
          </w:tcPr>
          <w:p w14:paraId="2CAD8024" w14:textId="77777777" w:rsidR="00EB30BB" w:rsidRPr="00475283" w:rsidRDefault="00EB30BB" w:rsidP="00F14DF5">
            <w:pPr>
              <w:spacing w:after="0" w:line="240" w:lineRule="auto"/>
              <w:jc w:val="center"/>
              <w:rPr>
                <w:rFonts w:eastAsia="Calibri" w:cs="Calibri"/>
                <w:color w:val="000000"/>
                <w:sz w:val="20"/>
                <w:szCs w:val="20"/>
              </w:rPr>
            </w:pPr>
            <w:r w:rsidRPr="00475283">
              <w:rPr>
                <w:rFonts w:eastAsia="Calibri" w:cs="Calibri"/>
                <w:color w:val="000000"/>
                <w:sz w:val="20"/>
                <w:szCs w:val="20"/>
              </w:rPr>
              <w:t>15</w:t>
            </w:r>
          </w:p>
        </w:tc>
        <w:tc>
          <w:tcPr>
            <w:tcW w:w="4719" w:type="dxa"/>
            <w:tcMar>
              <w:top w:w="57" w:type="dxa"/>
              <w:left w:w="85" w:type="dxa"/>
              <w:bottom w:w="57" w:type="dxa"/>
              <w:right w:w="85" w:type="dxa"/>
            </w:tcMar>
          </w:tcPr>
          <w:p w14:paraId="1719A60B" w14:textId="77777777" w:rsidR="00EB30BB" w:rsidRPr="00475283" w:rsidRDefault="00EB30BB" w:rsidP="00F14DF5">
            <w:pPr>
              <w:pStyle w:val="ListParagraph"/>
              <w:numPr>
                <w:ilvl w:val="0"/>
                <w:numId w:val="6"/>
              </w:numPr>
              <w:spacing w:after="0" w:line="240" w:lineRule="auto"/>
              <w:ind w:left="343" w:hanging="283"/>
              <w:rPr>
                <w:rFonts w:eastAsia="Calibri" w:cs="Calibri"/>
                <w:color w:val="000000"/>
                <w:sz w:val="20"/>
                <w:szCs w:val="20"/>
              </w:rPr>
            </w:pPr>
            <w:r w:rsidRPr="00475283">
              <w:rPr>
                <w:rFonts w:eastAsia="Calibri" w:cs="Calibri"/>
                <w:color w:val="000000"/>
                <w:sz w:val="20"/>
                <w:szCs w:val="20"/>
              </w:rPr>
              <w:t xml:space="preserve">National forum of </w:t>
            </w:r>
            <w:r>
              <w:rPr>
                <w:rFonts w:eastAsia="Calibri" w:cs="Calibri"/>
                <w:color w:val="000000"/>
                <w:sz w:val="20"/>
                <w:szCs w:val="20"/>
              </w:rPr>
              <w:t xml:space="preserve">leaders and </w:t>
            </w:r>
            <w:r w:rsidRPr="00475283">
              <w:rPr>
                <w:rFonts w:eastAsia="Calibri" w:cs="Calibri"/>
                <w:color w:val="000000"/>
                <w:sz w:val="20"/>
                <w:szCs w:val="20"/>
              </w:rPr>
              <w:t>representatives from the 15 CBR+ projects to discuss and review the draft national strategy for REDD+ and its satellite components (2017).</w:t>
            </w:r>
          </w:p>
          <w:p w14:paraId="4E03B9FB" w14:textId="77777777" w:rsidR="00EB30BB" w:rsidRPr="00475283" w:rsidRDefault="00EB30BB" w:rsidP="00F14DF5">
            <w:pPr>
              <w:pStyle w:val="ListParagraph"/>
              <w:numPr>
                <w:ilvl w:val="0"/>
                <w:numId w:val="6"/>
              </w:numPr>
              <w:spacing w:after="0" w:line="240" w:lineRule="auto"/>
              <w:ind w:left="343" w:hanging="283"/>
              <w:rPr>
                <w:rFonts w:eastAsia="Calibri" w:cs="Calibri"/>
                <w:color w:val="000000"/>
                <w:sz w:val="20"/>
                <w:szCs w:val="20"/>
              </w:rPr>
            </w:pPr>
            <w:r w:rsidRPr="00475283">
              <w:rPr>
                <w:rFonts w:eastAsia="Calibri" w:cs="Calibri"/>
                <w:color w:val="000000"/>
                <w:sz w:val="20"/>
                <w:szCs w:val="20"/>
              </w:rPr>
              <w:t>In addition, 5 projects of capacity-building on REDD+ for indigenous and community stakeholders.</w:t>
            </w:r>
          </w:p>
          <w:p w14:paraId="00029EB1" w14:textId="77777777" w:rsidR="00EB30BB" w:rsidRDefault="00EB30BB" w:rsidP="00F14DF5">
            <w:pPr>
              <w:pStyle w:val="ListParagraph"/>
              <w:numPr>
                <w:ilvl w:val="0"/>
                <w:numId w:val="6"/>
              </w:numPr>
              <w:spacing w:after="0" w:line="240" w:lineRule="auto"/>
              <w:ind w:left="343" w:hanging="283"/>
              <w:rPr>
                <w:rFonts w:eastAsia="Calibri" w:cs="Calibri"/>
                <w:color w:val="000000"/>
                <w:sz w:val="20"/>
                <w:szCs w:val="20"/>
              </w:rPr>
            </w:pPr>
            <w:r w:rsidRPr="00475283">
              <w:rPr>
                <w:rFonts w:eastAsia="Calibri" w:cs="Calibri"/>
                <w:color w:val="000000"/>
                <w:sz w:val="20"/>
                <w:szCs w:val="20"/>
              </w:rPr>
              <w:t>Extensive knowledge process, with publications and videos.</w:t>
            </w:r>
          </w:p>
          <w:p w14:paraId="7F8E8ADE" w14:textId="77777777" w:rsidR="00F74871" w:rsidRPr="00475283" w:rsidRDefault="00F74871" w:rsidP="00F14DF5">
            <w:pPr>
              <w:pStyle w:val="ListParagraph"/>
              <w:numPr>
                <w:ilvl w:val="0"/>
                <w:numId w:val="6"/>
              </w:numPr>
              <w:spacing w:after="0" w:line="240" w:lineRule="auto"/>
              <w:ind w:left="343" w:hanging="283"/>
              <w:rPr>
                <w:rFonts w:eastAsia="Calibri" w:cs="Calibri"/>
                <w:color w:val="000000"/>
                <w:sz w:val="20"/>
                <w:szCs w:val="20"/>
              </w:rPr>
            </w:pPr>
            <w:r>
              <w:rPr>
                <w:rFonts w:eastAsia="Calibri" w:cs="Calibri"/>
                <w:color w:val="000000"/>
                <w:sz w:val="20"/>
                <w:szCs w:val="20"/>
              </w:rPr>
              <w:t>Specific forest-gender stream to inform national policy</w:t>
            </w:r>
          </w:p>
        </w:tc>
        <w:tc>
          <w:tcPr>
            <w:tcW w:w="1445" w:type="dxa"/>
            <w:noWrap/>
            <w:tcMar>
              <w:top w:w="57" w:type="dxa"/>
              <w:left w:w="85" w:type="dxa"/>
              <w:bottom w:w="57" w:type="dxa"/>
              <w:right w:w="85" w:type="dxa"/>
            </w:tcMar>
            <w:vAlign w:val="center"/>
            <w:hideMark/>
          </w:tcPr>
          <w:p w14:paraId="1A726B0D" w14:textId="77777777" w:rsidR="00EB30BB" w:rsidRPr="00475283" w:rsidRDefault="00EB30BB" w:rsidP="00F14DF5">
            <w:pPr>
              <w:spacing w:after="0" w:line="240" w:lineRule="auto"/>
              <w:jc w:val="right"/>
              <w:rPr>
                <w:rFonts w:eastAsia="Calibri" w:cs="Calibri"/>
                <w:color w:val="000000"/>
                <w:sz w:val="20"/>
                <w:szCs w:val="20"/>
              </w:rPr>
            </w:pPr>
            <w:r w:rsidRPr="00475283">
              <w:rPr>
                <w:rFonts w:eastAsia="Calibri" w:cs="Calibri"/>
                <w:color w:val="000000"/>
                <w:sz w:val="20"/>
                <w:szCs w:val="20"/>
              </w:rPr>
              <w:t>570'823</w:t>
            </w:r>
          </w:p>
        </w:tc>
      </w:tr>
      <w:tr w:rsidR="00EB30BB" w:rsidRPr="00475283" w14:paraId="1A4295E1" w14:textId="77777777" w:rsidTr="00F14DF5">
        <w:trPr>
          <w:trHeight w:val="300"/>
          <w:jc w:val="center"/>
        </w:trPr>
        <w:tc>
          <w:tcPr>
            <w:tcW w:w="1266" w:type="dxa"/>
            <w:noWrap/>
            <w:tcMar>
              <w:top w:w="57" w:type="dxa"/>
              <w:left w:w="85" w:type="dxa"/>
              <w:bottom w:w="57" w:type="dxa"/>
              <w:right w:w="85" w:type="dxa"/>
            </w:tcMar>
            <w:vAlign w:val="center"/>
            <w:hideMark/>
          </w:tcPr>
          <w:p w14:paraId="2FB731FE" w14:textId="77777777" w:rsidR="00EB30BB" w:rsidRPr="00475283" w:rsidRDefault="00EB30BB" w:rsidP="00F14DF5">
            <w:pPr>
              <w:spacing w:after="0" w:line="240" w:lineRule="auto"/>
              <w:rPr>
                <w:rFonts w:eastAsia="Calibri" w:cs="Calibri"/>
                <w:color w:val="000000"/>
                <w:sz w:val="20"/>
                <w:szCs w:val="20"/>
              </w:rPr>
            </w:pPr>
            <w:r w:rsidRPr="00475283">
              <w:rPr>
                <w:rFonts w:eastAsia="Calibri" w:cs="Calibri"/>
                <w:color w:val="000000"/>
                <w:sz w:val="20"/>
                <w:szCs w:val="20"/>
              </w:rPr>
              <w:t>Paraguay</w:t>
            </w:r>
          </w:p>
        </w:tc>
        <w:tc>
          <w:tcPr>
            <w:tcW w:w="1358" w:type="dxa"/>
            <w:tcMar>
              <w:top w:w="57" w:type="dxa"/>
              <w:left w:w="85" w:type="dxa"/>
              <w:bottom w:w="57" w:type="dxa"/>
              <w:right w:w="85" w:type="dxa"/>
            </w:tcMar>
            <w:vAlign w:val="center"/>
          </w:tcPr>
          <w:p w14:paraId="22059EFD" w14:textId="77777777" w:rsidR="00EB30BB" w:rsidRPr="00475283" w:rsidRDefault="00EB30BB" w:rsidP="00F14DF5">
            <w:pPr>
              <w:spacing w:after="0" w:line="240" w:lineRule="auto"/>
              <w:jc w:val="center"/>
              <w:rPr>
                <w:rFonts w:eastAsia="Calibri" w:cs="Calibri"/>
                <w:color w:val="000000"/>
                <w:sz w:val="20"/>
                <w:szCs w:val="20"/>
              </w:rPr>
            </w:pPr>
            <w:r w:rsidRPr="00475283">
              <w:rPr>
                <w:rFonts w:eastAsia="Calibri" w:cs="Calibri"/>
                <w:color w:val="000000"/>
                <w:sz w:val="20"/>
                <w:szCs w:val="20"/>
              </w:rPr>
              <w:t>24</w:t>
            </w:r>
          </w:p>
        </w:tc>
        <w:tc>
          <w:tcPr>
            <w:tcW w:w="4719" w:type="dxa"/>
            <w:tcMar>
              <w:top w:w="57" w:type="dxa"/>
              <w:left w:w="85" w:type="dxa"/>
              <w:bottom w:w="57" w:type="dxa"/>
              <w:right w:w="85" w:type="dxa"/>
            </w:tcMar>
          </w:tcPr>
          <w:p w14:paraId="4CB10ED9" w14:textId="77777777" w:rsidR="00EB30BB" w:rsidRPr="00475283" w:rsidRDefault="00EB30BB" w:rsidP="00F14DF5">
            <w:pPr>
              <w:pStyle w:val="ListParagraph"/>
              <w:numPr>
                <w:ilvl w:val="0"/>
                <w:numId w:val="6"/>
              </w:numPr>
              <w:spacing w:after="0" w:line="240" w:lineRule="auto"/>
              <w:ind w:left="343" w:hanging="283"/>
              <w:rPr>
                <w:rFonts w:eastAsia="Calibri" w:cs="Calibri"/>
                <w:color w:val="000000"/>
                <w:sz w:val="20"/>
                <w:szCs w:val="20"/>
              </w:rPr>
            </w:pPr>
            <w:r w:rsidRPr="00475283">
              <w:rPr>
                <w:rFonts w:eastAsia="Calibri" w:cs="Calibri"/>
                <w:color w:val="000000"/>
                <w:sz w:val="20"/>
                <w:szCs w:val="20"/>
              </w:rPr>
              <w:t>Production of various videos with lessons learned from CBR+.</w:t>
            </w:r>
          </w:p>
        </w:tc>
        <w:tc>
          <w:tcPr>
            <w:tcW w:w="1445" w:type="dxa"/>
            <w:noWrap/>
            <w:tcMar>
              <w:top w:w="57" w:type="dxa"/>
              <w:left w:w="85" w:type="dxa"/>
              <w:bottom w:w="57" w:type="dxa"/>
              <w:right w:w="85" w:type="dxa"/>
            </w:tcMar>
            <w:vAlign w:val="center"/>
            <w:hideMark/>
          </w:tcPr>
          <w:p w14:paraId="3F938ADA" w14:textId="77777777" w:rsidR="00EB30BB" w:rsidRPr="00475283" w:rsidRDefault="00EB30BB" w:rsidP="00F14DF5">
            <w:pPr>
              <w:spacing w:after="0" w:line="240" w:lineRule="auto"/>
              <w:jc w:val="right"/>
              <w:rPr>
                <w:rFonts w:eastAsia="Calibri" w:cs="Calibri"/>
                <w:color w:val="000000"/>
                <w:sz w:val="20"/>
                <w:szCs w:val="20"/>
              </w:rPr>
            </w:pPr>
            <w:r w:rsidRPr="00475283">
              <w:rPr>
                <w:rFonts w:eastAsia="Calibri" w:cs="Calibri"/>
                <w:color w:val="000000"/>
                <w:sz w:val="20"/>
                <w:szCs w:val="20"/>
              </w:rPr>
              <w:t>543,136</w:t>
            </w:r>
          </w:p>
        </w:tc>
      </w:tr>
      <w:tr w:rsidR="00EB30BB" w:rsidRPr="00475283" w14:paraId="3E29C4C1" w14:textId="77777777" w:rsidTr="00F14DF5">
        <w:trPr>
          <w:trHeight w:val="300"/>
          <w:jc w:val="center"/>
        </w:trPr>
        <w:tc>
          <w:tcPr>
            <w:tcW w:w="1266" w:type="dxa"/>
            <w:noWrap/>
            <w:tcMar>
              <w:top w:w="57" w:type="dxa"/>
              <w:left w:w="85" w:type="dxa"/>
              <w:bottom w:w="57" w:type="dxa"/>
              <w:right w:w="85" w:type="dxa"/>
            </w:tcMar>
            <w:vAlign w:val="center"/>
            <w:hideMark/>
          </w:tcPr>
          <w:p w14:paraId="077C9390" w14:textId="77777777" w:rsidR="00EB30BB" w:rsidRPr="00475283" w:rsidRDefault="00EB30BB" w:rsidP="00F14DF5">
            <w:pPr>
              <w:spacing w:after="0" w:line="240" w:lineRule="auto"/>
              <w:rPr>
                <w:rFonts w:eastAsia="Calibri" w:cs="Calibri"/>
                <w:color w:val="000000"/>
                <w:sz w:val="20"/>
                <w:szCs w:val="20"/>
              </w:rPr>
            </w:pPr>
            <w:r w:rsidRPr="00475283">
              <w:rPr>
                <w:rFonts w:eastAsia="Calibri" w:cs="Calibri"/>
                <w:color w:val="000000"/>
                <w:sz w:val="20"/>
                <w:szCs w:val="20"/>
              </w:rPr>
              <w:t>Sri Lanka</w:t>
            </w:r>
          </w:p>
        </w:tc>
        <w:tc>
          <w:tcPr>
            <w:tcW w:w="1358" w:type="dxa"/>
            <w:tcMar>
              <w:top w:w="57" w:type="dxa"/>
              <w:left w:w="85" w:type="dxa"/>
              <w:bottom w:w="57" w:type="dxa"/>
              <w:right w:w="85" w:type="dxa"/>
            </w:tcMar>
            <w:vAlign w:val="center"/>
          </w:tcPr>
          <w:p w14:paraId="51359EFA" w14:textId="77777777" w:rsidR="00EB30BB" w:rsidRPr="00475283" w:rsidRDefault="00EB30BB" w:rsidP="00F14DF5">
            <w:pPr>
              <w:spacing w:after="0" w:line="240" w:lineRule="auto"/>
              <w:jc w:val="center"/>
              <w:rPr>
                <w:rFonts w:eastAsia="Calibri" w:cs="Calibri"/>
                <w:color w:val="000000"/>
                <w:sz w:val="20"/>
                <w:szCs w:val="20"/>
              </w:rPr>
            </w:pPr>
            <w:r w:rsidRPr="00475283">
              <w:rPr>
                <w:rFonts w:eastAsia="Calibri" w:cs="Calibri"/>
                <w:color w:val="000000"/>
                <w:sz w:val="20"/>
                <w:szCs w:val="20"/>
              </w:rPr>
              <w:t>8</w:t>
            </w:r>
          </w:p>
        </w:tc>
        <w:tc>
          <w:tcPr>
            <w:tcW w:w="4719" w:type="dxa"/>
            <w:tcMar>
              <w:top w:w="57" w:type="dxa"/>
              <w:left w:w="85" w:type="dxa"/>
              <w:bottom w:w="57" w:type="dxa"/>
              <w:right w:w="85" w:type="dxa"/>
            </w:tcMar>
          </w:tcPr>
          <w:p w14:paraId="1120C858" w14:textId="77777777" w:rsidR="00EB30BB" w:rsidRPr="00475283" w:rsidRDefault="00EB30BB" w:rsidP="00F14DF5">
            <w:pPr>
              <w:pStyle w:val="ListParagraph"/>
              <w:numPr>
                <w:ilvl w:val="0"/>
                <w:numId w:val="6"/>
              </w:numPr>
              <w:spacing w:after="0" w:line="240" w:lineRule="auto"/>
              <w:ind w:left="343" w:hanging="283"/>
              <w:rPr>
                <w:rFonts w:eastAsia="Calibri" w:cs="Calibri"/>
                <w:color w:val="000000"/>
                <w:sz w:val="20"/>
                <w:szCs w:val="20"/>
              </w:rPr>
            </w:pPr>
            <w:r w:rsidRPr="00475283">
              <w:rPr>
                <w:rFonts w:eastAsia="Calibri" w:cs="Calibri"/>
                <w:color w:val="000000"/>
                <w:sz w:val="20"/>
                <w:szCs w:val="20"/>
              </w:rPr>
              <w:t>17 capacity-building programmes for local organisations: training to some 4,000 people.</w:t>
            </w:r>
          </w:p>
          <w:p w14:paraId="31B2A48C" w14:textId="77777777" w:rsidR="00EB30BB" w:rsidRPr="00475283" w:rsidRDefault="00EB30BB" w:rsidP="00F14DF5">
            <w:pPr>
              <w:pStyle w:val="ListParagraph"/>
              <w:numPr>
                <w:ilvl w:val="0"/>
                <w:numId w:val="6"/>
              </w:numPr>
              <w:spacing w:after="0" w:line="240" w:lineRule="auto"/>
              <w:ind w:left="343" w:hanging="283"/>
              <w:rPr>
                <w:rFonts w:eastAsia="Calibri" w:cs="Calibri"/>
                <w:color w:val="000000"/>
                <w:sz w:val="20"/>
                <w:szCs w:val="20"/>
              </w:rPr>
            </w:pPr>
            <w:r w:rsidRPr="00475283">
              <w:rPr>
                <w:rFonts w:eastAsia="Calibri" w:cs="Calibri"/>
                <w:color w:val="000000"/>
                <w:sz w:val="20"/>
                <w:szCs w:val="20"/>
              </w:rPr>
              <w:t>Gender mainstreaming: 50% women engaged in project activities – achieved.</w:t>
            </w:r>
          </w:p>
        </w:tc>
        <w:tc>
          <w:tcPr>
            <w:tcW w:w="1445" w:type="dxa"/>
            <w:noWrap/>
            <w:tcMar>
              <w:top w:w="57" w:type="dxa"/>
              <w:left w:w="85" w:type="dxa"/>
              <w:bottom w:w="57" w:type="dxa"/>
              <w:right w:w="85" w:type="dxa"/>
            </w:tcMar>
            <w:vAlign w:val="center"/>
            <w:hideMark/>
          </w:tcPr>
          <w:p w14:paraId="2D5F5AC3" w14:textId="77777777" w:rsidR="00EB30BB" w:rsidRPr="00475283" w:rsidRDefault="00EB30BB" w:rsidP="00F14DF5">
            <w:pPr>
              <w:spacing w:after="0" w:line="240" w:lineRule="auto"/>
              <w:jc w:val="right"/>
              <w:rPr>
                <w:rFonts w:eastAsia="Calibri" w:cs="Calibri"/>
                <w:color w:val="000000"/>
                <w:sz w:val="20"/>
                <w:szCs w:val="20"/>
              </w:rPr>
            </w:pPr>
            <w:r w:rsidRPr="00475283">
              <w:rPr>
                <w:rFonts w:eastAsia="Calibri" w:cs="Calibri"/>
                <w:color w:val="000000"/>
                <w:sz w:val="20"/>
                <w:szCs w:val="20"/>
              </w:rPr>
              <w:t>538,175</w:t>
            </w:r>
          </w:p>
        </w:tc>
      </w:tr>
      <w:tr w:rsidR="00EB30BB" w:rsidRPr="00475283" w14:paraId="30728A0F" w14:textId="77777777" w:rsidTr="00F14DF5">
        <w:trPr>
          <w:trHeight w:val="300"/>
          <w:jc w:val="center"/>
        </w:trPr>
        <w:tc>
          <w:tcPr>
            <w:tcW w:w="1266" w:type="dxa"/>
            <w:noWrap/>
            <w:tcMar>
              <w:top w:w="57" w:type="dxa"/>
              <w:left w:w="85" w:type="dxa"/>
              <w:bottom w:w="57" w:type="dxa"/>
              <w:right w:w="85" w:type="dxa"/>
            </w:tcMar>
            <w:vAlign w:val="center"/>
            <w:hideMark/>
          </w:tcPr>
          <w:p w14:paraId="636DF8C0" w14:textId="77777777" w:rsidR="00EB30BB" w:rsidRPr="00475283" w:rsidRDefault="00EB30BB" w:rsidP="00F14DF5">
            <w:pPr>
              <w:spacing w:after="0" w:line="240" w:lineRule="auto"/>
              <w:rPr>
                <w:rFonts w:eastAsia="Calibri" w:cs="Calibri"/>
                <w:color w:val="000000"/>
                <w:sz w:val="20"/>
                <w:szCs w:val="20"/>
              </w:rPr>
            </w:pPr>
            <w:r w:rsidRPr="00475283">
              <w:rPr>
                <w:rFonts w:eastAsia="Calibri" w:cs="Calibri"/>
                <w:color w:val="000000"/>
                <w:sz w:val="20"/>
                <w:szCs w:val="20"/>
              </w:rPr>
              <w:t>Global coordination</w:t>
            </w:r>
            <w:r>
              <w:rPr>
                <w:rFonts w:eastAsia="Calibri" w:cs="Calibri"/>
                <w:color w:val="000000"/>
                <w:sz w:val="20"/>
                <w:szCs w:val="20"/>
              </w:rPr>
              <w:t xml:space="preserve"> &amp; knowledge</w:t>
            </w:r>
          </w:p>
        </w:tc>
        <w:tc>
          <w:tcPr>
            <w:tcW w:w="1358" w:type="dxa"/>
            <w:tcMar>
              <w:top w:w="57" w:type="dxa"/>
              <w:left w:w="85" w:type="dxa"/>
              <w:bottom w:w="57" w:type="dxa"/>
              <w:right w:w="85" w:type="dxa"/>
            </w:tcMar>
            <w:vAlign w:val="center"/>
          </w:tcPr>
          <w:p w14:paraId="0CECD963" w14:textId="77777777" w:rsidR="00EB30BB" w:rsidRPr="00475283" w:rsidRDefault="00EB30BB" w:rsidP="00F14DF5">
            <w:pPr>
              <w:spacing w:after="0" w:line="240" w:lineRule="auto"/>
              <w:jc w:val="center"/>
              <w:rPr>
                <w:rFonts w:eastAsia="Calibri" w:cs="Calibri"/>
                <w:color w:val="000000"/>
                <w:sz w:val="20"/>
                <w:szCs w:val="20"/>
              </w:rPr>
            </w:pPr>
            <w:r w:rsidRPr="00475283">
              <w:rPr>
                <w:rFonts w:eastAsia="Calibri" w:cs="Calibri"/>
                <w:color w:val="000000"/>
                <w:sz w:val="20"/>
                <w:szCs w:val="20"/>
              </w:rPr>
              <w:t>-</w:t>
            </w:r>
          </w:p>
        </w:tc>
        <w:tc>
          <w:tcPr>
            <w:tcW w:w="4719" w:type="dxa"/>
            <w:tcMar>
              <w:top w:w="57" w:type="dxa"/>
              <w:left w:w="85" w:type="dxa"/>
              <w:bottom w:w="57" w:type="dxa"/>
              <w:right w:w="85" w:type="dxa"/>
            </w:tcMar>
          </w:tcPr>
          <w:p w14:paraId="755C5333" w14:textId="77777777" w:rsidR="00EB30BB" w:rsidRPr="00475283" w:rsidRDefault="00EB30BB" w:rsidP="00F14DF5">
            <w:pPr>
              <w:pStyle w:val="ListParagraph"/>
              <w:numPr>
                <w:ilvl w:val="0"/>
                <w:numId w:val="6"/>
              </w:numPr>
              <w:spacing w:after="0" w:line="240" w:lineRule="auto"/>
              <w:ind w:left="343" w:hanging="283"/>
              <w:rPr>
                <w:rFonts w:eastAsia="Calibri" w:cs="Calibri"/>
                <w:color w:val="000000"/>
                <w:sz w:val="20"/>
                <w:szCs w:val="20"/>
              </w:rPr>
            </w:pPr>
            <w:r w:rsidRPr="00475283">
              <w:rPr>
                <w:rFonts w:eastAsia="Calibri" w:cs="Calibri"/>
                <w:color w:val="000000"/>
                <w:sz w:val="20"/>
                <w:szCs w:val="20"/>
              </w:rPr>
              <w:t xml:space="preserve">Technical assistance on REDD+ </w:t>
            </w:r>
            <w:r w:rsidR="008072F7">
              <w:rPr>
                <w:rFonts w:eastAsia="Calibri" w:cs="Calibri"/>
                <w:color w:val="000000"/>
                <w:sz w:val="20"/>
                <w:szCs w:val="20"/>
              </w:rPr>
              <w:t xml:space="preserve">concepts and approaches </w:t>
            </w:r>
            <w:r w:rsidRPr="00475283">
              <w:rPr>
                <w:rFonts w:eastAsia="Calibri" w:cs="Calibri"/>
                <w:color w:val="000000"/>
                <w:sz w:val="20"/>
                <w:szCs w:val="20"/>
              </w:rPr>
              <w:t>to country teams</w:t>
            </w:r>
            <w:r w:rsidR="008072F7">
              <w:rPr>
                <w:rFonts w:eastAsia="Calibri" w:cs="Calibri"/>
                <w:color w:val="000000"/>
                <w:sz w:val="20"/>
                <w:szCs w:val="20"/>
              </w:rPr>
              <w:t xml:space="preserve"> and beneficiary community organisations</w:t>
            </w:r>
            <w:r w:rsidRPr="00475283">
              <w:rPr>
                <w:rFonts w:eastAsia="Calibri" w:cs="Calibri"/>
                <w:color w:val="000000"/>
                <w:sz w:val="20"/>
                <w:szCs w:val="20"/>
              </w:rPr>
              <w:t>.</w:t>
            </w:r>
          </w:p>
          <w:p w14:paraId="71F0BA1E" w14:textId="77777777" w:rsidR="00EB30BB" w:rsidRDefault="00EB30BB" w:rsidP="00F14DF5">
            <w:pPr>
              <w:pStyle w:val="ListParagraph"/>
              <w:numPr>
                <w:ilvl w:val="0"/>
                <w:numId w:val="6"/>
              </w:numPr>
              <w:spacing w:after="0" w:line="240" w:lineRule="auto"/>
              <w:ind w:left="343" w:hanging="283"/>
              <w:rPr>
                <w:rFonts w:eastAsia="Calibri" w:cs="Calibri"/>
                <w:color w:val="000000"/>
                <w:sz w:val="20"/>
                <w:szCs w:val="20"/>
              </w:rPr>
            </w:pPr>
            <w:r w:rsidRPr="00475283">
              <w:rPr>
                <w:rFonts w:eastAsia="Calibri" w:cs="Calibri"/>
                <w:color w:val="000000"/>
                <w:sz w:val="20"/>
                <w:szCs w:val="20"/>
              </w:rPr>
              <w:t>Support to multi-stakeholder policy dialogues on</w:t>
            </w:r>
            <w:r w:rsidR="008072F7">
              <w:rPr>
                <w:rFonts w:eastAsia="Calibri" w:cs="Calibri"/>
                <w:color w:val="000000"/>
                <w:sz w:val="20"/>
                <w:szCs w:val="20"/>
              </w:rPr>
              <w:t xml:space="preserve"> REDD+, including on NDCs</w:t>
            </w:r>
            <w:r w:rsidRPr="00475283">
              <w:rPr>
                <w:rFonts w:eastAsia="Calibri" w:cs="Calibri"/>
                <w:color w:val="000000"/>
                <w:sz w:val="20"/>
                <w:szCs w:val="20"/>
              </w:rPr>
              <w:t>.</w:t>
            </w:r>
          </w:p>
          <w:p w14:paraId="3B2114FF" w14:textId="77777777" w:rsidR="008D114F" w:rsidRPr="00475283" w:rsidRDefault="008D114F" w:rsidP="00F14DF5">
            <w:pPr>
              <w:pStyle w:val="ListParagraph"/>
              <w:numPr>
                <w:ilvl w:val="0"/>
                <w:numId w:val="6"/>
              </w:numPr>
              <w:spacing w:after="0" w:line="240" w:lineRule="auto"/>
              <w:ind w:left="343" w:hanging="283"/>
              <w:rPr>
                <w:rFonts w:eastAsia="Calibri" w:cs="Calibri"/>
                <w:color w:val="000000"/>
                <w:sz w:val="20"/>
                <w:szCs w:val="20"/>
              </w:rPr>
            </w:pPr>
            <w:r>
              <w:rPr>
                <w:rFonts w:eastAsia="Calibri" w:cs="Calibri"/>
                <w:color w:val="000000"/>
                <w:sz w:val="20"/>
                <w:szCs w:val="20"/>
              </w:rPr>
              <w:t>Project and grant monitoring.</w:t>
            </w:r>
          </w:p>
          <w:p w14:paraId="7F2F5D77" w14:textId="77777777" w:rsidR="00EB30BB" w:rsidRDefault="00EB30BB" w:rsidP="00F14DF5">
            <w:pPr>
              <w:pStyle w:val="ListParagraph"/>
              <w:numPr>
                <w:ilvl w:val="0"/>
                <w:numId w:val="6"/>
              </w:numPr>
              <w:spacing w:after="0" w:line="240" w:lineRule="auto"/>
              <w:ind w:left="343" w:hanging="283"/>
              <w:rPr>
                <w:rFonts w:eastAsia="Calibri" w:cs="Calibri"/>
                <w:color w:val="000000"/>
                <w:sz w:val="20"/>
                <w:szCs w:val="20"/>
              </w:rPr>
            </w:pPr>
            <w:r w:rsidRPr="00475283">
              <w:rPr>
                <w:rFonts w:eastAsia="Calibri" w:cs="Calibri"/>
                <w:color w:val="000000"/>
                <w:sz w:val="20"/>
                <w:szCs w:val="20"/>
              </w:rPr>
              <w:t>Knowledge management.</w:t>
            </w:r>
          </w:p>
          <w:p w14:paraId="57218E79" w14:textId="77777777" w:rsidR="008D114F" w:rsidRPr="00475283" w:rsidRDefault="008D114F" w:rsidP="00F14DF5">
            <w:pPr>
              <w:pStyle w:val="ListParagraph"/>
              <w:numPr>
                <w:ilvl w:val="0"/>
                <w:numId w:val="6"/>
              </w:numPr>
              <w:spacing w:after="0" w:line="240" w:lineRule="auto"/>
              <w:ind w:left="343" w:hanging="283"/>
              <w:rPr>
                <w:rFonts w:eastAsia="Calibri" w:cs="Calibri"/>
                <w:color w:val="000000"/>
                <w:sz w:val="20"/>
                <w:szCs w:val="20"/>
              </w:rPr>
            </w:pPr>
            <w:r>
              <w:rPr>
                <w:rFonts w:eastAsia="Calibri" w:cs="Calibri"/>
                <w:color w:val="000000"/>
                <w:sz w:val="20"/>
                <w:szCs w:val="20"/>
              </w:rPr>
              <w:t>Reporting.</w:t>
            </w:r>
          </w:p>
        </w:tc>
        <w:tc>
          <w:tcPr>
            <w:tcW w:w="1445" w:type="dxa"/>
            <w:noWrap/>
            <w:tcMar>
              <w:top w:w="57" w:type="dxa"/>
              <w:left w:w="85" w:type="dxa"/>
              <w:bottom w:w="57" w:type="dxa"/>
              <w:right w:w="85" w:type="dxa"/>
            </w:tcMar>
            <w:vAlign w:val="center"/>
            <w:hideMark/>
          </w:tcPr>
          <w:p w14:paraId="3D6395B1" w14:textId="77777777" w:rsidR="00EB30BB" w:rsidRPr="00475283" w:rsidRDefault="00EB30BB" w:rsidP="00F14DF5">
            <w:pPr>
              <w:spacing w:after="0" w:line="240" w:lineRule="auto"/>
              <w:jc w:val="right"/>
              <w:rPr>
                <w:rFonts w:eastAsia="Calibri" w:cs="Calibri"/>
                <w:color w:val="000000"/>
                <w:sz w:val="20"/>
                <w:szCs w:val="20"/>
              </w:rPr>
            </w:pPr>
            <w:r w:rsidRPr="00475283">
              <w:rPr>
                <w:rFonts w:eastAsia="Calibri" w:cs="Calibri"/>
                <w:color w:val="000000"/>
                <w:sz w:val="20"/>
                <w:szCs w:val="20"/>
              </w:rPr>
              <w:t>454,316</w:t>
            </w:r>
          </w:p>
        </w:tc>
      </w:tr>
      <w:tr w:rsidR="008D114F" w:rsidRPr="00475283" w14:paraId="637B2314" w14:textId="77777777" w:rsidTr="00C62A22">
        <w:trPr>
          <w:trHeight w:val="300"/>
          <w:jc w:val="center"/>
        </w:trPr>
        <w:tc>
          <w:tcPr>
            <w:tcW w:w="1266" w:type="dxa"/>
            <w:noWrap/>
            <w:tcMar>
              <w:top w:w="57" w:type="dxa"/>
              <w:left w:w="85" w:type="dxa"/>
              <w:bottom w:w="57" w:type="dxa"/>
              <w:right w:w="85" w:type="dxa"/>
            </w:tcMar>
            <w:vAlign w:val="center"/>
            <w:hideMark/>
          </w:tcPr>
          <w:p w14:paraId="3527245C" w14:textId="77777777" w:rsidR="008D114F" w:rsidRPr="00475283" w:rsidRDefault="008D114F" w:rsidP="008D114F">
            <w:pPr>
              <w:spacing w:after="0" w:line="240" w:lineRule="auto"/>
              <w:rPr>
                <w:rFonts w:eastAsia="Calibri" w:cs="Calibri"/>
                <w:color w:val="000000"/>
                <w:sz w:val="20"/>
                <w:szCs w:val="20"/>
              </w:rPr>
            </w:pPr>
            <w:r w:rsidRPr="00475283">
              <w:rPr>
                <w:rFonts w:eastAsia="Calibri" w:cs="Calibri"/>
                <w:color w:val="000000"/>
                <w:sz w:val="20"/>
                <w:szCs w:val="20"/>
              </w:rPr>
              <w:t>GMS / indirect costs</w:t>
            </w:r>
          </w:p>
        </w:tc>
        <w:tc>
          <w:tcPr>
            <w:tcW w:w="1358" w:type="dxa"/>
            <w:tcMar>
              <w:top w:w="57" w:type="dxa"/>
              <w:left w:w="85" w:type="dxa"/>
              <w:bottom w:w="57" w:type="dxa"/>
              <w:right w:w="85" w:type="dxa"/>
            </w:tcMar>
            <w:vAlign w:val="center"/>
          </w:tcPr>
          <w:p w14:paraId="39AABF21" w14:textId="77777777" w:rsidR="008D114F" w:rsidRPr="00475283" w:rsidRDefault="008D114F" w:rsidP="008D114F">
            <w:pPr>
              <w:spacing w:after="0" w:line="240" w:lineRule="auto"/>
              <w:jc w:val="center"/>
              <w:rPr>
                <w:rFonts w:eastAsia="Calibri" w:cs="Calibri"/>
                <w:color w:val="000000"/>
                <w:sz w:val="20"/>
                <w:szCs w:val="20"/>
              </w:rPr>
            </w:pPr>
            <w:r w:rsidRPr="00475283">
              <w:rPr>
                <w:rFonts w:eastAsia="Calibri" w:cs="Calibri"/>
                <w:color w:val="000000"/>
                <w:sz w:val="20"/>
                <w:szCs w:val="20"/>
              </w:rPr>
              <w:t>-</w:t>
            </w:r>
          </w:p>
        </w:tc>
        <w:tc>
          <w:tcPr>
            <w:tcW w:w="4719" w:type="dxa"/>
            <w:tcMar>
              <w:top w:w="57" w:type="dxa"/>
              <w:left w:w="85" w:type="dxa"/>
              <w:bottom w:w="57" w:type="dxa"/>
              <w:right w:w="85" w:type="dxa"/>
            </w:tcMar>
          </w:tcPr>
          <w:p w14:paraId="6673296E" w14:textId="77777777" w:rsidR="008072F7" w:rsidRDefault="008072F7" w:rsidP="008D114F">
            <w:pPr>
              <w:pStyle w:val="ListParagraph"/>
              <w:numPr>
                <w:ilvl w:val="0"/>
                <w:numId w:val="6"/>
              </w:numPr>
              <w:spacing w:after="0" w:line="240" w:lineRule="auto"/>
              <w:ind w:left="343" w:hanging="283"/>
              <w:rPr>
                <w:rFonts w:eastAsia="Calibri" w:cs="Calibri"/>
                <w:color w:val="000000"/>
                <w:sz w:val="20"/>
                <w:szCs w:val="20"/>
              </w:rPr>
            </w:pPr>
            <w:r>
              <w:rPr>
                <w:rFonts w:eastAsia="Calibri" w:cs="Calibri"/>
                <w:color w:val="000000"/>
                <w:sz w:val="20"/>
                <w:szCs w:val="20"/>
              </w:rPr>
              <w:t>Administrative support</w:t>
            </w:r>
          </w:p>
          <w:p w14:paraId="6B0955FF" w14:textId="77777777" w:rsidR="008D114F" w:rsidRDefault="008D114F" w:rsidP="008D114F">
            <w:pPr>
              <w:pStyle w:val="ListParagraph"/>
              <w:numPr>
                <w:ilvl w:val="0"/>
                <w:numId w:val="6"/>
              </w:numPr>
              <w:spacing w:after="0" w:line="240" w:lineRule="auto"/>
              <w:ind w:left="343" w:hanging="283"/>
              <w:rPr>
                <w:rFonts w:eastAsia="Calibri" w:cs="Calibri"/>
                <w:color w:val="000000"/>
                <w:sz w:val="20"/>
                <w:szCs w:val="20"/>
              </w:rPr>
            </w:pPr>
            <w:r>
              <w:rPr>
                <w:rFonts w:eastAsia="Calibri" w:cs="Calibri"/>
                <w:color w:val="000000"/>
                <w:sz w:val="20"/>
                <w:szCs w:val="20"/>
              </w:rPr>
              <w:t xml:space="preserve">Oversight of funding management </w:t>
            </w:r>
            <w:r w:rsidR="008072F7">
              <w:rPr>
                <w:rFonts w:eastAsia="Calibri" w:cs="Calibri"/>
                <w:color w:val="000000"/>
                <w:sz w:val="20"/>
                <w:szCs w:val="20"/>
              </w:rPr>
              <w:t>&amp;</w:t>
            </w:r>
            <w:r>
              <w:rPr>
                <w:rFonts w:eastAsia="Calibri" w:cs="Calibri"/>
                <w:color w:val="000000"/>
                <w:sz w:val="20"/>
                <w:szCs w:val="20"/>
              </w:rPr>
              <w:t xml:space="preserve"> delivery</w:t>
            </w:r>
          </w:p>
          <w:p w14:paraId="60350D33" w14:textId="77777777" w:rsidR="008D114F" w:rsidRPr="00475283" w:rsidRDefault="008D114F" w:rsidP="008D114F">
            <w:pPr>
              <w:pStyle w:val="ListParagraph"/>
              <w:numPr>
                <w:ilvl w:val="0"/>
                <w:numId w:val="6"/>
              </w:numPr>
              <w:spacing w:after="0" w:line="240" w:lineRule="auto"/>
              <w:ind w:left="343" w:hanging="283"/>
              <w:rPr>
                <w:rFonts w:eastAsia="Calibri" w:cs="Calibri"/>
                <w:color w:val="000000"/>
                <w:sz w:val="20"/>
                <w:szCs w:val="20"/>
              </w:rPr>
            </w:pPr>
            <w:r>
              <w:rPr>
                <w:rFonts w:eastAsia="Calibri" w:cs="Calibri"/>
                <w:color w:val="000000"/>
                <w:sz w:val="20"/>
                <w:szCs w:val="20"/>
              </w:rPr>
              <w:t>Internal audits</w:t>
            </w:r>
          </w:p>
        </w:tc>
        <w:tc>
          <w:tcPr>
            <w:tcW w:w="1445" w:type="dxa"/>
            <w:noWrap/>
            <w:tcMar>
              <w:top w:w="57" w:type="dxa"/>
              <w:left w:w="85" w:type="dxa"/>
              <w:bottom w:w="57" w:type="dxa"/>
              <w:right w:w="85" w:type="dxa"/>
            </w:tcMar>
            <w:vAlign w:val="center"/>
            <w:hideMark/>
          </w:tcPr>
          <w:p w14:paraId="6E483737" w14:textId="77777777" w:rsidR="008D114F" w:rsidRPr="00475283" w:rsidRDefault="008D114F" w:rsidP="008D114F">
            <w:pPr>
              <w:spacing w:after="0" w:line="240" w:lineRule="auto"/>
              <w:jc w:val="right"/>
              <w:rPr>
                <w:rFonts w:eastAsia="Calibri" w:cs="Calibri"/>
                <w:color w:val="000000"/>
                <w:sz w:val="20"/>
                <w:szCs w:val="20"/>
              </w:rPr>
            </w:pPr>
            <w:r w:rsidRPr="00475283">
              <w:rPr>
                <w:rFonts w:eastAsia="Calibri" w:cs="Calibri"/>
                <w:color w:val="000000"/>
                <w:sz w:val="20"/>
                <w:szCs w:val="20"/>
              </w:rPr>
              <w:t>261,139</w:t>
            </w:r>
          </w:p>
        </w:tc>
      </w:tr>
      <w:tr w:rsidR="008D114F" w:rsidRPr="00475283" w14:paraId="538C2FFC" w14:textId="77777777" w:rsidTr="00F14DF5">
        <w:trPr>
          <w:trHeight w:val="300"/>
          <w:jc w:val="center"/>
        </w:trPr>
        <w:tc>
          <w:tcPr>
            <w:tcW w:w="1266" w:type="dxa"/>
            <w:shd w:val="clear" w:color="auto" w:fill="C5D9F1"/>
            <w:noWrap/>
            <w:tcMar>
              <w:top w:w="57" w:type="dxa"/>
              <w:left w:w="85" w:type="dxa"/>
              <w:bottom w:w="57" w:type="dxa"/>
              <w:right w:w="85" w:type="dxa"/>
            </w:tcMar>
            <w:vAlign w:val="center"/>
            <w:hideMark/>
          </w:tcPr>
          <w:p w14:paraId="05FD97E7" w14:textId="77777777" w:rsidR="008D114F" w:rsidRPr="00475283" w:rsidRDefault="008D114F" w:rsidP="008D114F">
            <w:pPr>
              <w:spacing w:after="0" w:line="240" w:lineRule="auto"/>
              <w:rPr>
                <w:rFonts w:eastAsia="Calibri" w:cs="Calibri"/>
                <w:b/>
                <w:bCs/>
                <w:color w:val="000000"/>
                <w:sz w:val="20"/>
                <w:szCs w:val="20"/>
              </w:rPr>
            </w:pPr>
            <w:r w:rsidRPr="00475283">
              <w:rPr>
                <w:rFonts w:eastAsia="Calibri" w:cs="Calibri"/>
                <w:b/>
                <w:bCs/>
                <w:color w:val="000000"/>
                <w:sz w:val="20"/>
                <w:szCs w:val="20"/>
              </w:rPr>
              <w:t>Grand Total</w:t>
            </w:r>
          </w:p>
        </w:tc>
        <w:tc>
          <w:tcPr>
            <w:tcW w:w="1358" w:type="dxa"/>
            <w:shd w:val="clear" w:color="auto" w:fill="C5D9F1"/>
            <w:tcMar>
              <w:top w:w="57" w:type="dxa"/>
              <w:left w:w="85" w:type="dxa"/>
              <w:bottom w:w="57" w:type="dxa"/>
              <w:right w:w="85" w:type="dxa"/>
            </w:tcMar>
            <w:vAlign w:val="center"/>
          </w:tcPr>
          <w:p w14:paraId="6CB92007" w14:textId="77777777" w:rsidR="008D114F" w:rsidRPr="00475283" w:rsidRDefault="008D114F" w:rsidP="008D114F">
            <w:pPr>
              <w:spacing w:after="0" w:line="240" w:lineRule="auto"/>
              <w:jc w:val="center"/>
              <w:rPr>
                <w:rFonts w:eastAsia="Calibri" w:cs="Calibri"/>
                <w:b/>
                <w:bCs/>
                <w:color w:val="000000"/>
                <w:sz w:val="20"/>
                <w:szCs w:val="20"/>
              </w:rPr>
            </w:pPr>
            <w:r w:rsidRPr="00475283">
              <w:rPr>
                <w:rFonts w:eastAsia="Calibri" w:cs="Calibri"/>
                <w:b/>
                <w:bCs/>
                <w:color w:val="000000"/>
                <w:sz w:val="20"/>
                <w:szCs w:val="20"/>
              </w:rPr>
              <w:t>101</w:t>
            </w:r>
          </w:p>
        </w:tc>
        <w:tc>
          <w:tcPr>
            <w:tcW w:w="4719" w:type="dxa"/>
            <w:shd w:val="clear" w:color="auto" w:fill="C5D9F1"/>
            <w:tcMar>
              <w:top w:w="57" w:type="dxa"/>
              <w:left w:w="85" w:type="dxa"/>
              <w:bottom w:w="57" w:type="dxa"/>
              <w:right w:w="85" w:type="dxa"/>
            </w:tcMar>
          </w:tcPr>
          <w:p w14:paraId="150EA5B4" w14:textId="77777777" w:rsidR="008D114F" w:rsidRPr="00475283" w:rsidRDefault="008D114F" w:rsidP="008D114F">
            <w:pPr>
              <w:spacing w:after="0" w:line="240" w:lineRule="auto"/>
              <w:rPr>
                <w:rFonts w:eastAsia="Calibri" w:cs="Calibri"/>
                <w:b/>
                <w:bCs/>
                <w:color w:val="000000"/>
                <w:sz w:val="20"/>
                <w:szCs w:val="20"/>
              </w:rPr>
            </w:pPr>
          </w:p>
        </w:tc>
        <w:tc>
          <w:tcPr>
            <w:tcW w:w="1445" w:type="dxa"/>
            <w:shd w:val="clear" w:color="auto" w:fill="C5D9F1"/>
            <w:noWrap/>
            <w:tcMar>
              <w:top w:w="57" w:type="dxa"/>
              <w:left w:w="85" w:type="dxa"/>
              <w:bottom w:w="57" w:type="dxa"/>
              <w:right w:w="85" w:type="dxa"/>
            </w:tcMar>
            <w:vAlign w:val="center"/>
            <w:hideMark/>
          </w:tcPr>
          <w:p w14:paraId="6DF7B94A" w14:textId="77777777" w:rsidR="008D114F" w:rsidRPr="00475283" w:rsidRDefault="008D114F" w:rsidP="008D114F">
            <w:pPr>
              <w:spacing w:after="0" w:line="240" w:lineRule="auto"/>
              <w:jc w:val="right"/>
              <w:rPr>
                <w:rFonts w:eastAsia="Calibri" w:cs="Calibri"/>
                <w:b/>
                <w:bCs/>
                <w:color w:val="000000"/>
                <w:sz w:val="20"/>
                <w:szCs w:val="20"/>
              </w:rPr>
            </w:pPr>
            <w:r w:rsidRPr="00475283">
              <w:rPr>
                <w:rFonts w:eastAsia="Calibri" w:cs="Calibri"/>
                <w:b/>
                <w:bCs/>
                <w:color w:val="000000"/>
                <w:sz w:val="20"/>
                <w:szCs w:val="20"/>
              </w:rPr>
              <w:t>3'991'694</w:t>
            </w:r>
          </w:p>
        </w:tc>
      </w:tr>
    </w:tbl>
    <w:p w14:paraId="4419CA29" w14:textId="77777777" w:rsidR="00EB30BB" w:rsidRDefault="00EB30BB" w:rsidP="00EB30BB">
      <w:pPr>
        <w:spacing w:before="120" w:after="0" w:line="240" w:lineRule="auto"/>
        <w:jc w:val="center"/>
      </w:pPr>
    </w:p>
    <w:p w14:paraId="2C6D6B26" w14:textId="77777777" w:rsidR="00EB30BB" w:rsidRDefault="00EB30BB">
      <w:r>
        <w:br w:type="page"/>
      </w:r>
    </w:p>
    <w:p w14:paraId="7CB46BFD" w14:textId="77777777" w:rsidR="00CF5EE7" w:rsidRPr="00475283" w:rsidRDefault="00EB30BB" w:rsidP="005B23FA">
      <w:pPr>
        <w:pStyle w:val="Heading1"/>
        <w:jc w:val="center"/>
      </w:pPr>
      <w:bookmarkStart w:id="10" w:name="_Toc10457061"/>
      <w:r>
        <w:lastRenderedPageBreak/>
        <w:t>Annex 2</w:t>
      </w:r>
      <w:r w:rsidR="005B23FA">
        <w:t xml:space="preserve">. </w:t>
      </w:r>
      <w:r w:rsidR="00CF5EE7" w:rsidRPr="00475283">
        <w:t xml:space="preserve">Selected </w:t>
      </w:r>
      <w:r w:rsidR="00987E74">
        <w:t xml:space="preserve">CBR+ </w:t>
      </w:r>
      <w:r w:rsidR="000C16D4" w:rsidRPr="00475283">
        <w:t xml:space="preserve">information </w:t>
      </w:r>
      <w:r w:rsidR="00987E74">
        <w:t>and</w:t>
      </w:r>
      <w:r w:rsidR="000C16D4" w:rsidRPr="00475283">
        <w:t xml:space="preserve"> knowledge </w:t>
      </w:r>
      <w:r w:rsidR="00CF5EE7" w:rsidRPr="00475283">
        <w:t xml:space="preserve">documentation </w:t>
      </w:r>
      <w:r w:rsidR="005B23FA">
        <w:t>(2014-2017)</w:t>
      </w:r>
      <w:bookmarkEnd w:id="10"/>
    </w:p>
    <w:p w14:paraId="309FCB49" w14:textId="4EB120BB" w:rsidR="00CF5EE7" w:rsidRDefault="00CF5EE7" w:rsidP="00CF5EE7">
      <w:pPr>
        <w:spacing w:after="0" w:line="240" w:lineRule="auto"/>
      </w:pPr>
    </w:p>
    <w:p w14:paraId="7C419007" w14:textId="77777777" w:rsidR="00BD3558" w:rsidRPr="00475283" w:rsidRDefault="00BD3558" w:rsidP="00CF5EE7">
      <w:pPr>
        <w:spacing w:after="0" w:line="240" w:lineRule="auto"/>
      </w:pPr>
    </w:p>
    <w:tbl>
      <w:tblPr>
        <w:tblStyle w:val="TableGrid"/>
        <w:tblW w:w="0" w:type="auto"/>
        <w:jc w:val="center"/>
        <w:tblLook w:val="04A0" w:firstRow="1" w:lastRow="0" w:firstColumn="1" w:lastColumn="0" w:noHBand="0" w:noVBand="1"/>
      </w:tblPr>
      <w:tblGrid>
        <w:gridCol w:w="1054"/>
        <w:gridCol w:w="1866"/>
        <w:gridCol w:w="4552"/>
        <w:gridCol w:w="696"/>
        <w:gridCol w:w="633"/>
      </w:tblGrid>
      <w:tr w:rsidR="00CF5EE7" w:rsidRPr="00475283" w14:paraId="4ED8A0F6" w14:textId="77777777" w:rsidTr="005208D0">
        <w:trPr>
          <w:tblHeader/>
          <w:jc w:val="center"/>
        </w:trPr>
        <w:tc>
          <w:tcPr>
            <w:tcW w:w="850" w:type="dxa"/>
            <w:shd w:val="clear" w:color="auto" w:fill="C6D9F1" w:themeFill="text2" w:themeFillTint="33"/>
            <w:tcMar>
              <w:top w:w="57" w:type="dxa"/>
              <w:bottom w:w="57" w:type="dxa"/>
            </w:tcMar>
            <w:vAlign w:val="center"/>
          </w:tcPr>
          <w:p w14:paraId="7D468B74" w14:textId="77777777" w:rsidR="00CF5EE7" w:rsidRPr="00475283" w:rsidRDefault="00CF5EE7" w:rsidP="00533C70">
            <w:pPr>
              <w:rPr>
                <w:b/>
                <w:sz w:val="20"/>
                <w:szCs w:val="20"/>
              </w:rPr>
            </w:pPr>
            <w:r w:rsidRPr="00475283">
              <w:rPr>
                <w:b/>
                <w:sz w:val="20"/>
                <w:szCs w:val="20"/>
              </w:rPr>
              <w:t>Country</w:t>
            </w:r>
          </w:p>
        </w:tc>
        <w:tc>
          <w:tcPr>
            <w:tcW w:w="1866" w:type="dxa"/>
            <w:shd w:val="clear" w:color="auto" w:fill="C6D9F1" w:themeFill="text2" w:themeFillTint="33"/>
            <w:tcMar>
              <w:top w:w="57" w:type="dxa"/>
              <w:bottom w:w="57" w:type="dxa"/>
            </w:tcMar>
            <w:vAlign w:val="center"/>
          </w:tcPr>
          <w:p w14:paraId="1660DC7A" w14:textId="77777777" w:rsidR="00CF5EE7" w:rsidRPr="00475283" w:rsidRDefault="00CF5EE7" w:rsidP="00533C70">
            <w:pPr>
              <w:rPr>
                <w:b/>
                <w:sz w:val="20"/>
                <w:szCs w:val="20"/>
              </w:rPr>
            </w:pPr>
            <w:r w:rsidRPr="00475283">
              <w:rPr>
                <w:b/>
                <w:sz w:val="20"/>
                <w:szCs w:val="20"/>
              </w:rPr>
              <w:t>Product type</w:t>
            </w:r>
          </w:p>
        </w:tc>
        <w:tc>
          <w:tcPr>
            <w:tcW w:w="4552" w:type="dxa"/>
            <w:shd w:val="clear" w:color="auto" w:fill="C6D9F1" w:themeFill="text2" w:themeFillTint="33"/>
            <w:tcMar>
              <w:top w:w="57" w:type="dxa"/>
              <w:bottom w:w="57" w:type="dxa"/>
            </w:tcMar>
          </w:tcPr>
          <w:p w14:paraId="1CF6E733" w14:textId="77777777" w:rsidR="00CF5EE7" w:rsidRPr="00475283" w:rsidRDefault="00CF5EE7" w:rsidP="00533C70">
            <w:pPr>
              <w:rPr>
                <w:b/>
                <w:sz w:val="20"/>
                <w:szCs w:val="20"/>
              </w:rPr>
            </w:pPr>
            <w:r w:rsidRPr="00475283">
              <w:rPr>
                <w:b/>
                <w:sz w:val="20"/>
                <w:szCs w:val="20"/>
              </w:rPr>
              <w:t>Title / Theme</w:t>
            </w:r>
          </w:p>
        </w:tc>
        <w:tc>
          <w:tcPr>
            <w:tcW w:w="696" w:type="dxa"/>
            <w:shd w:val="clear" w:color="auto" w:fill="C6D9F1" w:themeFill="text2" w:themeFillTint="33"/>
            <w:tcMar>
              <w:top w:w="57" w:type="dxa"/>
              <w:bottom w:w="57" w:type="dxa"/>
            </w:tcMar>
            <w:vAlign w:val="center"/>
          </w:tcPr>
          <w:p w14:paraId="47104FD1" w14:textId="77777777" w:rsidR="00CF5EE7" w:rsidRPr="00475283" w:rsidRDefault="00CF5EE7" w:rsidP="00533C70">
            <w:pPr>
              <w:jc w:val="center"/>
              <w:rPr>
                <w:b/>
                <w:sz w:val="20"/>
                <w:szCs w:val="20"/>
              </w:rPr>
            </w:pPr>
            <w:r w:rsidRPr="00475283">
              <w:rPr>
                <w:b/>
                <w:sz w:val="20"/>
                <w:szCs w:val="20"/>
              </w:rPr>
              <w:t>Date</w:t>
            </w:r>
          </w:p>
        </w:tc>
        <w:tc>
          <w:tcPr>
            <w:tcW w:w="633" w:type="dxa"/>
            <w:shd w:val="clear" w:color="auto" w:fill="C6D9F1" w:themeFill="text2" w:themeFillTint="33"/>
            <w:tcMar>
              <w:top w:w="57" w:type="dxa"/>
              <w:bottom w:w="57" w:type="dxa"/>
            </w:tcMar>
            <w:vAlign w:val="center"/>
          </w:tcPr>
          <w:p w14:paraId="57D2D8EB" w14:textId="77777777" w:rsidR="00CF5EE7" w:rsidRPr="00475283" w:rsidRDefault="00CF5EE7" w:rsidP="00533C70">
            <w:pPr>
              <w:jc w:val="center"/>
              <w:rPr>
                <w:b/>
                <w:sz w:val="20"/>
                <w:szCs w:val="20"/>
              </w:rPr>
            </w:pPr>
            <w:r w:rsidRPr="00475283">
              <w:rPr>
                <w:b/>
                <w:sz w:val="20"/>
                <w:szCs w:val="20"/>
              </w:rPr>
              <w:t>Link</w:t>
            </w:r>
            <w:r w:rsidR="0040105D">
              <w:rPr>
                <w:b/>
                <w:sz w:val="20"/>
                <w:szCs w:val="20"/>
              </w:rPr>
              <w:t>s</w:t>
            </w:r>
          </w:p>
        </w:tc>
      </w:tr>
      <w:tr w:rsidR="00B43902" w:rsidRPr="00475283" w14:paraId="08343F7C" w14:textId="77777777" w:rsidTr="005208D0">
        <w:trPr>
          <w:jc w:val="center"/>
        </w:trPr>
        <w:tc>
          <w:tcPr>
            <w:tcW w:w="850" w:type="dxa"/>
            <w:vMerge w:val="restart"/>
            <w:tcMar>
              <w:top w:w="57" w:type="dxa"/>
              <w:bottom w:w="57" w:type="dxa"/>
            </w:tcMar>
            <w:vAlign w:val="center"/>
          </w:tcPr>
          <w:p w14:paraId="67A3E54A" w14:textId="77777777" w:rsidR="00B43902" w:rsidRPr="00475283" w:rsidRDefault="00B43902" w:rsidP="00533C70">
            <w:pPr>
              <w:rPr>
                <w:b/>
                <w:sz w:val="20"/>
                <w:szCs w:val="20"/>
              </w:rPr>
            </w:pPr>
            <w:r w:rsidRPr="00475283">
              <w:rPr>
                <w:b/>
                <w:sz w:val="20"/>
                <w:szCs w:val="20"/>
              </w:rPr>
              <w:t>Global</w:t>
            </w:r>
          </w:p>
        </w:tc>
        <w:tc>
          <w:tcPr>
            <w:tcW w:w="1866" w:type="dxa"/>
            <w:tcMar>
              <w:top w:w="57" w:type="dxa"/>
              <w:bottom w:w="57" w:type="dxa"/>
            </w:tcMar>
            <w:vAlign w:val="center"/>
          </w:tcPr>
          <w:p w14:paraId="15A0459E" w14:textId="77777777" w:rsidR="00B43902" w:rsidRPr="00475283" w:rsidRDefault="00B43902" w:rsidP="00533C70">
            <w:pPr>
              <w:rPr>
                <w:sz w:val="20"/>
                <w:szCs w:val="20"/>
              </w:rPr>
            </w:pPr>
            <w:r w:rsidRPr="00475283">
              <w:rPr>
                <w:sz w:val="20"/>
                <w:szCs w:val="20"/>
              </w:rPr>
              <w:t>Information brief</w:t>
            </w:r>
          </w:p>
        </w:tc>
        <w:tc>
          <w:tcPr>
            <w:tcW w:w="4552" w:type="dxa"/>
            <w:tcMar>
              <w:top w:w="57" w:type="dxa"/>
              <w:bottom w:w="57" w:type="dxa"/>
            </w:tcMar>
          </w:tcPr>
          <w:p w14:paraId="409B69EF" w14:textId="77777777" w:rsidR="00B43902" w:rsidRPr="00475283" w:rsidRDefault="00B43902" w:rsidP="00533C70">
            <w:pPr>
              <w:rPr>
                <w:sz w:val="20"/>
                <w:szCs w:val="20"/>
              </w:rPr>
            </w:pPr>
            <w:r w:rsidRPr="00475283">
              <w:rPr>
                <w:sz w:val="20"/>
                <w:szCs w:val="20"/>
              </w:rPr>
              <w:t>CBR+ Fact Sheet</w:t>
            </w:r>
          </w:p>
        </w:tc>
        <w:tc>
          <w:tcPr>
            <w:tcW w:w="696" w:type="dxa"/>
            <w:tcMar>
              <w:top w:w="57" w:type="dxa"/>
              <w:bottom w:w="57" w:type="dxa"/>
            </w:tcMar>
            <w:vAlign w:val="center"/>
          </w:tcPr>
          <w:p w14:paraId="253BBDC2" w14:textId="77777777" w:rsidR="00B43902" w:rsidRPr="00475283" w:rsidRDefault="00B43902" w:rsidP="00533C70">
            <w:pPr>
              <w:jc w:val="center"/>
              <w:rPr>
                <w:sz w:val="20"/>
                <w:szCs w:val="20"/>
              </w:rPr>
            </w:pPr>
            <w:r w:rsidRPr="00475283">
              <w:rPr>
                <w:sz w:val="20"/>
                <w:szCs w:val="20"/>
              </w:rPr>
              <w:t>2015</w:t>
            </w:r>
          </w:p>
        </w:tc>
        <w:tc>
          <w:tcPr>
            <w:tcW w:w="633" w:type="dxa"/>
            <w:tcMar>
              <w:top w:w="57" w:type="dxa"/>
              <w:bottom w:w="57" w:type="dxa"/>
            </w:tcMar>
            <w:vAlign w:val="center"/>
          </w:tcPr>
          <w:p w14:paraId="7FEB7D56" w14:textId="77777777" w:rsidR="00B43902" w:rsidRPr="00475283" w:rsidRDefault="00770EA4" w:rsidP="00533C70">
            <w:pPr>
              <w:jc w:val="center"/>
              <w:rPr>
                <w:sz w:val="20"/>
                <w:szCs w:val="20"/>
              </w:rPr>
            </w:pPr>
            <w:hyperlink r:id="rId12" w:history="1">
              <w:r w:rsidR="00B43902" w:rsidRPr="00475283">
                <w:rPr>
                  <w:rStyle w:val="Hyperlink"/>
                  <w:rFonts w:ascii="Cambria Math" w:hAnsi="Cambria Math"/>
                  <w:sz w:val="20"/>
                  <w:szCs w:val="20"/>
                  <w:u w:val="none"/>
                </w:rPr>
                <w:t>⫸</w:t>
              </w:r>
            </w:hyperlink>
          </w:p>
        </w:tc>
      </w:tr>
      <w:tr w:rsidR="00B43902" w:rsidRPr="00475283" w14:paraId="6A0BCA78" w14:textId="77777777" w:rsidTr="005208D0">
        <w:trPr>
          <w:jc w:val="center"/>
        </w:trPr>
        <w:tc>
          <w:tcPr>
            <w:tcW w:w="850" w:type="dxa"/>
            <w:vMerge/>
            <w:tcMar>
              <w:top w:w="57" w:type="dxa"/>
              <w:bottom w:w="57" w:type="dxa"/>
            </w:tcMar>
            <w:vAlign w:val="center"/>
          </w:tcPr>
          <w:p w14:paraId="5774399C" w14:textId="77777777" w:rsidR="00B43902" w:rsidRPr="00475283" w:rsidRDefault="00B43902" w:rsidP="00533C70">
            <w:pPr>
              <w:rPr>
                <w:b/>
                <w:sz w:val="20"/>
                <w:szCs w:val="20"/>
              </w:rPr>
            </w:pPr>
          </w:p>
        </w:tc>
        <w:tc>
          <w:tcPr>
            <w:tcW w:w="1866" w:type="dxa"/>
            <w:tcMar>
              <w:top w:w="57" w:type="dxa"/>
              <w:bottom w:w="57" w:type="dxa"/>
            </w:tcMar>
            <w:vAlign w:val="center"/>
          </w:tcPr>
          <w:p w14:paraId="20D2ED0A" w14:textId="77777777" w:rsidR="00B43902" w:rsidRPr="00475283" w:rsidRDefault="00B43902" w:rsidP="00533C70">
            <w:pPr>
              <w:rPr>
                <w:sz w:val="20"/>
                <w:szCs w:val="20"/>
              </w:rPr>
            </w:pPr>
            <w:r w:rsidRPr="00475283">
              <w:rPr>
                <w:sz w:val="20"/>
                <w:szCs w:val="20"/>
              </w:rPr>
              <w:t>Information brief</w:t>
            </w:r>
          </w:p>
        </w:tc>
        <w:tc>
          <w:tcPr>
            <w:tcW w:w="4552" w:type="dxa"/>
            <w:tcMar>
              <w:top w:w="57" w:type="dxa"/>
              <w:bottom w:w="57" w:type="dxa"/>
            </w:tcMar>
          </w:tcPr>
          <w:p w14:paraId="56DC6A87" w14:textId="77777777" w:rsidR="00B43902" w:rsidRPr="00475283" w:rsidRDefault="00B43902" w:rsidP="00533C70">
            <w:pPr>
              <w:rPr>
                <w:sz w:val="20"/>
                <w:szCs w:val="20"/>
              </w:rPr>
            </w:pPr>
            <w:r w:rsidRPr="00475283">
              <w:rPr>
                <w:sz w:val="20"/>
                <w:szCs w:val="20"/>
              </w:rPr>
              <w:t>CBR+ Brochure</w:t>
            </w:r>
          </w:p>
        </w:tc>
        <w:tc>
          <w:tcPr>
            <w:tcW w:w="696" w:type="dxa"/>
            <w:tcMar>
              <w:top w:w="57" w:type="dxa"/>
              <w:bottom w:w="57" w:type="dxa"/>
            </w:tcMar>
            <w:vAlign w:val="center"/>
          </w:tcPr>
          <w:p w14:paraId="60EFAB56" w14:textId="77777777" w:rsidR="00B43902" w:rsidRPr="00475283" w:rsidRDefault="00B43902" w:rsidP="00533C70">
            <w:pPr>
              <w:jc w:val="center"/>
              <w:rPr>
                <w:sz w:val="20"/>
                <w:szCs w:val="20"/>
              </w:rPr>
            </w:pPr>
            <w:r w:rsidRPr="00475283">
              <w:rPr>
                <w:sz w:val="20"/>
                <w:szCs w:val="20"/>
              </w:rPr>
              <w:t>2017</w:t>
            </w:r>
          </w:p>
        </w:tc>
        <w:tc>
          <w:tcPr>
            <w:tcW w:w="633" w:type="dxa"/>
            <w:tcMar>
              <w:top w:w="57" w:type="dxa"/>
              <w:bottom w:w="57" w:type="dxa"/>
            </w:tcMar>
            <w:vAlign w:val="center"/>
          </w:tcPr>
          <w:p w14:paraId="658CEA77" w14:textId="77777777" w:rsidR="00B43902" w:rsidRPr="00475283" w:rsidRDefault="00770EA4" w:rsidP="00533C70">
            <w:pPr>
              <w:jc w:val="center"/>
              <w:rPr>
                <w:sz w:val="20"/>
                <w:szCs w:val="20"/>
              </w:rPr>
            </w:pPr>
            <w:hyperlink r:id="rId13" w:history="1">
              <w:r w:rsidR="00B43902" w:rsidRPr="00475283">
                <w:rPr>
                  <w:rStyle w:val="Hyperlink"/>
                  <w:rFonts w:ascii="Cambria Math" w:hAnsi="Cambria Math" w:cs="Cambria Math"/>
                  <w:sz w:val="20"/>
                  <w:szCs w:val="20"/>
                  <w:u w:val="none"/>
                </w:rPr>
                <w:t>⫸</w:t>
              </w:r>
            </w:hyperlink>
          </w:p>
        </w:tc>
      </w:tr>
      <w:tr w:rsidR="00B43902" w:rsidRPr="00475283" w14:paraId="59AA675D" w14:textId="77777777" w:rsidTr="005208D0">
        <w:trPr>
          <w:jc w:val="center"/>
        </w:trPr>
        <w:tc>
          <w:tcPr>
            <w:tcW w:w="850" w:type="dxa"/>
            <w:vMerge/>
            <w:tcMar>
              <w:top w:w="57" w:type="dxa"/>
              <w:bottom w:w="57" w:type="dxa"/>
            </w:tcMar>
            <w:vAlign w:val="center"/>
          </w:tcPr>
          <w:p w14:paraId="6163455E" w14:textId="77777777" w:rsidR="00B43902" w:rsidRPr="00475283" w:rsidRDefault="00B43902" w:rsidP="00533C70">
            <w:pPr>
              <w:rPr>
                <w:b/>
                <w:sz w:val="20"/>
                <w:szCs w:val="20"/>
              </w:rPr>
            </w:pPr>
          </w:p>
        </w:tc>
        <w:tc>
          <w:tcPr>
            <w:tcW w:w="1866" w:type="dxa"/>
            <w:tcMar>
              <w:top w:w="57" w:type="dxa"/>
              <w:bottom w:w="57" w:type="dxa"/>
            </w:tcMar>
            <w:vAlign w:val="center"/>
          </w:tcPr>
          <w:p w14:paraId="386916F1" w14:textId="77777777" w:rsidR="00B43902" w:rsidRPr="00475283" w:rsidRDefault="00B43902" w:rsidP="00533C70">
            <w:pPr>
              <w:rPr>
                <w:sz w:val="20"/>
                <w:szCs w:val="20"/>
              </w:rPr>
            </w:pPr>
            <w:r w:rsidRPr="00475283">
              <w:rPr>
                <w:sz w:val="20"/>
                <w:szCs w:val="20"/>
              </w:rPr>
              <w:t>Progress brief</w:t>
            </w:r>
          </w:p>
        </w:tc>
        <w:tc>
          <w:tcPr>
            <w:tcW w:w="4552" w:type="dxa"/>
            <w:tcMar>
              <w:top w:w="57" w:type="dxa"/>
              <w:bottom w:w="57" w:type="dxa"/>
            </w:tcMar>
          </w:tcPr>
          <w:p w14:paraId="32A1F5B1" w14:textId="77777777" w:rsidR="00B43902" w:rsidRPr="00475283" w:rsidRDefault="00B43902" w:rsidP="00533C70">
            <w:pPr>
              <w:rPr>
                <w:sz w:val="20"/>
                <w:szCs w:val="20"/>
              </w:rPr>
            </w:pPr>
            <w:r w:rsidRPr="00475283">
              <w:rPr>
                <w:sz w:val="20"/>
                <w:szCs w:val="20"/>
              </w:rPr>
              <w:t>CBR+ Progress Brief</w:t>
            </w:r>
          </w:p>
        </w:tc>
        <w:tc>
          <w:tcPr>
            <w:tcW w:w="696" w:type="dxa"/>
            <w:tcMar>
              <w:top w:w="57" w:type="dxa"/>
              <w:bottom w:w="57" w:type="dxa"/>
            </w:tcMar>
            <w:vAlign w:val="center"/>
          </w:tcPr>
          <w:p w14:paraId="0A5B4E7C" w14:textId="77777777" w:rsidR="00B43902" w:rsidRPr="00475283" w:rsidRDefault="00B43902" w:rsidP="00533C70">
            <w:pPr>
              <w:jc w:val="center"/>
              <w:rPr>
                <w:sz w:val="20"/>
                <w:szCs w:val="20"/>
              </w:rPr>
            </w:pPr>
            <w:r w:rsidRPr="00475283">
              <w:rPr>
                <w:sz w:val="20"/>
                <w:szCs w:val="20"/>
              </w:rPr>
              <w:t>2017</w:t>
            </w:r>
          </w:p>
        </w:tc>
        <w:tc>
          <w:tcPr>
            <w:tcW w:w="633" w:type="dxa"/>
            <w:tcMar>
              <w:top w:w="57" w:type="dxa"/>
              <w:bottom w:w="57" w:type="dxa"/>
            </w:tcMar>
            <w:vAlign w:val="center"/>
          </w:tcPr>
          <w:p w14:paraId="6BDEB3F3" w14:textId="77777777" w:rsidR="00B43902" w:rsidRPr="00475283" w:rsidRDefault="00770EA4" w:rsidP="00533C70">
            <w:pPr>
              <w:jc w:val="center"/>
              <w:rPr>
                <w:sz w:val="20"/>
                <w:szCs w:val="20"/>
              </w:rPr>
            </w:pPr>
            <w:hyperlink r:id="rId14" w:history="1">
              <w:r w:rsidR="00B43902" w:rsidRPr="00475283">
                <w:rPr>
                  <w:rStyle w:val="Hyperlink"/>
                  <w:rFonts w:ascii="Cambria Math" w:hAnsi="Cambria Math" w:cs="Cambria Math"/>
                  <w:sz w:val="20"/>
                  <w:szCs w:val="20"/>
                  <w:u w:val="none"/>
                </w:rPr>
                <w:t>⫸</w:t>
              </w:r>
            </w:hyperlink>
          </w:p>
        </w:tc>
      </w:tr>
      <w:tr w:rsidR="00B43902" w:rsidRPr="00475283" w14:paraId="6F80C2B3" w14:textId="77777777" w:rsidTr="005208D0">
        <w:trPr>
          <w:jc w:val="center"/>
        </w:trPr>
        <w:tc>
          <w:tcPr>
            <w:tcW w:w="850" w:type="dxa"/>
            <w:vMerge/>
            <w:tcMar>
              <w:top w:w="57" w:type="dxa"/>
              <w:bottom w:w="57" w:type="dxa"/>
            </w:tcMar>
            <w:vAlign w:val="center"/>
          </w:tcPr>
          <w:p w14:paraId="794C3ED0" w14:textId="77777777" w:rsidR="00B43902" w:rsidRPr="00475283" w:rsidRDefault="00B43902" w:rsidP="00533C70">
            <w:pPr>
              <w:rPr>
                <w:b/>
                <w:sz w:val="20"/>
                <w:szCs w:val="20"/>
              </w:rPr>
            </w:pPr>
          </w:p>
        </w:tc>
        <w:tc>
          <w:tcPr>
            <w:tcW w:w="1866" w:type="dxa"/>
            <w:tcMar>
              <w:top w:w="57" w:type="dxa"/>
              <w:bottom w:w="57" w:type="dxa"/>
            </w:tcMar>
            <w:vAlign w:val="center"/>
          </w:tcPr>
          <w:p w14:paraId="7D129E35" w14:textId="77777777" w:rsidR="00B43902" w:rsidRPr="00475283" w:rsidRDefault="00B43902" w:rsidP="00533C70">
            <w:pPr>
              <w:rPr>
                <w:sz w:val="20"/>
                <w:szCs w:val="20"/>
              </w:rPr>
            </w:pPr>
            <w:r w:rsidRPr="00475283">
              <w:rPr>
                <w:sz w:val="20"/>
                <w:szCs w:val="20"/>
              </w:rPr>
              <w:t>Blog article</w:t>
            </w:r>
          </w:p>
        </w:tc>
        <w:tc>
          <w:tcPr>
            <w:tcW w:w="4552" w:type="dxa"/>
            <w:tcMar>
              <w:top w:w="57" w:type="dxa"/>
              <w:bottom w:w="57" w:type="dxa"/>
            </w:tcMar>
          </w:tcPr>
          <w:p w14:paraId="4E4C3FC7" w14:textId="77777777" w:rsidR="00B43902" w:rsidRPr="00475283" w:rsidRDefault="00B43902" w:rsidP="00533C70">
            <w:pPr>
              <w:rPr>
                <w:sz w:val="20"/>
                <w:szCs w:val="20"/>
              </w:rPr>
            </w:pPr>
            <w:r w:rsidRPr="00475283">
              <w:rPr>
                <w:sz w:val="20"/>
                <w:szCs w:val="20"/>
              </w:rPr>
              <w:t>CBR+ Update: Supporting Innovative Community Solutions in Sri Lanka and Cambodia</w:t>
            </w:r>
          </w:p>
        </w:tc>
        <w:tc>
          <w:tcPr>
            <w:tcW w:w="696" w:type="dxa"/>
            <w:tcMar>
              <w:top w:w="57" w:type="dxa"/>
              <w:bottom w:w="57" w:type="dxa"/>
            </w:tcMar>
            <w:vAlign w:val="center"/>
          </w:tcPr>
          <w:p w14:paraId="5E379E1E" w14:textId="77777777" w:rsidR="00B43902" w:rsidRPr="00475283" w:rsidRDefault="00B43902" w:rsidP="00533C70">
            <w:pPr>
              <w:jc w:val="center"/>
              <w:rPr>
                <w:sz w:val="20"/>
                <w:szCs w:val="20"/>
              </w:rPr>
            </w:pPr>
            <w:r w:rsidRPr="00475283">
              <w:rPr>
                <w:sz w:val="20"/>
                <w:szCs w:val="20"/>
              </w:rPr>
              <w:t>2017</w:t>
            </w:r>
          </w:p>
        </w:tc>
        <w:tc>
          <w:tcPr>
            <w:tcW w:w="633" w:type="dxa"/>
            <w:tcMar>
              <w:top w:w="57" w:type="dxa"/>
              <w:bottom w:w="57" w:type="dxa"/>
            </w:tcMar>
            <w:vAlign w:val="center"/>
          </w:tcPr>
          <w:p w14:paraId="16B9C329" w14:textId="77777777" w:rsidR="00B43902" w:rsidRPr="00475283" w:rsidRDefault="00770EA4" w:rsidP="00533C70">
            <w:pPr>
              <w:jc w:val="center"/>
              <w:rPr>
                <w:sz w:val="20"/>
                <w:szCs w:val="20"/>
              </w:rPr>
            </w:pPr>
            <w:hyperlink r:id="rId15" w:history="1">
              <w:r w:rsidR="00B43902" w:rsidRPr="00475283">
                <w:rPr>
                  <w:rStyle w:val="Hyperlink"/>
                  <w:rFonts w:ascii="Cambria Math" w:hAnsi="Cambria Math"/>
                  <w:sz w:val="20"/>
                  <w:szCs w:val="20"/>
                  <w:u w:val="none"/>
                </w:rPr>
                <w:t>⫸</w:t>
              </w:r>
            </w:hyperlink>
          </w:p>
        </w:tc>
      </w:tr>
      <w:tr w:rsidR="0040105D" w:rsidRPr="00475283" w14:paraId="06B43FEA" w14:textId="77777777" w:rsidTr="005208D0">
        <w:trPr>
          <w:trHeight w:val="2497"/>
          <w:jc w:val="center"/>
        </w:trPr>
        <w:tc>
          <w:tcPr>
            <w:tcW w:w="850" w:type="dxa"/>
            <w:tcMar>
              <w:top w:w="57" w:type="dxa"/>
              <w:bottom w:w="57" w:type="dxa"/>
            </w:tcMar>
            <w:vAlign w:val="center"/>
          </w:tcPr>
          <w:p w14:paraId="39BA3FD1" w14:textId="77777777" w:rsidR="0040105D" w:rsidRPr="00475283" w:rsidRDefault="0040105D" w:rsidP="00533C70">
            <w:pPr>
              <w:rPr>
                <w:b/>
                <w:sz w:val="20"/>
                <w:szCs w:val="20"/>
              </w:rPr>
            </w:pPr>
            <w:r w:rsidRPr="00475283">
              <w:rPr>
                <w:b/>
                <w:sz w:val="20"/>
                <w:szCs w:val="20"/>
              </w:rPr>
              <w:t>Cambodia</w:t>
            </w:r>
          </w:p>
        </w:tc>
        <w:tc>
          <w:tcPr>
            <w:tcW w:w="1866" w:type="dxa"/>
            <w:tcMar>
              <w:top w:w="57" w:type="dxa"/>
              <w:bottom w:w="57" w:type="dxa"/>
            </w:tcMar>
            <w:vAlign w:val="center"/>
          </w:tcPr>
          <w:p w14:paraId="392F1941" w14:textId="77777777" w:rsidR="0040105D" w:rsidRPr="00475283" w:rsidRDefault="0040105D" w:rsidP="00533C70">
            <w:pPr>
              <w:rPr>
                <w:sz w:val="20"/>
                <w:szCs w:val="20"/>
              </w:rPr>
            </w:pPr>
            <w:r w:rsidRPr="00475283">
              <w:rPr>
                <w:sz w:val="20"/>
                <w:szCs w:val="20"/>
              </w:rPr>
              <w:t>Evaluation report</w:t>
            </w:r>
            <w:r w:rsidR="00664FED">
              <w:rPr>
                <w:sz w:val="20"/>
                <w:szCs w:val="20"/>
              </w:rPr>
              <w:t>s</w:t>
            </w:r>
          </w:p>
        </w:tc>
        <w:tc>
          <w:tcPr>
            <w:tcW w:w="4552" w:type="dxa"/>
            <w:tcMar>
              <w:top w:w="57" w:type="dxa"/>
              <w:bottom w:w="57" w:type="dxa"/>
            </w:tcMar>
          </w:tcPr>
          <w:p w14:paraId="5EE8B4C5" w14:textId="77777777" w:rsidR="0040105D" w:rsidRDefault="0040105D" w:rsidP="00533C70">
            <w:pPr>
              <w:rPr>
                <w:sz w:val="20"/>
                <w:szCs w:val="20"/>
              </w:rPr>
            </w:pPr>
            <w:r>
              <w:rPr>
                <w:sz w:val="20"/>
                <w:szCs w:val="20"/>
              </w:rPr>
              <w:t>Independent e</w:t>
            </w:r>
            <w:r w:rsidRPr="00475283">
              <w:rPr>
                <w:sz w:val="20"/>
                <w:szCs w:val="20"/>
              </w:rPr>
              <w:t>valuation</w:t>
            </w:r>
            <w:r>
              <w:rPr>
                <w:sz w:val="20"/>
                <w:szCs w:val="20"/>
              </w:rPr>
              <w:t>s of the following CBR+ projects:</w:t>
            </w:r>
          </w:p>
          <w:p w14:paraId="206BC176" w14:textId="77777777" w:rsidR="0040105D" w:rsidRPr="0040105D" w:rsidRDefault="0040105D" w:rsidP="005208D0">
            <w:pPr>
              <w:pStyle w:val="ListParagraph"/>
              <w:numPr>
                <w:ilvl w:val="0"/>
                <w:numId w:val="25"/>
              </w:numPr>
              <w:ind w:left="178" w:hanging="178"/>
              <w:contextualSpacing w:val="0"/>
              <w:rPr>
                <w:sz w:val="20"/>
                <w:szCs w:val="20"/>
              </w:rPr>
            </w:pPr>
            <w:r w:rsidRPr="0040105D">
              <w:rPr>
                <w:sz w:val="20"/>
                <w:szCs w:val="20"/>
              </w:rPr>
              <w:t>AFD/CBR+ project</w:t>
            </w:r>
            <w:r>
              <w:rPr>
                <w:sz w:val="20"/>
                <w:szCs w:val="20"/>
              </w:rPr>
              <w:t xml:space="preserve"> </w:t>
            </w:r>
            <w:r w:rsidRPr="0040105D">
              <w:rPr>
                <w:sz w:val="20"/>
                <w:szCs w:val="20"/>
              </w:rPr>
              <w:t>in Kampong Thom Province</w:t>
            </w:r>
          </w:p>
          <w:p w14:paraId="60E981D0" w14:textId="77777777" w:rsidR="0040105D" w:rsidRPr="0040105D" w:rsidRDefault="0040105D" w:rsidP="005208D0">
            <w:pPr>
              <w:pStyle w:val="ListParagraph"/>
              <w:numPr>
                <w:ilvl w:val="0"/>
                <w:numId w:val="25"/>
              </w:numPr>
              <w:ind w:left="178" w:hanging="178"/>
              <w:contextualSpacing w:val="0"/>
              <w:rPr>
                <w:sz w:val="20"/>
                <w:szCs w:val="20"/>
              </w:rPr>
            </w:pPr>
            <w:r w:rsidRPr="0040105D">
              <w:rPr>
                <w:sz w:val="20"/>
                <w:szCs w:val="20"/>
              </w:rPr>
              <w:t>CBR+ project on improving livelihoods of indigenous peoples and sustainability of forestry</w:t>
            </w:r>
            <w:r>
              <w:rPr>
                <w:sz w:val="20"/>
                <w:szCs w:val="20"/>
              </w:rPr>
              <w:t xml:space="preserve"> </w:t>
            </w:r>
            <w:r w:rsidRPr="0040105D">
              <w:rPr>
                <w:sz w:val="20"/>
                <w:szCs w:val="20"/>
              </w:rPr>
              <w:t xml:space="preserve">conservation in </w:t>
            </w:r>
            <w:proofErr w:type="spellStart"/>
            <w:r w:rsidRPr="0040105D">
              <w:rPr>
                <w:sz w:val="20"/>
                <w:szCs w:val="20"/>
              </w:rPr>
              <w:t>Ratanakiri</w:t>
            </w:r>
            <w:proofErr w:type="spellEnd"/>
            <w:r w:rsidRPr="0040105D">
              <w:rPr>
                <w:sz w:val="20"/>
                <w:szCs w:val="20"/>
              </w:rPr>
              <w:t xml:space="preserve"> Province</w:t>
            </w:r>
          </w:p>
          <w:p w14:paraId="7926005F" w14:textId="77777777" w:rsidR="0040105D" w:rsidRPr="0040105D" w:rsidRDefault="0040105D" w:rsidP="005208D0">
            <w:pPr>
              <w:pStyle w:val="ListParagraph"/>
              <w:numPr>
                <w:ilvl w:val="0"/>
                <w:numId w:val="25"/>
              </w:numPr>
              <w:ind w:left="178" w:hanging="178"/>
              <w:contextualSpacing w:val="0"/>
              <w:rPr>
                <w:sz w:val="20"/>
                <w:szCs w:val="20"/>
              </w:rPr>
            </w:pPr>
            <w:r w:rsidRPr="0040105D">
              <w:rPr>
                <w:sz w:val="20"/>
                <w:szCs w:val="20"/>
              </w:rPr>
              <w:t xml:space="preserve">VSG CBR+ project in </w:t>
            </w:r>
            <w:proofErr w:type="spellStart"/>
            <w:r w:rsidRPr="0040105D">
              <w:rPr>
                <w:sz w:val="20"/>
                <w:szCs w:val="20"/>
              </w:rPr>
              <w:t>Oddor</w:t>
            </w:r>
            <w:proofErr w:type="spellEnd"/>
            <w:r w:rsidRPr="0040105D">
              <w:rPr>
                <w:sz w:val="20"/>
                <w:szCs w:val="20"/>
              </w:rPr>
              <w:t xml:space="preserve"> Meanchey Province</w:t>
            </w:r>
          </w:p>
          <w:p w14:paraId="41E9275C" w14:textId="77777777" w:rsidR="0040105D" w:rsidRPr="0040105D" w:rsidRDefault="0040105D" w:rsidP="005208D0">
            <w:pPr>
              <w:pStyle w:val="ListParagraph"/>
              <w:numPr>
                <w:ilvl w:val="0"/>
                <w:numId w:val="25"/>
              </w:numPr>
              <w:ind w:left="178" w:hanging="178"/>
              <w:contextualSpacing w:val="0"/>
              <w:rPr>
                <w:sz w:val="20"/>
                <w:szCs w:val="20"/>
              </w:rPr>
            </w:pPr>
            <w:r>
              <w:rPr>
                <w:sz w:val="20"/>
                <w:szCs w:val="20"/>
              </w:rPr>
              <w:t>O</w:t>
            </w:r>
            <w:r w:rsidRPr="0040105D">
              <w:rPr>
                <w:sz w:val="20"/>
                <w:szCs w:val="20"/>
              </w:rPr>
              <w:t>BL CFMTR+ Project</w:t>
            </w:r>
            <w:r>
              <w:rPr>
                <w:sz w:val="20"/>
                <w:szCs w:val="20"/>
              </w:rPr>
              <w:t xml:space="preserve"> </w:t>
            </w:r>
            <w:r w:rsidRPr="0040105D">
              <w:rPr>
                <w:sz w:val="20"/>
                <w:szCs w:val="20"/>
              </w:rPr>
              <w:t>in Kampong Thom Province</w:t>
            </w:r>
          </w:p>
          <w:p w14:paraId="2897CF29" w14:textId="77777777" w:rsidR="0040105D" w:rsidRPr="0040105D" w:rsidRDefault="0040105D" w:rsidP="005208D0">
            <w:pPr>
              <w:pStyle w:val="ListParagraph"/>
              <w:numPr>
                <w:ilvl w:val="0"/>
                <w:numId w:val="25"/>
              </w:numPr>
              <w:ind w:left="178" w:hanging="178"/>
              <w:contextualSpacing w:val="0"/>
              <w:rPr>
                <w:sz w:val="20"/>
                <w:szCs w:val="20"/>
              </w:rPr>
            </w:pPr>
            <w:r w:rsidRPr="0040105D">
              <w:rPr>
                <w:sz w:val="20"/>
                <w:szCs w:val="20"/>
              </w:rPr>
              <w:t>PCS CFMTR+ Project in Kampong Thom Province</w:t>
            </w:r>
          </w:p>
          <w:p w14:paraId="62F33075" w14:textId="77777777" w:rsidR="0040105D" w:rsidRPr="0040105D" w:rsidRDefault="0040105D" w:rsidP="005208D0">
            <w:pPr>
              <w:pStyle w:val="ListParagraph"/>
              <w:numPr>
                <w:ilvl w:val="0"/>
                <w:numId w:val="25"/>
              </w:numPr>
              <w:ind w:left="178" w:hanging="178"/>
              <w:contextualSpacing w:val="0"/>
              <w:rPr>
                <w:sz w:val="20"/>
                <w:szCs w:val="20"/>
              </w:rPr>
            </w:pPr>
            <w:r w:rsidRPr="0040105D">
              <w:rPr>
                <w:sz w:val="20"/>
                <w:szCs w:val="20"/>
              </w:rPr>
              <w:t>PKOK CFMTR+ Project in Kampong Thom Province</w:t>
            </w:r>
          </w:p>
          <w:p w14:paraId="2696ED2B" w14:textId="77777777" w:rsidR="0040105D" w:rsidRPr="0040105D" w:rsidRDefault="0040105D" w:rsidP="005208D0">
            <w:pPr>
              <w:pStyle w:val="ListParagraph"/>
              <w:numPr>
                <w:ilvl w:val="0"/>
                <w:numId w:val="25"/>
              </w:numPr>
              <w:ind w:left="178" w:hanging="178"/>
              <w:contextualSpacing w:val="0"/>
              <w:rPr>
                <w:sz w:val="20"/>
                <w:szCs w:val="20"/>
              </w:rPr>
            </w:pPr>
            <w:r>
              <w:rPr>
                <w:sz w:val="20"/>
                <w:szCs w:val="20"/>
              </w:rPr>
              <w:t>P</w:t>
            </w:r>
            <w:r w:rsidRPr="0040105D">
              <w:rPr>
                <w:sz w:val="20"/>
                <w:szCs w:val="20"/>
              </w:rPr>
              <w:t xml:space="preserve">roject “Flooded forest conservation of </w:t>
            </w:r>
            <w:proofErr w:type="spellStart"/>
            <w:r w:rsidRPr="0040105D">
              <w:rPr>
                <w:sz w:val="20"/>
                <w:szCs w:val="20"/>
              </w:rPr>
              <w:t>Kohras</w:t>
            </w:r>
            <w:proofErr w:type="spellEnd"/>
            <w:r w:rsidRPr="0040105D">
              <w:rPr>
                <w:sz w:val="20"/>
                <w:szCs w:val="20"/>
              </w:rPr>
              <w:t xml:space="preserve"> Lake for the improvement of the community livelihoods”</w:t>
            </w:r>
          </w:p>
        </w:tc>
        <w:tc>
          <w:tcPr>
            <w:tcW w:w="696" w:type="dxa"/>
            <w:tcMar>
              <w:top w:w="57" w:type="dxa"/>
              <w:bottom w:w="57" w:type="dxa"/>
            </w:tcMar>
            <w:vAlign w:val="center"/>
          </w:tcPr>
          <w:p w14:paraId="07155D59" w14:textId="77777777" w:rsidR="0040105D" w:rsidRPr="00475283" w:rsidRDefault="0040105D" w:rsidP="00533C70">
            <w:pPr>
              <w:jc w:val="center"/>
              <w:rPr>
                <w:sz w:val="20"/>
                <w:szCs w:val="20"/>
              </w:rPr>
            </w:pPr>
            <w:r w:rsidRPr="00475283">
              <w:rPr>
                <w:sz w:val="20"/>
                <w:szCs w:val="20"/>
              </w:rPr>
              <w:t>2017</w:t>
            </w:r>
          </w:p>
        </w:tc>
        <w:tc>
          <w:tcPr>
            <w:tcW w:w="633" w:type="dxa"/>
            <w:tcMar>
              <w:top w:w="57" w:type="dxa"/>
              <w:bottom w:w="57" w:type="dxa"/>
            </w:tcMar>
            <w:vAlign w:val="center"/>
          </w:tcPr>
          <w:p w14:paraId="59AAC0D3" w14:textId="77777777" w:rsidR="0040105D" w:rsidRPr="00475283" w:rsidRDefault="0040105D" w:rsidP="00533C70">
            <w:pPr>
              <w:jc w:val="center"/>
              <w:rPr>
                <w:sz w:val="20"/>
                <w:szCs w:val="20"/>
              </w:rPr>
            </w:pPr>
          </w:p>
        </w:tc>
      </w:tr>
      <w:tr w:rsidR="00685776" w:rsidRPr="00475283" w14:paraId="1BCF52D9" w14:textId="77777777" w:rsidTr="005208D0">
        <w:trPr>
          <w:jc w:val="center"/>
        </w:trPr>
        <w:tc>
          <w:tcPr>
            <w:tcW w:w="850" w:type="dxa"/>
            <w:vMerge w:val="restart"/>
            <w:tcMar>
              <w:top w:w="57" w:type="dxa"/>
              <w:bottom w:w="57" w:type="dxa"/>
            </w:tcMar>
            <w:vAlign w:val="center"/>
          </w:tcPr>
          <w:p w14:paraId="4C049EA4" w14:textId="77777777" w:rsidR="00685776" w:rsidRPr="00475283" w:rsidRDefault="00685776" w:rsidP="00533C70">
            <w:pPr>
              <w:rPr>
                <w:b/>
                <w:sz w:val="20"/>
                <w:szCs w:val="20"/>
              </w:rPr>
            </w:pPr>
            <w:r w:rsidRPr="00475283">
              <w:rPr>
                <w:b/>
                <w:sz w:val="20"/>
                <w:szCs w:val="20"/>
              </w:rPr>
              <w:t>DR Congo</w:t>
            </w:r>
          </w:p>
        </w:tc>
        <w:tc>
          <w:tcPr>
            <w:tcW w:w="1866" w:type="dxa"/>
            <w:tcMar>
              <w:top w:w="57" w:type="dxa"/>
              <w:bottom w:w="57" w:type="dxa"/>
            </w:tcMar>
            <w:vAlign w:val="center"/>
          </w:tcPr>
          <w:p w14:paraId="6846E0FA" w14:textId="77777777" w:rsidR="00685776" w:rsidRPr="00475283" w:rsidRDefault="00685776" w:rsidP="00533C70">
            <w:pPr>
              <w:rPr>
                <w:sz w:val="20"/>
                <w:szCs w:val="20"/>
              </w:rPr>
            </w:pPr>
            <w:r w:rsidRPr="00475283">
              <w:rPr>
                <w:sz w:val="20"/>
                <w:szCs w:val="20"/>
              </w:rPr>
              <w:t>Photo essay</w:t>
            </w:r>
          </w:p>
        </w:tc>
        <w:tc>
          <w:tcPr>
            <w:tcW w:w="4552" w:type="dxa"/>
            <w:tcMar>
              <w:top w:w="57" w:type="dxa"/>
              <w:bottom w:w="57" w:type="dxa"/>
            </w:tcMar>
          </w:tcPr>
          <w:p w14:paraId="0231CA24" w14:textId="77777777" w:rsidR="00685776" w:rsidRPr="00475283" w:rsidRDefault="00685776" w:rsidP="00533C70">
            <w:pPr>
              <w:rPr>
                <w:sz w:val="20"/>
                <w:szCs w:val="20"/>
              </w:rPr>
            </w:pPr>
            <w:r w:rsidRPr="00475283">
              <w:rPr>
                <w:sz w:val="20"/>
                <w:szCs w:val="20"/>
              </w:rPr>
              <w:t>Guardians of the forest: In the Democratic Republic of Congo, indigenous women are joining forces to regenerate the forest and protect their livelihoods</w:t>
            </w:r>
          </w:p>
        </w:tc>
        <w:tc>
          <w:tcPr>
            <w:tcW w:w="696" w:type="dxa"/>
            <w:tcMar>
              <w:top w:w="57" w:type="dxa"/>
              <w:bottom w:w="57" w:type="dxa"/>
            </w:tcMar>
            <w:vAlign w:val="center"/>
          </w:tcPr>
          <w:p w14:paraId="4B246918" w14:textId="77777777" w:rsidR="00685776" w:rsidRPr="00475283" w:rsidRDefault="00685776" w:rsidP="00533C70">
            <w:pPr>
              <w:jc w:val="center"/>
              <w:rPr>
                <w:sz w:val="20"/>
                <w:szCs w:val="20"/>
              </w:rPr>
            </w:pPr>
            <w:r w:rsidRPr="00475283">
              <w:rPr>
                <w:sz w:val="20"/>
                <w:szCs w:val="20"/>
              </w:rPr>
              <w:t>2017</w:t>
            </w:r>
          </w:p>
        </w:tc>
        <w:tc>
          <w:tcPr>
            <w:tcW w:w="633" w:type="dxa"/>
            <w:tcMar>
              <w:top w:w="57" w:type="dxa"/>
              <w:bottom w:w="57" w:type="dxa"/>
            </w:tcMar>
            <w:vAlign w:val="center"/>
          </w:tcPr>
          <w:p w14:paraId="4EE0A964" w14:textId="77777777" w:rsidR="00685776" w:rsidRPr="00475283" w:rsidRDefault="00770EA4" w:rsidP="00533C70">
            <w:pPr>
              <w:jc w:val="center"/>
              <w:rPr>
                <w:sz w:val="20"/>
                <w:szCs w:val="20"/>
              </w:rPr>
            </w:pPr>
            <w:hyperlink r:id="rId16" w:history="1">
              <w:r w:rsidR="00685776" w:rsidRPr="00475283">
                <w:rPr>
                  <w:rStyle w:val="Hyperlink"/>
                  <w:rFonts w:ascii="Cambria Math" w:hAnsi="Cambria Math"/>
                  <w:sz w:val="20"/>
                  <w:szCs w:val="20"/>
                  <w:u w:val="none"/>
                </w:rPr>
                <w:t>⫸</w:t>
              </w:r>
            </w:hyperlink>
          </w:p>
        </w:tc>
      </w:tr>
      <w:tr w:rsidR="00685776" w:rsidRPr="00475283" w14:paraId="35634075" w14:textId="77777777" w:rsidTr="005208D0">
        <w:trPr>
          <w:jc w:val="center"/>
        </w:trPr>
        <w:tc>
          <w:tcPr>
            <w:tcW w:w="850" w:type="dxa"/>
            <w:vMerge/>
            <w:tcMar>
              <w:top w:w="57" w:type="dxa"/>
              <w:bottom w:w="57" w:type="dxa"/>
            </w:tcMar>
            <w:vAlign w:val="center"/>
          </w:tcPr>
          <w:p w14:paraId="7BAA096C" w14:textId="77777777" w:rsidR="00685776" w:rsidRPr="00475283" w:rsidRDefault="00685776" w:rsidP="00533C70">
            <w:pPr>
              <w:rPr>
                <w:b/>
                <w:sz w:val="20"/>
                <w:szCs w:val="20"/>
              </w:rPr>
            </w:pPr>
          </w:p>
        </w:tc>
        <w:tc>
          <w:tcPr>
            <w:tcW w:w="1866" w:type="dxa"/>
            <w:tcMar>
              <w:top w:w="57" w:type="dxa"/>
              <w:bottom w:w="57" w:type="dxa"/>
            </w:tcMar>
            <w:vAlign w:val="center"/>
          </w:tcPr>
          <w:p w14:paraId="45387616" w14:textId="77777777" w:rsidR="00685776" w:rsidRPr="00475283" w:rsidRDefault="00685776" w:rsidP="00533C70">
            <w:pPr>
              <w:rPr>
                <w:sz w:val="20"/>
                <w:szCs w:val="20"/>
              </w:rPr>
            </w:pPr>
            <w:r w:rsidRPr="00475283">
              <w:rPr>
                <w:sz w:val="20"/>
                <w:szCs w:val="20"/>
              </w:rPr>
              <w:t>Internal report</w:t>
            </w:r>
          </w:p>
        </w:tc>
        <w:tc>
          <w:tcPr>
            <w:tcW w:w="4552" w:type="dxa"/>
            <w:tcMar>
              <w:top w:w="57" w:type="dxa"/>
              <w:bottom w:w="57" w:type="dxa"/>
            </w:tcMar>
          </w:tcPr>
          <w:p w14:paraId="2216FB97" w14:textId="77777777" w:rsidR="00685776" w:rsidRPr="00475283" w:rsidRDefault="00685776" w:rsidP="00533C70">
            <w:pPr>
              <w:rPr>
                <w:sz w:val="20"/>
                <w:szCs w:val="20"/>
              </w:rPr>
            </w:pPr>
            <w:r w:rsidRPr="00475283">
              <w:rPr>
                <w:sz w:val="20"/>
                <w:szCs w:val="20"/>
              </w:rPr>
              <w:t>Rapport final CBR+ (RDC)</w:t>
            </w:r>
          </w:p>
        </w:tc>
        <w:tc>
          <w:tcPr>
            <w:tcW w:w="696" w:type="dxa"/>
            <w:tcMar>
              <w:top w:w="57" w:type="dxa"/>
              <w:bottom w:w="57" w:type="dxa"/>
            </w:tcMar>
            <w:vAlign w:val="center"/>
          </w:tcPr>
          <w:p w14:paraId="66BEA246" w14:textId="77777777" w:rsidR="00685776" w:rsidRPr="00475283" w:rsidRDefault="00685776" w:rsidP="00533C70">
            <w:pPr>
              <w:jc w:val="center"/>
              <w:rPr>
                <w:sz w:val="20"/>
                <w:szCs w:val="20"/>
              </w:rPr>
            </w:pPr>
            <w:r w:rsidRPr="00475283">
              <w:rPr>
                <w:sz w:val="20"/>
                <w:szCs w:val="20"/>
              </w:rPr>
              <w:t>2018</w:t>
            </w:r>
          </w:p>
        </w:tc>
        <w:tc>
          <w:tcPr>
            <w:tcW w:w="633" w:type="dxa"/>
            <w:tcMar>
              <w:top w:w="57" w:type="dxa"/>
              <w:bottom w:w="57" w:type="dxa"/>
            </w:tcMar>
            <w:vAlign w:val="center"/>
          </w:tcPr>
          <w:p w14:paraId="3A645024" w14:textId="77777777" w:rsidR="00685776" w:rsidRPr="00475283" w:rsidRDefault="00685776" w:rsidP="00533C70">
            <w:pPr>
              <w:jc w:val="center"/>
              <w:rPr>
                <w:sz w:val="20"/>
                <w:szCs w:val="20"/>
              </w:rPr>
            </w:pPr>
          </w:p>
        </w:tc>
      </w:tr>
      <w:tr w:rsidR="00685776" w:rsidRPr="00475283" w14:paraId="0C16CF63" w14:textId="77777777" w:rsidTr="005208D0">
        <w:trPr>
          <w:jc w:val="center"/>
        </w:trPr>
        <w:tc>
          <w:tcPr>
            <w:tcW w:w="850" w:type="dxa"/>
            <w:vMerge/>
            <w:tcMar>
              <w:top w:w="57" w:type="dxa"/>
              <w:bottom w:w="57" w:type="dxa"/>
            </w:tcMar>
            <w:vAlign w:val="center"/>
          </w:tcPr>
          <w:p w14:paraId="3BAC9801" w14:textId="77777777" w:rsidR="00685776" w:rsidRPr="00475283" w:rsidRDefault="00685776" w:rsidP="00533C70">
            <w:pPr>
              <w:rPr>
                <w:b/>
                <w:sz w:val="20"/>
                <w:szCs w:val="20"/>
              </w:rPr>
            </w:pPr>
          </w:p>
        </w:tc>
        <w:tc>
          <w:tcPr>
            <w:tcW w:w="1866" w:type="dxa"/>
            <w:tcMar>
              <w:top w:w="57" w:type="dxa"/>
              <w:bottom w:w="57" w:type="dxa"/>
            </w:tcMar>
            <w:vAlign w:val="center"/>
          </w:tcPr>
          <w:p w14:paraId="67502D7C" w14:textId="77777777" w:rsidR="00685776" w:rsidRPr="00475283" w:rsidRDefault="00685776" w:rsidP="00533C70">
            <w:pPr>
              <w:rPr>
                <w:sz w:val="20"/>
                <w:szCs w:val="20"/>
              </w:rPr>
            </w:pPr>
            <w:r w:rsidRPr="00475283">
              <w:rPr>
                <w:sz w:val="20"/>
                <w:szCs w:val="20"/>
              </w:rPr>
              <w:t>Video</w:t>
            </w:r>
          </w:p>
        </w:tc>
        <w:tc>
          <w:tcPr>
            <w:tcW w:w="4552" w:type="dxa"/>
            <w:tcMar>
              <w:top w:w="57" w:type="dxa"/>
              <w:bottom w:w="57" w:type="dxa"/>
            </w:tcMar>
          </w:tcPr>
          <w:p w14:paraId="09EDE70F" w14:textId="77777777" w:rsidR="00685776" w:rsidRPr="00475283" w:rsidRDefault="00685776" w:rsidP="00533C70">
            <w:pPr>
              <w:rPr>
                <w:sz w:val="20"/>
                <w:szCs w:val="20"/>
              </w:rPr>
            </w:pPr>
            <w:r w:rsidRPr="00475283">
              <w:rPr>
                <w:sz w:val="20"/>
                <w:szCs w:val="20"/>
              </w:rPr>
              <w:t>CBR+ project on apiculture and forest conservation</w:t>
            </w:r>
          </w:p>
        </w:tc>
        <w:tc>
          <w:tcPr>
            <w:tcW w:w="696" w:type="dxa"/>
            <w:tcMar>
              <w:top w:w="57" w:type="dxa"/>
              <w:bottom w:w="57" w:type="dxa"/>
            </w:tcMar>
            <w:vAlign w:val="center"/>
          </w:tcPr>
          <w:p w14:paraId="06C5EB57" w14:textId="77777777" w:rsidR="00685776" w:rsidRPr="00475283" w:rsidRDefault="00685776" w:rsidP="00533C70">
            <w:pPr>
              <w:jc w:val="center"/>
              <w:rPr>
                <w:sz w:val="20"/>
                <w:szCs w:val="20"/>
              </w:rPr>
            </w:pPr>
            <w:r w:rsidRPr="00475283">
              <w:rPr>
                <w:sz w:val="20"/>
                <w:szCs w:val="20"/>
              </w:rPr>
              <w:t>2018</w:t>
            </w:r>
          </w:p>
        </w:tc>
        <w:tc>
          <w:tcPr>
            <w:tcW w:w="633" w:type="dxa"/>
            <w:tcMar>
              <w:top w:w="57" w:type="dxa"/>
              <w:bottom w:w="57" w:type="dxa"/>
            </w:tcMar>
            <w:vAlign w:val="center"/>
          </w:tcPr>
          <w:p w14:paraId="71E2279E" w14:textId="77777777" w:rsidR="00685776" w:rsidRPr="00475283" w:rsidRDefault="00770EA4" w:rsidP="00533C70">
            <w:pPr>
              <w:jc w:val="center"/>
              <w:rPr>
                <w:sz w:val="20"/>
                <w:szCs w:val="20"/>
              </w:rPr>
            </w:pPr>
            <w:hyperlink r:id="rId17" w:history="1">
              <w:r w:rsidR="00685776" w:rsidRPr="00475283">
                <w:rPr>
                  <w:rStyle w:val="Hyperlink"/>
                  <w:rFonts w:ascii="Cambria Math" w:hAnsi="Cambria Math" w:cs="Cambria Math"/>
                  <w:sz w:val="20"/>
                  <w:szCs w:val="20"/>
                  <w:u w:val="none"/>
                </w:rPr>
                <w:t>⫸</w:t>
              </w:r>
            </w:hyperlink>
          </w:p>
        </w:tc>
      </w:tr>
      <w:tr w:rsidR="00B43902" w:rsidRPr="00475283" w14:paraId="0714FC4A" w14:textId="77777777" w:rsidTr="005208D0">
        <w:trPr>
          <w:jc w:val="center"/>
        </w:trPr>
        <w:tc>
          <w:tcPr>
            <w:tcW w:w="850" w:type="dxa"/>
            <w:tcMar>
              <w:top w:w="57" w:type="dxa"/>
              <w:bottom w:w="57" w:type="dxa"/>
            </w:tcMar>
            <w:vAlign w:val="center"/>
          </w:tcPr>
          <w:p w14:paraId="621ECD86" w14:textId="77777777" w:rsidR="00B43902" w:rsidRPr="00475283" w:rsidRDefault="00B43902" w:rsidP="00533C70">
            <w:pPr>
              <w:rPr>
                <w:b/>
                <w:sz w:val="20"/>
                <w:szCs w:val="20"/>
              </w:rPr>
            </w:pPr>
            <w:r w:rsidRPr="00475283">
              <w:rPr>
                <w:b/>
                <w:sz w:val="20"/>
                <w:szCs w:val="20"/>
              </w:rPr>
              <w:t>Nigeria</w:t>
            </w:r>
          </w:p>
        </w:tc>
        <w:tc>
          <w:tcPr>
            <w:tcW w:w="1866" w:type="dxa"/>
            <w:tcMar>
              <w:top w:w="57" w:type="dxa"/>
              <w:bottom w:w="57" w:type="dxa"/>
            </w:tcMar>
            <w:vAlign w:val="center"/>
          </w:tcPr>
          <w:p w14:paraId="52BF6F3C" w14:textId="77777777" w:rsidR="00B43902" w:rsidRPr="00475283" w:rsidRDefault="00B43902" w:rsidP="00533C70">
            <w:pPr>
              <w:rPr>
                <w:sz w:val="20"/>
                <w:szCs w:val="20"/>
              </w:rPr>
            </w:pPr>
            <w:r w:rsidRPr="00475283">
              <w:rPr>
                <w:sz w:val="20"/>
                <w:szCs w:val="20"/>
              </w:rPr>
              <w:t>Article</w:t>
            </w:r>
          </w:p>
        </w:tc>
        <w:tc>
          <w:tcPr>
            <w:tcW w:w="4552" w:type="dxa"/>
            <w:tcMar>
              <w:top w:w="57" w:type="dxa"/>
              <w:bottom w:w="57" w:type="dxa"/>
            </w:tcMar>
          </w:tcPr>
          <w:p w14:paraId="151B3DAC" w14:textId="77777777" w:rsidR="00B43902" w:rsidRPr="00475283" w:rsidRDefault="009A1913" w:rsidP="00533C70">
            <w:pPr>
              <w:rPr>
                <w:sz w:val="20"/>
                <w:szCs w:val="20"/>
              </w:rPr>
            </w:pPr>
            <w:r w:rsidRPr="00475283">
              <w:rPr>
                <w:sz w:val="20"/>
                <w:szCs w:val="20"/>
              </w:rPr>
              <w:t>Community Based REDD+ Programme in Nigeria: A success story</w:t>
            </w:r>
          </w:p>
        </w:tc>
        <w:tc>
          <w:tcPr>
            <w:tcW w:w="696" w:type="dxa"/>
            <w:tcMar>
              <w:top w:w="57" w:type="dxa"/>
              <w:bottom w:w="57" w:type="dxa"/>
            </w:tcMar>
            <w:vAlign w:val="center"/>
          </w:tcPr>
          <w:p w14:paraId="5119A00A" w14:textId="77777777" w:rsidR="00B43902" w:rsidRPr="00475283" w:rsidRDefault="009A1913" w:rsidP="00533C70">
            <w:pPr>
              <w:jc w:val="center"/>
              <w:rPr>
                <w:sz w:val="20"/>
                <w:szCs w:val="20"/>
              </w:rPr>
            </w:pPr>
            <w:r w:rsidRPr="00475283">
              <w:rPr>
                <w:sz w:val="20"/>
                <w:szCs w:val="20"/>
              </w:rPr>
              <w:t>2018</w:t>
            </w:r>
          </w:p>
        </w:tc>
        <w:tc>
          <w:tcPr>
            <w:tcW w:w="633" w:type="dxa"/>
            <w:tcMar>
              <w:top w:w="57" w:type="dxa"/>
              <w:bottom w:w="57" w:type="dxa"/>
            </w:tcMar>
            <w:vAlign w:val="center"/>
          </w:tcPr>
          <w:p w14:paraId="5F1D6E15" w14:textId="77777777" w:rsidR="00B43902" w:rsidRPr="00475283" w:rsidRDefault="00770EA4" w:rsidP="00533C70">
            <w:pPr>
              <w:jc w:val="center"/>
              <w:rPr>
                <w:sz w:val="20"/>
                <w:szCs w:val="20"/>
              </w:rPr>
            </w:pPr>
            <w:hyperlink r:id="rId18" w:history="1">
              <w:r w:rsidR="009A1913" w:rsidRPr="00475283">
                <w:rPr>
                  <w:rStyle w:val="Hyperlink"/>
                  <w:rFonts w:ascii="Cambria Math" w:hAnsi="Cambria Math"/>
                  <w:sz w:val="20"/>
                  <w:szCs w:val="20"/>
                  <w:u w:val="none"/>
                </w:rPr>
                <w:t>⫸</w:t>
              </w:r>
            </w:hyperlink>
          </w:p>
        </w:tc>
      </w:tr>
      <w:tr w:rsidR="00B43902" w:rsidRPr="00475283" w14:paraId="4C0E8EC3" w14:textId="77777777" w:rsidTr="005208D0">
        <w:trPr>
          <w:jc w:val="center"/>
        </w:trPr>
        <w:tc>
          <w:tcPr>
            <w:tcW w:w="850" w:type="dxa"/>
            <w:vMerge w:val="restart"/>
            <w:tcMar>
              <w:top w:w="57" w:type="dxa"/>
              <w:bottom w:w="57" w:type="dxa"/>
            </w:tcMar>
            <w:vAlign w:val="center"/>
          </w:tcPr>
          <w:p w14:paraId="4B1F627F" w14:textId="77777777" w:rsidR="00B43902" w:rsidRPr="00475283" w:rsidRDefault="00B43902" w:rsidP="00533C70">
            <w:pPr>
              <w:rPr>
                <w:b/>
                <w:sz w:val="20"/>
                <w:szCs w:val="20"/>
              </w:rPr>
            </w:pPr>
            <w:r w:rsidRPr="00475283">
              <w:rPr>
                <w:b/>
                <w:sz w:val="20"/>
                <w:szCs w:val="20"/>
              </w:rPr>
              <w:t>Panama</w:t>
            </w:r>
          </w:p>
        </w:tc>
        <w:tc>
          <w:tcPr>
            <w:tcW w:w="1866" w:type="dxa"/>
            <w:tcMar>
              <w:top w:w="57" w:type="dxa"/>
              <w:bottom w:w="57" w:type="dxa"/>
            </w:tcMar>
            <w:vAlign w:val="center"/>
          </w:tcPr>
          <w:p w14:paraId="0E128425" w14:textId="77777777" w:rsidR="00B43902" w:rsidRPr="00475283" w:rsidRDefault="00B43902" w:rsidP="00533C70">
            <w:pPr>
              <w:rPr>
                <w:sz w:val="20"/>
                <w:szCs w:val="20"/>
              </w:rPr>
            </w:pPr>
            <w:r w:rsidRPr="00475283">
              <w:rPr>
                <w:sz w:val="20"/>
                <w:szCs w:val="20"/>
              </w:rPr>
              <w:t>Programme note</w:t>
            </w:r>
          </w:p>
        </w:tc>
        <w:tc>
          <w:tcPr>
            <w:tcW w:w="4552" w:type="dxa"/>
            <w:tcMar>
              <w:top w:w="57" w:type="dxa"/>
              <w:bottom w:w="57" w:type="dxa"/>
            </w:tcMar>
          </w:tcPr>
          <w:p w14:paraId="77644964" w14:textId="77777777" w:rsidR="00B43902" w:rsidRPr="00C16F71" w:rsidRDefault="00B43902" w:rsidP="00533C70">
            <w:pPr>
              <w:rPr>
                <w:sz w:val="20"/>
                <w:szCs w:val="20"/>
                <w:lang w:val="es-ES"/>
              </w:rPr>
            </w:pPr>
            <w:r w:rsidRPr="00C16F71">
              <w:rPr>
                <w:sz w:val="20"/>
                <w:szCs w:val="20"/>
                <w:lang w:val="es-ES"/>
              </w:rPr>
              <w:t>Bosques de Vida – documento del programa CBR+ en Panamá</w:t>
            </w:r>
          </w:p>
        </w:tc>
        <w:tc>
          <w:tcPr>
            <w:tcW w:w="696" w:type="dxa"/>
            <w:tcMar>
              <w:top w:w="57" w:type="dxa"/>
              <w:bottom w:w="57" w:type="dxa"/>
            </w:tcMar>
            <w:vAlign w:val="center"/>
          </w:tcPr>
          <w:p w14:paraId="5D608C3E" w14:textId="77777777" w:rsidR="00B43902" w:rsidRPr="00475283" w:rsidRDefault="00B43902" w:rsidP="00533C70">
            <w:pPr>
              <w:jc w:val="center"/>
              <w:rPr>
                <w:sz w:val="20"/>
                <w:szCs w:val="20"/>
              </w:rPr>
            </w:pPr>
            <w:r w:rsidRPr="00475283">
              <w:rPr>
                <w:sz w:val="20"/>
                <w:szCs w:val="20"/>
              </w:rPr>
              <w:t>2015</w:t>
            </w:r>
          </w:p>
        </w:tc>
        <w:tc>
          <w:tcPr>
            <w:tcW w:w="633" w:type="dxa"/>
            <w:tcMar>
              <w:top w:w="57" w:type="dxa"/>
              <w:bottom w:w="57" w:type="dxa"/>
            </w:tcMar>
            <w:vAlign w:val="center"/>
          </w:tcPr>
          <w:p w14:paraId="5BF11DBC" w14:textId="77777777" w:rsidR="00B43902" w:rsidRPr="00475283" w:rsidRDefault="00770EA4" w:rsidP="00533C70">
            <w:pPr>
              <w:jc w:val="center"/>
              <w:rPr>
                <w:sz w:val="20"/>
                <w:szCs w:val="20"/>
              </w:rPr>
            </w:pPr>
            <w:hyperlink r:id="rId19" w:history="1">
              <w:r w:rsidR="00B43902" w:rsidRPr="00475283">
                <w:rPr>
                  <w:rStyle w:val="Hyperlink"/>
                  <w:rFonts w:ascii="Cambria Math" w:hAnsi="Cambria Math"/>
                  <w:sz w:val="20"/>
                  <w:szCs w:val="20"/>
                  <w:u w:val="none"/>
                </w:rPr>
                <w:t>⫸</w:t>
              </w:r>
            </w:hyperlink>
          </w:p>
        </w:tc>
      </w:tr>
      <w:tr w:rsidR="00B43902" w:rsidRPr="00475283" w14:paraId="4752B1E4" w14:textId="77777777" w:rsidTr="005208D0">
        <w:trPr>
          <w:jc w:val="center"/>
        </w:trPr>
        <w:tc>
          <w:tcPr>
            <w:tcW w:w="850" w:type="dxa"/>
            <w:vMerge/>
            <w:tcMar>
              <w:top w:w="57" w:type="dxa"/>
              <w:bottom w:w="57" w:type="dxa"/>
            </w:tcMar>
            <w:vAlign w:val="center"/>
          </w:tcPr>
          <w:p w14:paraId="6587A408" w14:textId="77777777" w:rsidR="00B43902" w:rsidRPr="00475283" w:rsidRDefault="00B43902" w:rsidP="00533C70">
            <w:pPr>
              <w:rPr>
                <w:b/>
                <w:sz w:val="20"/>
                <w:szCs w:val="20"/>
              </w:rPr>
            </w:pPr>
          </w:p>
        </w:tc>
        <w:tc>
          <w:tcPr>
            <w:tcW w:w="1866" w:type="dxa"/>
            <w:tcMar>
              <w:top w:w="57" w:type="dxa"/>
              <w:bottom w:w="57" w:type="dxa"/>
            </w:tcMar>
            <w:vAlign w:val="center"/>
          </w:tcPr>
          <w:p w14:paraId="1FACB4E7" w14:textId="77777777" w:rsidR="00B43902" w:rsidRPr="00475283" w:rsidRDefault="00B43902" w:rsidP="00533C70">
            <w:pPr>
              <w:rPr>
                <w:sz w:val="20"/>
                <w:szCs w:val="20"/>
              </w:rPr>
            </w:pPr>
            <w:r w:rsidRPr="00475283">
              <w:rPr>
                <w:sz w:val="20"/>
                <w:szCs w:val="20"/>
              </w:rPr>
              <w:t>Knowledge report</w:t>
            </w:r>
          </w:p>
        </w:tc>
        <w:tc>
          <w:tcPr>
            <w:tcW w:w="4552" w:type="dxa"/>
            <w:tcMar>
              <w:top w:w="57" w:type="dxa"/>
              <w:bottom w:w="57" w:type="dxa"/>
            </w:tcMar>
          </w:tcPr>
          <w:p w14:paraId="3FA4CE45" w14:textId="77777777" w:rsidR="00B43902" w:rsidRPr="00C16F71" w:rsidRDefault="00B43902" w:rsidP="00533C70">
            <w:pPr>
              <w:rPr>
                <w:sz w:val="20"/>
                <w:szCs w:val="20"/>
                <w:lang w:val="es-ES"/>
              </w:rPr>
            </w:pPr>
            <w:r w:rsidRPr="00C16F71">
              <w:rPr>
                <w:sz w:val="20"/>
                <w:szCs w:val="20"/>
                <w:lang w:val="es-ES"/>
              </w:rPr>
              <w:t>Memorias del foro de CBR+ para la Construcción de la Estrategia Nacional REDD+ (</w:t>
            </w:r>
            <w:proofErr w:type="gramStart"/>
            <w:r w:rsidRPr="00C16F71">
              <w:rPr>
                <w:sz w:val="20"/>
                <w:szCs w:val="20"/>
                <w:lang w:val="es-ES"/>
              </w:rPr>
              <w:t>Octubre</w:t>
            </w:r>
            <w:proofErr w:type="gramEnd"/>
            <w:r w:rsidRPr="00C16F71">
              <w:rPr>
                <w:sz w:val="20"/>
                <w:szCs w:val="20"/>
                <w:lang w:val="es-ES"/>
              </w:rPr>
              <w:t xml:space="preserve"> 2016)</w:t>
            </w:r>
          </w:p>
        </w:tc>
        <w:tc>
          <w:tcPr>
            <w:tcW w:w="696" w:type="dxa"/>
            <w:tcMar>
              <w:top w:w="57" w:type="dxa"/>
              <w:bottom w:w="57" w:type="dxa"/>
            </w:tcMar>
            <w:vAlign w:val="center"/>
          </w:tcPr>
          <w:p w14:paraId="308A0A6E" w14:textId="77777777" w:rsidR="00B43902" w:rsidRPr="00475283" w:rsidRDefault="00B43902" w:rsidP="00533C70">
            <w:pPr>
              <w:jc w:val="center"/>
              <w:rPr>
                <w:sz w:val="20"/>
                <w:szCs w:val="20"/>
              </w:rPr>
            </w:pPr>
            <w:r w:rsidRPr="00475283">
              <w:rPr>
                <w:sz w:val="20"/>
                <w:szCs w:val="20"/>
              </w:rPr>
              <w:t>2017</w:t>
            </w:r>
          </w:p>
        </w:tc>
        <w:tc>
          <w:tcPr>
            <w:tcW w:w="633" w:type="dxa"/>
            <w:tcMar>
              <w:top w:w="57" w:type="dxa"/>
              <w:bottom w:w="57" w:type="dxa"/>
            </w:tcMar>
            <w:vAlign w:val="center"/>
          </w:tcPr>
          <w:p w14:paraId="3ABEDDE0" w14:textId="77777777" w:rsidR="00B43902" w:rsidRPr="00475283" w:rsidRDefault="00770EA4" w:rsidP="00533C70">
            <w:pPr>
              <w:jc w:val="center"/>
              <w:rPr>
                <w:rFonts w:ascii="Cambria Math" w:hAnsi="Cambria Math"/>
                <w:sz w:val="20"/>
                <w:szCs w:val="20"/>
              </w:rPr>
            </w:pPr>
            <w:hyperlink r:id="rId20" w:history="1">
              <w:r w:rsidR="00B43902" w:rsidRPr="00475283">
                <w:rPr>
                  <w:rStyle w:val="Hyperlink"/>
                  <w:rFonts w:ascii="Cambria Math" w:hAnsi="Cambria Math"/>
                  <w:sz w:val="20"/>
                  <w:szCs w:val="20"/>
                  <w:u w:val="none"/>
                </w:rPr>
                <w:t>⫸</w:t>
              </w:r>
            </w:hyperlink>
          </w:p>
        </w:tc>
      </w:tr>
      <w:tr w:rsidR="00B43902" w:rsidRPr="00475283" w14:paraId="0CEFFE4E" w14:textId="77777777" w:rsidTr="005208D0">
        <w:trPr>
          <w:jc w:val="center"/>
        </w:trPr>
        <w:tc>
          <w:tcPr>
            <w:tcW w:w="850" w:type="dxa"/>
            <w:vMerge/>
            <w:tcMar>
              <w:top w:w="57" w:type="dxa"/>
              <w:bottom w:w="57" w:type="dxa"/>
            </w:tcMar>
            <w:vAlign w:val="center"/>
          </w:tcPr>
          <w:p w14:paraId="4A7F57A9" w14:textId="77777777" w:rsidR="00B43902" w:rsidRPr="00475283" w:rsidRDefault="00B43902" w:rsidP="00533C70">
            <w:pPr>
              <w:rPr>
                <w:b/>
                <w:sz w:val="20"/>
                <w:szCs w:val="20"/>
              </w:rPr>
            </w:pPr>
          </w:p>
        </w:tc>
        <w:tc>
          <w:tcPr>
            <w:tcW w:w="1866" w:type="dxa"/>
            <w:tcMar>
              <w:top w:w="57" w:type="dxa"/>
              <w:bottom w:w="57" w:type="dxa"/>
            </w:tcMar>
            <w:vAlign w:val="center"/>
          </w:tcPr>
          <w:p w14:paraId="1252D473" w14:textId="77777777" w:rsidR="00B43902" w:rsidRPr="00475283" w:rsidRDefault="00B43902" w:rsidP="00533C70">
            <w:pPr>
              <w:rPr>
                <w:sz w:val="20"/>
                <w:szCs w:val="20"/>
              </w:rPr>
            </w:pPr>
            <w:r w:rsidRPr="00475283">
              <w:rPr>
                <w:sz w:val="20"/>
                <w:szCs w:val="20"/>
              </w:rPr>
              <w:t>Knowledge report</w:t>
            </w:r>
          </w:p>
        </w:tc>
        <w:tc>
          <w:tcPr>
            <w:tcW w:w="4552" w:type="dxa"/>
            <w:tcMar>
              <w:top w:w="57" w:type="dxa"/>
              <w:bottom w:w="57" w:type="dxa"/>
            </w:tcMar>
          </w:tcPr>
          <w:p w14:paraId="0EAD0264" w14:textId="77777777" w:rsidR="00B43902" w:rsidRPr="00C16F71" w:rsidRDefault="00B43902" w:rsidP="00533C70">
            <w:pPr>
              <w:rPr>
                <w:sz w:val="20"/>
                <w:szCs w:val="20"/>
                <w:lang w:val="es-ES"/>
              </w:rPr>
            </w:pPr>
            <w:r w:rsidRPr="00C16F71">
              <w:rPr>
                <w:sz w:val="20"/>
                <w:szCs w:val="20"/>
                <w:lang w:val="es-ES"/>
              </w:rPr>
              <w:t>Incidencia del Programa Bosques de Vida en la Estrategia Nacional REDD+: Lecciones aprendidas bajo el enfoque de las 5 actividades</w:t>
            </w:r>
          </w:p>
          <w:p w14:paraId="1E417C2A" w14:textId="77777777" w:rsidR="00B43902" w:rsidRPr="00C16F71" w:rsidRDefault="00B43902" w:rsidP="00533C70">
            <w:pPr>
              <w:rPr>
                <w:sz w:val="20"/>
                <w:szCs w:val="20"/>
                <w:lang w:val="es-ES"/>
              </w:rPr>
            </w:pPr>
            <w:r w:rsidRPr="00C16F71">
              <w:rPr>
                <w:sz w:val="20"/>
                <w:szCs w:val="20"/>
                <w:lang w:val="es-ES"/>
              </w:rPr>
              <w:t>de REDD+ y las salvaguardas sociales y ambientales</w:t>
            </w:r>
          </w:p>
        </w:tc>
        <w:tc>
          <w:tcPr>
            <w:tcW w:w="696" w:type="dxa"/>
            <w:tcMar>
              <w:top w:w="57" w:type="dxa"/>
              <w:bottom w:w="57" w:type="dxa"/>
            </w:tcMar>
            <w:vAlign w:val="center"/>
          </w:tcPr>
          <w:p w14:paraId="514515D2" w14:textId="77777777" w:rsidR="00B43902" w:rsidRPr="00475283" w:rsidRDefault="00B43902" w:rsidP="00533C70">
            <w:pPr>
              <w:jc w:val="center"/>
              <w:rPr>
                <w:sz w:val="20"/>
                <w:szCs w:val="20"/>
              </w:rPr>
            </w:pPr>
            <w:r w:rsidRPr="00475283">
              <w:rPr>
                <w:sz w:val="20"/>
                <w:szCs w:val="20"/>
              </w:rPr>
              <w:t>2017</w:t>
            </w:r>
          </w:p>
        </w:tc>
        <w:tc>
          <w:tcPr>
            <w:tcW w:w="633" w:type="dxa"/>
            <w:tcMar>
              <w:top w:w="57" w:type="dxa"/>
              <w:bottom w:w="57" w:type="dxa"/>
            </w:tcMar>
            <w:vAlign w:val="center"/>
          </w:tcPr>
          <w:p w14:paraId="62630CD4" w14:textId="77777777" w:rsidR="00B43902" w:rsidRPr="00475283" w:rsidRDefault="00770EA4" w:rsidP="00533C70">
            <w:pPr>
              <w:jc w:val="center"/>
              <w:rPr>
                <w:sz w:val="20"/>
                <w:szCs w:val="20"/>
              </w:rPr>
            </w:pPr>
            <w:hyperlink r:id="rId21" w:history="1">
              <w:r w:rsidR="00B43902" w:rsidRPr="00475283">
                <w:rPr>
                  <w:rStyle w:val="Hyperlink"/>
                  <w:rFonts w:ascii="Cambria Math" w:hAnsi="Cambria Math"/>
                  <w:sz w:val="20"/>
                  <w:szCs w:val="20"/>
                  <w:u w:val="none"/>
                </w:rPr>
                <w:t>⫸</w:t>
              </w:r>
            </w:hyperlink>
          </w:p>
        </w:tc>
      </w:tr>
      <w:tr w:rsidR="006F09FB" w:rsidRPr="00475283" w14:paraId="5228B8D4" w14:textId="77777777" w:rsidTr="005208D0">
        <w:trPr>
          <w:jc w:val="center"/>
        </w:trPr>
        <w:tc>
          <w:tcPr>
            <w:tcW w:w="850" w:type="dxa"/>
            <w:vMerge w:val="restart"/>
            <w:tcMar>
              <w:top w:w="57" w:type="dxa"/>
              <w:bottom w:w="57" w:type="dxa"/>
            </w:tcMar>
            <w:vAlign w:val="center"/>
          </w:tcPr>
          <w:p w14:paraId="6DFBAF47" w14:textId="77777777" w:rsidR="006F09FB" w:rsidRPr="00475283" w:rsidRDefault="006F09FB" w:rsidP="00533C70">
            <w:pPr>
              <w:rPr>
                <w:b/>
                <w:sz w:val="20"/>
                <w:szCs w:val="20"/>
              </w:rPr>
            </w:pPr>
            <w:r w:rsidRPr="00475283">
              <w:rPr>
                <w:b/>
                <w:sz w:val="20"/>
                <w:szCs w:val="20"/>
              </w:rPr>
              <w:t>Paraguay</w:t>
            </w:r>
          </w:p>
        </w:tc>
        <w:tc>
          <w:tcPr>
            <w:tcW w:w="1866" w:type="dxa"/>
            <w:tcMar>
              <w:top w:w="57" w:type="dxa"/>
              <w:bottom w:w="57" w:type="dxa"/>
            </w:tcMar>
            <w:vAlign w:val="center"/>
          </w:tcPr>
          <w:p w14:paraId="6B8038CB" w14:textId="77777777" w:rsidR="006F09FB" w:rsidRPr="00475283" w:rsidRDefault="006F09FB" w:rsidP="00533C70">
            <w:pPr>
              <w:rPr>
                <w:sz w:val="20"/>
                <w:szCs w:val="20"/>
              </w:rPr>
            </w:pPr>
            <w:r w:rsidRPr="00475283">
              <w:rPr>
                <w:sz w:val="20"/>
                <w:szCs w:val="20"/>
              </w:rPr>
              <w:t>Programme note</w:t>
            </w:r>
          </w:p>
        </w:tc>
        <w:tc>
          <w:tcPr>
            <w:tcW w:w="4552" w:type="dxa"/>
            <w:tcMar>
              <w:top w:w="57" w:type="dxa"/>
              <w:bottom w:w="57" w:type="dxa"/>
            </w:tcMar>
          </w:tcPr>
          <w:p w14:paraId="310FA348" w14:textId="77777777" w:rsidR="006F09FB" w:rsidRPr="00C16F71" w:rsidRDefault="006F09FB" w:rsidP="00533C70">
            <w:pPr>
              <w:rPr>
                <w:sz w:val="20"/>
                <w:szCs w:val="20"/>
                <w:lang w:val="es-ES"/>
              </w:rPr>
            </w:pPr>
            <w:r w:rsidRPr="00C16F71">
              <w:rPr>
                <w:sz w:val="20"/>
                <w:szCs w:val="20"/>
                <w:lang w:val="es-ES"/>
              </w:rPr>
              <w:t>Plan de Acción CBR+ Paraguay</w:t>
            </w:r>
          </w:p>
        </w:tc>
        <w:tc>
          <w:tcPr>
            <w:tcW w:w="696" w:type="dxa"/>
            <w:tcMar>
              <w:top w:w="57" w:type="dxa"/>
              <w:bottom w:w="57" w:type="dxa"/>
            </w:tcMar>
            <w:vAlign w:val="center"/>
          </w:tcPr>
          <w:p w14:paraId="3FF7CB69" w14:textId="77777777" w:rsidR="006F09FB" w:rsidRPr="00475283" w:rsidRDefault="006F09FB" w:rsidP="00533C70">
            <w:pPr>
              <w:jc w:val="center"/>
              <w:rPr>
                <w:sz w:val="20"/>
                <w:szCs w:val="20"/>
              </w:rPr>
            </w:pPr>
            <w:r w:rsidRPr="00475283">
              <w:rPr>
                <w:sz w:val="20"/>
                <w:szCs w:val="20"/>
              </w:rPr>
              <w:t>2015</w:t>
            </w:r>
          </w:p>
        </w:tc>
        <w:tc>
          <w:tcPr>
            <w:tcW w:w="633" w:type="dxa"/>
            <w:tcMar>
              <w:top w:w="57" w:type="dxa"/>
              <w:bottom w:w="57" w:type="dxa"/>
            </w:tcMar>
            <w:vAlign w:val="center"/>
          </w:tcPr>
          <w:p w14:paraId="20435536" w14:textId="77777777" w:rsidR="006F09FB" w:rsidRPr="00475283" w:rsidRDefault="00770EA4" w:rsidP="00533C70">
            <w:pPr>
              <w:jc w:val="center"/>
              <w:rPr>
                <w:sz w:val="20"/>
                <w:szCs w:val="20"/>
              </w:rPr>
            </w:pPr>
            <w:hyperlink r:id="rId22" w:history="1">
              <w:r w:rsidR="006F09FB" w:rsidRPr="00475283">
                <w:rPr>
                  <w:rStyle w:val="Hyperlink"/>
                  <w:rFonts w:ascii="Cambria Math" w:hAnsi="Cambria Math"/>
                  <w:sz w:val="20"/>
                  <w:szCs w:val="20"/>
                  <w:u w:val="none"/>
                </w:rPr>
                <w:t>⫸</w:t>
              </w:r>
            </w:hyperlink>
          </w:p>
        </w:tc>
      </w:tr>
      <w:tr w:rsidR="006F09FB" w:rsidRPr="00475283" w14:paraId="7371AAF0" w14:textId="77777777" w:rsidTr="005208D0">
        <w:trPr>
          <w:jc w:val="center"/>
        </w:trPr>
        <w:tc>
          <w:tcPr>
            <w:tcW w:w="850" w:type="dxa"/>
            <w:vMerge/>
            <w:tcMar>
              <w:top w:w="57" w:type="dxa"/>
              <w:bottom w:w="57" w:type="dxa"/>
            </w:tcMar>
            <w:vAlign w:val="center"/>
          </w:tcPr>
          <w:p w14:paraId="7F479067" w14:textId="77777777" w:rsidR="006F09FB" w:rsidRPr="00475283" w:rsidRDefault="006F09FB" w:rsidP="00533C70">
            <w:pPr>
              <w:rPr>
                <w:b/>
                <w:sz w:val="20"/>
                <w:szCs w:val="20"/>
              </w:rPr>
            </w:pPr>
          </w:p>
        </w:tc>
        <w:tc>
          <w:tcPr>
            <w:tcW w:w="1866" w:type="dxa"/>
            <w:tcMar>
              <w:top w:w="57" w:type="dxa"/>
              <w:bottom w:w="57" w:type="dxa"/>
            </w:tcMar>
            <w:vAlign w:val="center"/>
          </w:tcPr>
          <w:p w14:paraId="777BB521" w14:textId="77777777" w:rsidR="006F09FB" w:rsidRPr="00475283" w:rsidRDefault="006F09FB" w:rsidP="00533C70">
            <w:pPr>
              <w:rPr>
                <w:sz w:val="20"/>
                <w:szCs w:val="20"/>
              </w:rPr>
            </w:pPr>
            <w:r w:rsidRPr="00475283">
              <w:rPr>
                <w:sz w:val="20"/>
                <w:szCs w:val="20"/>
              </w:rPr>
              <w:t>Video</w:t>
            </w:r>
          </w:p>
        </w:tc>
        <w:tc>
          <w:tcPr>
            <w:tcW w:w="4552" w:type="dxa"/>
            <w:tcMar>
              <w:top w:w="57" w:type="dxa"/>
              <w:bottom w:w="57" w:type="dxa"/>
            </w:tcMar>
          </w:tcPr>
          <w:p w14:paraId="5FE09A9D" w14:textId="77777777" w:rsidR="006F09FB" w:rsidRPr="00475283" w:rsidRDefault="006F09FB" w:rsidP="00533C70">
            <w:pPr>
              <w:rPr>
                <w:sz w:val="20"/>
                <w:szCs w:val="20"/>
              </w:rPr>
            </w:pPr>
            <w:r w:rsidRPr="00475283">
              <w:rPr>
                <w:sz w:val="20"/>
                <w:szCs w:val="20"/>
              </w:rPr>
              <w:t>CBR+ achievements and lessons in Paraguay</w:t>
            </w:r>
          </w:p>
        </w:tc>
        <w:tc>
          <w:tcPr>
            <w:tcW w:w="696" w:type="dxa"/>
            <w:tcMar>
              <w:top w:w="57" w:type="dxa"/>
              <w:bottom w:w="57" w:type="dxa"/>
            </w:tcMar>
            <w:vAlign w:val="center"/>
          </w:tcPr>
          <w:p w14:paraId="46985AF7" w14:textId="77777777" w:rsidR="006F09FB" w:rsidRPr="00475283" w:rsidRDefault="006F09FB" w:rsidP="00533C70">
            <w:pPr>
              <w:jc w:val="center"/>
              <w:rPr>
                <w:sz w:val="20"/>
                <w:szCs w:val="20"/>
              </w:rPr>
            </w:pPr>
            <w:r w:rsidRPr="00475283">
              <w:rPr>
                <w:sz w:val="20"/>
                <w:szCs w:val="20"/>
              </w:rPr>
              <w:t>2018</w:t>
            </w:r>
          </w:p>
        </w:tc>
        <w:tc>
          <w:tcPr>
            <w:tcW w:w="633" w:type="dxa"/>
            <w:tcMar>
              <w:top w:w="57" w:type="dxa"/>
              <w:bottom w:w="57" w:type="dxa"/>
            </w:tcMar>
            <w:vAlign w:val="center"/>
          </w:tcPr>
          <w:p w14:paraId="5DE69F14" w14:textId="77777777" w:rsidR="006F09FB" w:rsidRPr="00475283" w:rsidRDefault="00770EA4" w:rsidP="00533C70">
            <w:pPr>
              <w:jc w:val="center"/>
              <w:rPr>
                <w:sz w:val="20"/>
                <w:szCs w:val="20"/>
              </w:rPr>
            </w:pPr>
            <w:hyperlink r:id="rId23" w:history="1">
              <w:r w:rsidR="006F09FB" w:rsidRPr="00475283">
                <w:rPr>
                  <w:rStyle w:val="Hyperlink"/>
                  <w:rFonts w:ascii="Cambria Math" w:hAnsi="Cambria Math" w:cs="Cambria Math"/>
                  <w:sz w:val="20"/>
                  <w:szCs w:val="20"/>
                  <w:u w:val="none"/>
                </w:rPr>
                <w:t>⫸</w:t>
              </w:r>
            </w:hyperlink>
          </w:p>
        </w:tc>
      </w:tr>
      <w:tr w:rsidR="006F09FB" w:rsidRPr="00475283" w14:paraId="10D4D578" w14:textId="77777777" w:rsidTr="005208D0">
        <w:trPr>
          <w:jc w:val="center"/>
        </w:trPr>
        <w:tc>
          <w:tcPr>
            <w:tcW w:w="850" w:type="dxa"/>
            <w:vMerge/>
            <w:tcMar>
              <w:top w:w="57" w:type="dxa"/>
              <w:bottom w:w="57" w:type="dxa"/>
            </w:tcMar>
            <w:vAlign w:val="center"/>
          </w:tcPr>
          <w:p w14:paraId="6AB7AFDF" w14:textId="77777777" w:rsidR="006F09FB" w:rsidRPr="00475283" w:rsidRDefault="006F09FB" w:rsidP="00533C70">
            <w:pPr>
              <w:rPr>
                <w:b/>
                <w:sz w:val="20"/>
                <w:szCs w:val="20"/>
              </w:rPr>
            </w:pPr>
          </w:p>
        </w:tc>
        <w:tc>
          <w:tcPr>
            <w:tcW w:w="1866" w:type="dxa"/>
            <w:tcMar>
              <w:top w:w="57" w:type="dxa"/>
              <w:bottom w:w="57" w:type="dxa"/>
            </w:tcMar>
            <w:vAlign w:val="center"/>
          </w:tcPr>
          <w:p w14:paraId="23E2F36D" w14:textId="77777777" w:rsidR="006F09FB" w:rsidRPr="00475283" w:rsidRDefault="006F09FB" w:rsidP="00533C70">
            <w:pPr>
              <w:rPr>
                <w:sz w:val="20"/>
                <w:szCs w:val="20"/>
              </w:rPr>
            </w:pPr>
            <w:r w:rsidRPr="00475283">
              <w:rPr>
                <w:sz w:val="20"/>
                <w:szCs w:val="20"/>
              </w:rPr>
              <w:t>Video</w:t>
            </w:r>
          </w:p>
        </w:tc>
        <w:tc>
          <w:tcPr>
            <w:tcW w:w="4552" w:type="dxa"/>
            <w:tcMar>
              <w:top w:w="57" w:type="dxa"/>
              <w:bottom w:w="57" w:type="dxa"/>
            </w:tcMar>
          </w:tcPr>
          <w:p w14:paraId="54A16846" w14:textId="77777777" w:rsidR="006F09FB" w:rsidRPr="00475283" w:rsidRDefault="006F09FB" w:rsidP="00533C70">
            <w:pPr>
              <w:rPr>
                <w:sz w:val="20"/>
                <w:szCs w:val="20"/>
              </w:rPr>
            </w:pPr>
            <w:r w:rsidRPr="00475283">
              <w:rPr>
                <w:sz w:val="20"/>
                <w:szCs w:val="20"/>
              </w:rPr>
              <w:t xml:space="preserve">Lessons from CBR+ project empowering indigenous women in </w:t>
            </w:r>
            <w:proofErr w:type="spellStart"/>
            <w:r w:rsidRPr="00475283">
              <w:rPr>
                <w:sz w:val="20"/>
                <w:szCs w:val="20"/>
              </w:rPr>
              <w:t>Tavai</w:t>
            </w:r>
            <w:proofErr w:type="spellEnd"/>
            <w:r w:rsidRPr="00475283">
              <w:rPr>
                <w:sz w:val="20"/>
                <w:szCs w:val="20"/>
              </w:rPr>
              <w:t xml:space="preserve"> county</w:t>
            </w:r>
          </w:p>
        </w:tc>
        <w:tc>
          <w:tcPr>
            <w:tcW w:w="696" w:type="dxa"/>
            <w:tcMar>
              <w:top w:w="57" w:type="dxa"/>
              <w:bottom w:w="57" w:type="dxa"/>
            </w:tcMar>
            <w:vAlign w:val="center"/>
          </w:tcPr>
          <w:p w14:paraId="4F2A30CD" w14:textId="77777777" w:rsidR="006F09FB" w:rsidRPr="00475283" w:rsidRDefault="006F09FB" w:rsidP="00533C70">
            <w:pPr>
              <w:jc w:val="center"/>
              <w:rPr>
                <w:sz w:val="20"/>
                <w:szCs w:val="20"/>
              </w:rPr>
            </w:pPr>
            <w:r w:rsidRPr="00475283">
              <w:rPr>
                <w:sz w:val="20"/>
                <w:szCs w:val="20"/>
              </w:rPr>
              <w:t>2018</w:t>
            </w:r>
          </w:p>
        </w:tc>
        <w:tc>
          <w:tcPr>
            <w:tcW w:w="633" w:type="dxa"/>
            <w:tcMar>
              <w:top w:w="57" w:type="dxa"/>
              <w:bottom w:w="57" w:type="dxa"/>
            </w:tcMar>
            <w:vAlign w:val="center"/>
          </w:tcPr>
          <w:p w14:paraId="209F0D7A" w14:textId="77777777" w:rsidR="006F09FB" w:rsidRPr="00475283" w:rsidRDefault="00770EA4" w:rsidP="00533C70">
            <w:pPr>
              <w:jc w:val="center"/>
              <w:rPr>
                <w:sz w:val="20"/>
                <w:szCs w:val="20"/>
              </w:rPr>
            </w:pPr>
            <w:hyperlink r:id="rId24" w:history="1">
              <w:r w:rsidR="006F09FB" w:rsidRPr="00475283">
                <w:rPr>
                  <w:rStyle w:val="Hyperlink"/>
                  <w:rFonts w:ascii="Cambria Math" w:hAnsi="Cambria Math" w:cs="Cambria Math"/>
                  <w:sz w:val="20"/>
                  <w:szCs w:val="20"/>
                  <w:u w:val="none"/>
                </w:rPr>
                <w:t>⫸</w:t>
              </w:r>
            </w:hyperlink>
          </w:p>
        </w:tc>
      </w:tr>
      <w:tr w:rsidR="006F09FB" w:rsidRPr="00475283" w14:paraId="40D1B383" w14:textId="77777777" w:rsidTr="005208D0">
        <w:trPr>
          <w:jc w:val="center"/>
        </w:trPr>
        <w:tc>
          <w:tcPr>
            <w:tcW w:w="850" w:type="dxa"/>
            <w:vMerge w:val="restart"/>
            <w:tcMar>
              <w:top w:w="57" w:type="dxa"/>
              <w:bottom w:w="57" w:type="dxa"/>
            </w:tcMar>
            <w:vAlign w:val="center"/>
          </w:tcPr>
          <w:p w14:paraId="500E0F65" w14:textId="77777777" w:rsidR="006F09FB" w:rsidRPr="00475283" w:rsidRDefault="006F09FB" w:rsidP="00533C70">
            <w:pPr>
              <w:rPr>
                <w:b/>
                <w:sz w:val="20"/>
                <w:szCs w:val="20"/>
              </w:rPr>
            </w:pPr>
            <w:r w:rsidRPr="00475283">
              <w:rPr>
                <w:b/>
                <w:sz w:val="20"/>
                <w:szCs w:val="20"/>
              </w:rPr>
              <w:t>Sri Lanka</w:t>
            </w:r>
          </w:p>
        </w:tc>
        <w:tc>
          <w:tcPr>
            <w:tcW w:w="1866" w:type="dxa"/>
            <w:tcMar>
              <w:top w:w="57" w:type="dxa"/>
              <w:bottom w:w="57" w:type="dxa"/>
            </w:tcMar>
            <w:vAlign w:val="center"/>
          </w:tcPr>
          <w:p w14:paraId="46717560" w14:textId="77777777" w:rsidR="006F09FB" w:rsidRPr="00475283" w:rsidRDefault="006F09FB" w:rsidP="00533C70">
            <w:pPr>
              <w:rPr>
                <w:sz w:val="20"/>
                <w:szCs w:val="20"/>
              </w:rPr>
            </w:pPr>
            <w:r w:rsidRPr="00475283">
              <w:rPr>
                <w:sz w:val="20"/>
                <w:szCs w:val="20"/>
              </w:rPr>
              <w:t>Report</w:t>
            </w:r>
          </w:p>
        </w:tc>
        <w:tc>
          <w:tcPr>
            <w:tcW w:w="4552" w:type="dxa"/>
            <w:tcMar>
              <w:top w:w="57" w:type="dxa"/>
              <w:bottom w:w="57" w:type="dxa"/>
            </w:tcMar>
          </w:tcPr>
          <w:p w14:paraId="09B0BBFF" w14:textId="77777777" w:rsidR="006F09FB" w:rsidRPr="00475283" w:rsidRDefault="006F09FB" w:rsidP="00533C70">
            <w:pPr>
              <w:rPr>
                <w:sz w:val="20"/>
                <w:szCs w:val="20"/>
              </w:rPr>
            </w:pPr>
            <w:r w:rsidRPr="00475283">
              <w:rPr>
                <w:sz w:val="20"/>
                <w:szCs w:val="20"/>
              </w:rPr>
              <w:t>The CBR+ portfolio in Sri Lanka: A review</w:t>
            </w:r>
          </w:p>
        </w:tc>
        <w:tc>
          <w:tcPr>
            <w:tcW w:w="696" w:type="dxa"/>
            <w:tcMar>
              <w:top w:w="57" w:type="dxa"/>
              <w:bottom w:w="57" w:type="dxa"/>
            </w:tcMar>
            <w:vAlign w:val="center"/>
          </w:tcPr>
          <w:p w14:paraId="5C28CA20" w14:textId="77777777" w:rsidR="006F09FB" w:rsidRPr="00475283" w:rsidRDefault="006F09FB" w:rsidP="00533C70">
            <w:pPr>
              <w:jc w:val="center"/>
              <w:rPr>
                <w:sz w:val="20"/>
                <w:szCs w:val="20"/>
              </w:rPr>
            </w:pPr>
            <w:r w:rsidRPr="00475283">
              <w:rPr>
                <w:sz w:val="20"/>
                <w:szCs w:val="20"/>
              </w:rPr>
              <w:t>2017</w:t>
            </w:r>
          </w:p>
        </w:tc>
        <w:tc>
          <w:tcPr>
            <w:tcW w:w="633" w:type="dxa"/>
            <w:tcMar>
              <w:top w:w="57" w:type="dxa"/>
              <w:bottom w:w="57" w:type="dxa"/>
            </w:tcMar>
            <w:vAlign w:val="center"/>
          </w:tcPr>
          <w:p w14:paraId="23DF1913" w14:textId="77777777" w:rsidR="006F09FB" w:rsidRPr="00475283" w:rsidRDefault="006F09FB" w:rsidP="00533C70">
            <w:pPr>
              <w:jc w:val="center"/>
              <w:rPr>
                <w:rFonts w:ascii="Cambria Math" w:hAnsi="Cambria Math" w:cs="Cambria Math"/>
                <w:sz w:val="20"/>
                <w:szCs w:val="20"/>
              </w:rPr>
            </w:pPr>
          </w:p>
        </w:tc>
      </w:tr>
      <w:tr w:rsidR="006F09FB" w:rsidRPr="00475283" w14:paraId="506D4019" w14:textId="77777777" w:rsidTr="005208D0">
        <w:trPr>
          <w:jc w:val="center"/>
        </w:trPr>
        <w:tc>
          <w:tcPr>
            <w:tcW w:w="850" w:type="dxa"/>
            <w:vMerge/>
            <w:tcMar>
              <w:top w:w="57" w:type="dxa"/>
              <w:bottom w:w="57" w:type="dxa"/>
            </w:tcMar>
            <w:vAlign w:val="center"/>
          </w:tcPr>
          <w:p w14:paraId="47E0789D" w14:textId="77777777" w:rsidR="006F09FB" w:rsidRPr="00475283" w:rsidRDefault="006F09FB" w:rsidP="00533C70">
            <w:pPr>
              <w:rPr>
                <w:b/>
                <w:sz w:val="20"/>
                <w:szCs w:val="20"/>
              </w:rPr>
            </w:pPr>
          </w:p>
        </w:tc>
        <w:tc>
          <w:tcPr>
            <w:tcW w:w="1866" w:type="dxa"/>
            <w:tcMar>
              <w:top w:w="57" w:type="dxa"/>
              <w:bottom w:w="57" w:type="dxa"/>
            </w:tcMar>
            <w:vAlign w:val="center"/>
          </w:tcPr>
          <w:p w14:paraId="097FF894" w14:textId="77777777" w:rsidR="006F09FB" w:rsidRPr="00475283" w:rsidRDefault="006F09FB" w:rsidP="00533C70">
            <w:pPr>
              <w:rPr>
                <w:sz w:val="20"/>
                <w:szCs w:val="20"/>
              </w:rPr>
            </w:pPr>
            <w:r w:rsidRPr="00475283">
              <w:rPr>
                <w:sz w:val="20"/>
                <w:szCs w:val="20"/>
              </w:rPr>
              <w:t>Knowledge brief</w:t>
            </w:r>
          </w:p>
        </w:tc>
        <w:tc>
          <w:tcPr>
            <w:tcW w:w="4552" w:type="dxa"/>
            <w:tcMar>
              <w:top w:w="57" w:type="dxa"/>
              <w:bottom w:w="57" w:type="dxa"/>
            </w:tcMar>
          </w:tcPr>
          <w:p w14:paraId="0D6FFB91" w14:textId="77777777" w:rsidR="006F09FB" w:rsidRPr="00475283" w:rsidRDefault="006F09FB" w:rsidP="00533C70">
            <w:pPr>
              <w:rPr>
                <w:sz w:val="20"/>
                <w:szCs w:val="20"/>
              </w:rPr>
            </w:pPr>
            <w:r w:rsidRPr="00475283">
              <w:rPr>
                <w:sz w:val="20"/>
                <w:szCs w:val="20"/>
              </w:rPr>
              <w:t xml:space="preserve">Lessons Learned from </w:t>
            </w:r>
            <w:r w:rsidR="00253331">
              <w:rPr>
                <w:sz w:val="20"/>
                <w:szCs w:val="20"/>
              </w:rPr>
              <w:t xml:space="preserve">CBR+ </w:t>
            </w:r>
            <w:r w:rsidRPr="00475283">
              <w:rPr>
                <w:sz w:val="20"/>
                <w:szCs w:val="20"/>
              </w:rPr>
              <w:t>in Sri Lanka</w:t>
            </w:r>
          </w:p>
        </w:tc>
        <w:tc>
          <w:tcPr>
            <w:tcW w:w="696" w:type="dxa"/>
            <w:tcMar>
              <w:top w:w="57" w:type="dxa"/>
              <w:bottom w:w="57" w:type="dxa"/>
            </w:tcMar>
            <w:vAlign w:val="center"/>
          </w:tcPr>
          <w:p w14:paraId="1C12AD30" w14:textId="77777777" w:rsidR="006F09FB" w:rsidRPr="00475283" w:rsidRDefault="006F09FB" w:rsidP="00533C70">
            <w:pPr>
              <w:jc w:val="center"/>
              <w:rPr>
                <w:sz w:val="20"/>
                <w:szCs w:val="20"/>
              </w:rPr>
            </w:pPr>
            <w:r w:rsidRPr="00475283">
              <w:rPr>
                <w:sz w:val="20"/>
                <w:szCs w:val="20"/>
              </w:rPr>
              <w:t>2017</w:t>
            </w:r>
          </w:p>
        </w:tc>
        <w:tc>
          <w:tcPr>
            <w:tcW w:w="633" w:type="dxa"/>
            <w:tcMar>
              <w:top w:w="57" w:type="dxa"/>
              <w:bottom w:w="57" w:type="dxa"/>
            </w:tcMar>
            <w:vAlign w:val="center"/>
          </w:tcPr>
          <w:p w14:paraId="138AD72B" w14:textId="77777777" w:rsidR="006F09FB" w:rsidRPr="00475283" w:rsidRDefault="00770EA4" w:rsidP="00533C70">
            <w:pPr>
              <w:jc w:val="center"/>
              <w:rPr>
                <w:sz w:val="20"/>
                <w:szCs w:val="20"/>
              </w:rPr>
            </w:pPr>
            <w:hyperlink r:id="rId25" w:history="1">
              <w:r w:rsidR="006F09FB" w:rsidRPr="00475283">
                <w:rPr>
                  <w:rStyle w:val="Hyperlink"/>
                  <w:rFonts w:ascii="Cambria Math" w:hAnsi="Cambria Math" w:cs="Cambria Math"/>
                  <w:sz w:val="20"/>
                  <w:szCs w:val="20"/>
                  <w:u w:val="none"/>
                </w:rPr>
                <w:t>⫸</w:t>
              </w:r>
            </w:hyperlink>
          </w:p>
        </w:tc>
      </w:tr>
      <w:tr w:rsidR="00512B39" w:rsidRPr="00475283" w14:paraId="372E2688" w14:textId="77777777" w:rsidTr="005208D0">
        <w:trPr>
          <w:jc w:val="center"/>
        </w:trPr>
        <w:tc>
          <w:tcPr>
            <w:tcW w:w="850" w:type="dxa"/>
            <w:vMerge w:val="restart"/>
            <w:tcMar>
              <w:top w:w="57" w:type="dxa"/>
              <w:bottom w:w="57" w:type="dxa"/>
            </w:tcMar>
            <w:vAlign w:val="center"/>
          </w:tcPr>
          <w:p w14:paraId="0A40D0C2" w14:textId="77777777" w:rsidR="005208D0" w:rsidRDefault="00512B39" w:rsidP="00533C70">
            <w:pPr>
              <w:rPr>
                <w:b/>
                <w:sz w:val="20"/>
                <w:szCs w:val="20"/>
              </w:rPr>
            </w:pPr>
            <w:r w:rsidRPr="00475283">
              <w:rPr>
                <w:b/>
                <w:sz w:val="20"/>
                <w:szCs w:val="20"/>
              </w:rPr>
              <w:t>Global</w:t>
            </w:r>
          </w:p>
          <w:p w14:paraId="73955580" w14:textId="77777777" w:rsidR="00512B39" w:rsidRPr="00475283" w:rsidRDefault="005208D0" w:rsidP="00533C70">
            <w:pPr>
              <w:rPr>
                <w:b/>
                <w:sz w:val="20"/>
                <w:szCs w:val="20"/>
              </w:rPr>
            </w:pPr>
            <w:r>
              <w:rPr>
                <w:b/>
                <w:sz w:val="20"/>
                <w:szCs w:val="20"/>
              </w:rPr>
              <w:t xml:space="preserve">&amp; </w:t>
            </w:r>
            <w:r w:rsidR="00512B39" w:rsidRPr="00475283">
              <w:rPr>
                <w:b/>
                <w:sz w:val="20"/>
                <w:szCs w:val="20"/>
              </w:rPr>
              <w:t>SGP</w:t>
            </w:r>
          </w:p>
        </w:tc>
        <w:tc>
          <w:tcPr>
            <w:tcW w:w="1866" w:type="dxa"/>
            <w:tcMar>
              <w:top w:w="57" w:type="dxa"/>
              <w:bottom w:w="57" w:type="dxa"/>
            </w:tcMar>
            <w:vAlign w:val="center"/>
          </w:tcPr>
          <w:p w14:paraId="42FE0417" w14:textId="77777777" w:rsidR="00512B39" w:rsidRPr="00475283" w:rsidRDefault="00512B39" w:rsidP="00533C70">
            <w:pPr>
              <w:rPr>
                <w:sz w:val="20"/>
                <w:szCs w:val="20"/>
              </w:rPr>
            </w:pPr>
            <w:r w:rsidRPr="00475283">
              <w:rPr>
                <w:sz w:val="20"/>
                <w:szCs w:val="20"/>
              </w:rPr>
              <w:t>Annual report</w:t>
            </w:r>
          </w:p>
        </w:tc>
        <w:tc>
          <w:tcPr>
            <w:tcW w:w="4552" w:type="dxa"/>
            <w:tcMar>
              <w:top w:w="57" w:type="dxa"/>
              <w:bottom w:w="57" w:type="dxa"/>
            </w:tcMar>
          </w:tcPr>
          <w:p w14:paraId="25EFB21C" w14:textId="77777777" w:rsidR="00512B39" w:rsidRPr="00475283" w:rsidRDefault="00512B39" w:rsidP="00533C70">
            <w:pPr>
              <w:rPr>
                <w:sz w:val="20"/>
                <w:szCs w:val="20"/>
              </w:rPr>
            </w:pPr>
            <w:r w:rsidRPr="00475283">
              <w:rPr>
                <w:sz w:val="20"/>
                <w:szCs w:val="20"/>
              </w:rPr>
              <w:t>SGP Annual Monitoring Report 2016-2017</w:t>
            </w:r>
            <w:r w:rsidR="0003426C" w:rsidRPr="00475283">
              <w:rPr>
                <w:sz w:val="20"/>
                <w:szCs w:val="20"/>
              </w:rPr>
              <w:t xml:space="preserve"> (it has references to CBR+ and its innovative nature)</w:t>
            </w:r>
          </w:p>
        </w:tc>
        <w:tc>
          <w:tcPr>
            <w:tcW w:w="696" w:type="dxa"/>
            <w:tcMar>
              <w:top w:w="57" w:type="dxa"/>
              <w:bottom w:w="57" w:type="dxa"/>
            </w:tcMar>
            <w:vAlign w:val="center"/>
          </w:tcPr>
          <w:p w14:paraId="7790A825" w14:textId="77777777" w:rsidR="00512B39" w:rsidRPr="00475283" w:rsidRDefault="00512B39" w:rsidP="00533C70">
            <w:pPr>
              <w:jc w:val="center"/>
              <w:rPr>
                <w:sz w:val="20"/>
                <w:szCs w:val="20"/>
              </w:rPr>
            </w:pPr>
            <w:r w:rsidRPr="00475283">
              <w:rPr>
                <w:sz w:val="20"/>
                <w:szCs w:val="20"/>
              </w:rPr>
              <w:t>2017</w:t>
            </w:r>
          </w:p>
        </w:tc>
        <w:tc>
          <w:tcPr>
            <w:tcW w:w="633" w:type="dxa"/>
            <w:tcMar>
              <w:top w:w="57" w:type="dxa"/>
              <w:bottom w:w="57" w:type="dxa"/>
            </w:tcMar>
            <w:vAlign w:val="center"/>
          </w:tcPr>
          <w:p w14:paraId="038F9AB1" w14:textId="77777777" w:rsidR="00512B39" w:rsidRPr="00475283" w:rsidRDefault="00512B39" w:rsidP="00533C70">
            <w:pPr>
              <w:jc w:val="center"/>
              <w:rPr>
                <w:sz w:val="20"/>
                <w:szCs w:val="20"/>
              </w:rPr>
            </w:pPr>
          </w:p>
        </w:tc>
      </w:tr>
      <w:tr w:rsidR="00512B39" w:rsidRPr="00475283" w14:paraId="5CDA41F7" w14:textId="77777777" w:rsidTr="005208D0">
        <w:trPr>
          <w:jc w:val="center"/>
        </w:trPr>
        <w:tc>
          <w:tcPr>
            <w:tcW w:w="850" w:type="dxa"/>
            <w:vMerge/>
            <w:tcMar>
              <w:top w:w="57" w:type="dxa"/>
              <w:bottom w:w="57" w:type="dxa"/>
            </w:tcMar>
            <w:vAlign w:val="center"/>
          </w:tcPr>
          <w:p w14:paraId="00890C06" w14:textId="77777777" w:rsidR="00512B39" w:rsidRPr="00475283" w:rsidRDefault="00512B39" w:rsidP="00533C70">
            <w:pPr>
              <w:rPr>
                <w:b/>
                <w:sz w:val="20"/>
                <w:szCs w:val="20"/>
              </w:rPr>
            </w:pPr>
          </w:p>
        </w:tc>
        <w:tc>
          <w:tcPr>
            <w:tcW w:w="1866" w:type="dxa"/>
            <w:tcMar>
              <w:top w:w="57" w:type="dxa"/>
              <w:bottom w:w="57" w:type="dxa"/>
            </w:tcMar>
            <w:vAlign w:val="center"/>
          </w:tcPr>
          <w:p w14:paraId="249EE2C7" w14:textId="77777777" w:rsidR="00512B39" w:rsidRPr="00475283" w:rsidRDefault="00512B39" w:rsidP="00533C70">
            <w:pPr>
              <w:rPr>
                <w:sz w:val="20"/>
                <w:szCs w:val="20"/>
              </w:rPr>
            </w:pPr>
            <w:r w:rsidRPr="00475283">
              <w:rPr>
                <w:sz w:val="20"/>
                <w:szCs w:val="20"/>
              </w:rPr>
              <w:t>Independent evaluation</w:t>
            </w:r>
          </w:p>
        </w:tc>
        <w:tc>
          <w:tcPr>
            <w:tcW w:w="4552" w:type="dxa"/>
            <w:tcMar>
              <w:top w:w="57" w:type="dxa"/>
              <w:bottom w:w="57" w:type="dxa"/>
            </w:tcMar>
            <w:vAlign w:val="center"/>
          </w:tcPr>
          <w:p w14:paraId="7E6EA04A" w14:textId="77777777" w:rsidR="00512B39" w:rsidRPr="00475283" w:rsidRDefault="00512B39" w:rsidP="00533C70">
            <w:pPr>
              <w:rPr>
                <w:sz w:val="20"/>
                <w:szCs w:val="20"/>
              </w:rPr>
            </w:pPr>
            <w:r w:rsidRPr="00475283">
              <w:rPr>
                <w:sz w:val="20"/>
                <w:szCs w:val="20"/>
              </w:rPr>
              <w:t>Joint GEF-UNDP Evaluation of the S</w:t>
            </w:r>
            <w:r w:rsidR="00253331">
              <w:rPr>
                <w:sz w:val="20"/>
                <w:szCs w:val="20"/>
              </w:rPr>
              <w:t>GP.</w:t>
            </w:r>
          </w:p>
        </w:tc>
        <w:tc>
          <w:tcPr>
            <w:tcW w:w="696" w:type="dxa"/>
            <w:tcMar>
              <w:top w:w="57" w:type="dxa"/>
              <w:bottom w:w="57" w:type="dxa"/>
            </w:tcMar>
            <w:vAlign w:val="center"/>
          </w:tcPr>
          <w:p w14:paraId="750844D5" w14:textId="77777777" w:rsidR="00512B39" w:rsidRPr="00475283" w:rsidRDefault="00512B39" w:rsidP="00533C70">
            <w:pPr>
              <w:jc w:val="center"/>
              <w:rPr>
                <w:sz w:val="20"/>
                <w:szCs w:val="20"/>
              </w:rPr>
            </w:pPr>
            <w:r w:rsidRPr="00475283">
              <w:rPr>
                <w:sz w:val="20"/>
                <w:szCs w:val="20"/>
              </w:rPr>
              <w:t>2015</w:t>
            </w:r>
          </w:p>
        </w:tc>
        <w:tc>
          <w:tcPr>
            <w:tcW w:w="633" w:type="dxa"/>
            <w:tcMar>
              <w:top w:w="57" w:type="dxa"/>
              <w:bottom w:w="57" w:type="dxa"/>
            </w:tcMar>
            <w:vAlign w:val="center"/>
          </w:tcPr>
          <w:p w14:paraId="5945910B" w14:textId="77777777" w:rsidR="00512B39" w:rsidRPr="00475283" w:rsidRDefault="00512B39" w:rsidP="00533C70">
            <w:pPr>
              <w:jc w:val="center"/>
              <w:rPr>
                <w:sz w:val="20"/>
                <w:szCs w:val="20"/>
              </w:rPr>
            </w:pPr>
          </w:p>
        </w:tc>
      </w:tr>
    </w:tbl>
    <w:p w14:paraId="1AAAA710" w14:textId="6574AD7F" w:rsidR="005F45F4" w:rsidRPr="00475283" w:rsidRDefault="00C279E4" w:rsidP="005F45F4">
      <w:r>
        <w:rPr>
          <w:b/>
        </w:rPr>
        <w:br w:type="page"/>
      </w:r>
    </w:p>
    <w:p w14:paraId="4830E04A" w14:textId="41059BDC" w:rsidR="005F45F4" w:rsidRPr="00475283" w:rsidRDefault="005F45F4" w:rsidP="005F45F4">
      <w:pPr>
        <w:pStyle w:val="Heading1"/>
        <w:jc w:val="center"/>
      </w:pPr>
      <w:bookmarkStart w:id="11" w:name="_Toc10457062"/>
      <w:r>
        <w:lastRenderedPageBreak/>
        <w:t xml:space="preserve">Annex 3. </w:t>
      </w:r>
      <w:r w:rsidRPr="00C10AFF">
        <w:t xml:space="preserve">Comparative analysis of various </w:t>
      </w:r>
      <w:r>
        <w:t xml:space="preserve">international </w:t>
      </w:r>
      <w:r w:rsidRPr="00C10AFF">
        <w:t>community REDD+ programmes</w:t>
      </w:r>
      <w:bookmarkEnd w:id="11"/>
    </w:p>
    <w:p w14:paraId="65A1EAB6" w14:textId="2A775653" w:rsidR="005F45F4" w:rsidRDefault="005F45F4" w:rsidP="005F45F4">
      <w:pPr>
        <w:spacing w:after="0"/>
        <w:rPr>
          <w:b/>
        </w:rPr>
      </w:pPr>
    </w:p>
    <w:p w14:paraId="3F377C87" w14:textId="77777777" w:rsidR="00BD3558" w:rsidRDefault="00BD3558" w:rsidP="005F45F4">
      <w:pPr>
        <w:spacing w:after="0"/>
        <w:rPr>
          <w:b/>
        </w:rPr>
      </w:pPr>
    </w:p>
    <w:tbl>
      <w:tblPr>
        <w:tblStyle w:val="TableGrid"/>
        <w:tblW w:w="8898" w:type="dxa"/>
        <w:jc w:val="center"/>
        <w:tblLook w:val="04A0" w:firstRow="1" w:lastRow="0" w:firstColumn="1" w:lastColumn="0" w:noHBand="0" w:noVBand="1"/>
      </w:tblPr>
      <w:tblGrid>
        <w:gridCol w:w="1248"/>
        <w:gridCol w:w="1270"/>
        <w:gridCol w:w="1487"/>
        <w:gridCol w:w="808"/>
        <w:gridCol w:w="1394"/>
        <w:gridCol w:w="2691"/>
      </w:tblGrid>
      <w:tr w:rsidR="005F45F4" w:rsidRPr="00A34C8D" w14:paraId="396F4627" w14:textId="77777777" w:rsidTr="005F45F4">
        <w:trPr>
          <w:tblHeader/>
          <w:jc w:val="center"/>
        </w:trPr>
        <w:tc>
          <w:tcPr>
            <w:tcW w:w="1248" w:type="dxa"/>
            <w:shd w:val="clear" w:color="auto" w:fill="C6D9F1" w:themeFill="text2" w:themeFillTint="33"/>
            <w:tcMar>
              <w:top w:w="57" w:type="dxa"/>
              <w:bottom w:w="57" w:type="dxa"/>
            </w:tcMar>
            <w:vAlign w:val="center"/>
          </w:tcPr>
          <w:p w14:paraId="1ED0F7CA" w14:textId="77777777" w:rsidR="005F45F4" w:rsidRPr="00A34C8D" w:rsidRDefault="005F45F4" w:rsidP="005F45F4">
            <w:pPr>
              <w:pStyle w:val="ListParagraph"/>
              <w:ind w:left="0"/>
              <w:contextualSpacing w:val="0"/>
              <w:jc w:val="center"/>
              <w:rPr>
                <w:b/>
                <w:sz w:val="20"/>
              </w:rPr>
            </w:pPr>
            <w:r>
              <w:rPr>
                <w:b/>
                <w:sz w:val="20"/>
              </w:rPr>
              <w:t>Community grant m</w:t>
            </w:r>
            <w:r w:rsidRPr="00A34C8D">
              <w:rPr>
                <w:b/>
                <w:sz w:val="20"/>
              </w:rPr>
              <w:t>echanism</w:t>
            </w:r>
            <w:r>
              <w:rPr>
                <w:b/>
                <w:sz w:val="20"/>
              </w:rPr>
              <w:t>s</w:t>
            </w:r>
          </w:p>
        </w:tc>
        <w:tc>
          <w:tcPr>
            <w:tcW w:w="1270" w:type="dxa"/>
            <w:shd w:val="clear" w:color="auto" w:fill="C6D9F1" w:themeFill="text2" w:themeFillTint="33"/>
            <w:tcMar>
              <w:top w:w="57" w:type="dxa"/>
              <w:bottom w:w="57" w:type="dxa"/>
            </w:tcMar>
            <w:vAlign w:val="center"/>
          </w:tcPr>
          <w:p w14:paraId="51BECB89" w14:textId="77777777" w:rsidR="005F45F4" w:rsidRPr="00A34C8D" w:rsidRDefault="005F45F4" w:rsidP="005F45F4">
            <w:pPr>
              <w:pStyle w:val="ListParagraph"/>
              <w:ind w:left="0"/>
              <w:contextualSpacing w:val="0"/>
              <w:jc w:val="center"/>
              <w:rPr>
                <w:b/>
                <w:sz w:val="20"/>
              </w:rPr>
            </w:pPr>
            <w:r w:rsidRPr="00A34C8D">
              <w:rPr>
                <w:b/>
                <w:sz w:val="20"/>
              </w:rPr>
              <w:t>Objective</w:t>
            </w:r>
            <w:r>
              <w:rPr>
                <w:b/>
                <w:sz w:val="20"/>
              </w:rPr>
              <w:t>s</w:t>
            </w:r>
          </w:p>
        </w:tc>
        <w:tc>
          <w:tcPr>
            <w:tcW w:w="1487" w:type="dxa"/>
            <w:shd w:val="clear" w:color="auto" w:fill="C6D9F1" w:themeFill="text2" w:themeFillTint="33"/>
            <w:tcMar>
              <w:top w:w="57" w:type="dxa"/>
              <w:bottom w:w="57" w:type="dxa"/>
            </w:tcMar>
            <w:vAlign w:val="center"/>
          </w:tcPr>
          <w:p w14:paraId="1F9327BB" w14:textId="77777777" w:rsidR="005F45F4" w:rsidRDefault="005F45F4" w:rsidP="005F45F4">
            <w:pPr>
              <w:pStyle w:val="ListParagraph"/>
              <w:ind w:left="0"/>
              <w:contextualSpacing w:val="0"/>
              <w:jc w:val="center"/>
              <w:rPr>
                <w:b/>
                <w:sz w:val="20"/>
              </w:rPr>
            </w:pPr>
            <w:r w:rsidRPr="00A34C8D">
              <w:rPr>
                <w:b/>
                <w:sz w:val="20"/>
              </w:rPr>
              <w:t>National</w:t>
            </w:r>
          </w:p>
          <w:p w14:paraId="6B67E60E" w14:textId="77777777" w:rsidR="005F45F4" w:rsidRPr="00A34C8D" w:rsidRDefault="005F45F4" w:rsidP="005F45F4">
            <w:pPr>
              <w:pStyle w:val="ListParagraph"/>
              <w:ind w:left="0"/>
              <w:contextualSpacing w:val="0"/>
              <w:jc w:val="center"/>
              <w:rPr>
                <w:b/>
                <w:sz w:val="20"/>
              </w:rPr>
            </w:pPr>
            <w:r w:rsidRPr="00A34C8D">
              <w:rPr>
                <w:b/>
                <w:sz w:val="20"/>
              </w:rPr>
              <w:t>governance</w:t>
            </w:r>
          </w:p>
        </w:tc>
        <w:tc>
          <w:tcPr>
            <w:tcW w:w="808" w:type="dxa"/>
            <w:shd w:val="clear" w:color="auto" w:fill="C6D9F1" w:themeFill="text2" w:themeFillTint="33"/>
            <w:tcMar>
              <w:top w:w="57" w:type="dxa"/>
              <w:bottom w:w="57" w:type="dxa"/>
            </w:tcMar>
            <w:vAlign w:val="center"/>
          </w:tcPr>
          <w:p w14:paraId="0BF19EFA" w14:textId="77777777" w:rsidR="005F45F4" w:rsidRPr="00A34C8D" w:rsidRDefault="005F45F4" w:rsidP="005F45F4">
            <w:pPr>
              <w:pStyle w:val="ListParagraph"/>
              <w:ind w:left="0"/>
              <w:contextualSpacing w:val="0"/>
              <w:jc w:val="center"/>
              <w:rPr>
                <w:b/>
                <w:sz w:val="20"/>
              </w:rPr>
            </w:pPr>
            <w:r w:rsidRPr="00A34C8D">
              <w:rPr>
                <w:b/>
                <w:sz w:val="20"/>
              </w:rPr>
              <w:t>Budget (USD)</w:t>
            </w:r>
          </w:p>
        </w:tc>
        <w:tc>
          <w:tcPr>
            <w:tcW w:w="1394" w:type="dxa"/>
            <w:shd w:val="clear" w:color="auto" w:fill="C6D9F1" w:themeFill="text2" w:themeFillTint="33"/>
            <w:tcMar>
              <w:top w:w="57" w:type="dxa"/>
              <w:bottom w:w="57" w:type="dxa"/>
            </w:tcMar>
            <w:vAlign w:val="center"/>
          </w:tcPr>
          <w:p w14:paraId="4F6C81E9" w14:textId="77777777" w:rsidR="005F45F4" w:rsidRPr="00A34C8D" w:rsidRDefault="005F45F4" w:rsidP="005F45F4">
            <w:pPr>
              <w:pStyle w:val="ListParagraph"/>
              <w:ind w:left="0"/>
              <w:contextualSpacing w:val="0"/>
              <w:jc w:val="center"/>
              <w:rPr>
                <w:b/>
                <w:sz w:val="20"/>
              </w:rPr>
            </w:pPr>
            <w:r w:rsidRPr="00A34C8D">
              <w:rPr>
                <w:b/>
                <w:sz w:val="20"/>
              </w:rPr>
              <w:t>Achievements and issues</w:t>
            </w:r>
          </w:p>
        </w:tc>
        <w:tc>
          <w:tcPr>
            <w:tcW w:w="2691" w:type="dxa"/>
            <w:shd w:val="clear" w:color="auto" w:fill="C6D9F1" w:themeFill="text2" w:themeFillTint="33"/>
            <w:vAlign w:val="center"/>
          </w:tcPr>
          <w:p w14:paraId="10C09E1D" w14:textId="77777777" w:rsidR="005F45F4" w:rsidRDefault="005F45F4" w:rsidP="005F45F4">
            <w:pPr>
              <w:pStyle w:val="ListParagraph"/>
              <w:ind w:left="0"/>
              <w:contextualSpacing w:val="0"/>
              <w:jc w:val="center"/>
              <w:rPr>
                <w:b/>
                <w:sz w:val="20"/>
              </w:rPr>
            </w:pPr>
            <w:r>
              <w:rPr>
                <w:b/>
                <w:sz w:val="20"/>
              </w:rPr>
              <w:t>CBR+2 comparative</w:t>
            </w:r>
          </w:p>
          <w:p w14:paraId="487E898A" w14:textId="77777777" w:rsidR="005F45F4" w:rsidRPr="00A34C8D" w:rsidRDefault="005F45F4" w:rsidP="005F45F4">
            <w:pPr>
              <w:pStyle w:val="ListParagraph"/>
              <w:ind w:left="0"/>
              <w:contextualSpacing w:val="0"/>
              <w:jc w:val="center"/>
              <w:rPr>
                <w:b/>
                <w:sz w:val="20"/>
              </w:rPr>
            </w:pPr>
            <w:r>
              <w:rPr>
                <w:b/>
                <w:sz w:val="20"/>
              </w:rPr>
              <w:t>and added value</w:t>
            </w:r>
          </w:p>
        </w:tc>
      </w:tr>
      <w:tr w:rsidR="005F45F4" w:rsidRPr="00A34C8D" w14:paraId="0F216D87" w14:textId="77777777" w:rsidTr="005F45F4">
        <w:trPr>
          <w:jc w:val="center"/>
        </w:trPr>
        <w:tc>
          <w:tcPr>
            <w:tcW w:w="1248" w:type="dxa"/>
            <w:tcMar>
              <w:top w:w="57" w:type="dxa"/>
              <w:bottom w:w="57" w:type="dxa"/>
            </w:tcMar>
          </w:tcPr>
          <w:p w14:paraId="7CE329E5" w14:textId="77777777" w:rsidR="005F45F4" w:rsidRDefault="005F45F4" w:rsidP="005F45F4">
            <w:pPr>
              <w:pStyle w:val="ListParagraph"/>
              <w:ind w:left="0"/>
              <w:contextualSpacing w:val="0"/>
              <w:rPr>
                <w:sz w:val="20"/>
              </w:rPr>
            </w:pPr>
            <w:r w:rsidRPr="00A34C8D">
              <w:rPr>
                <w:sz w:val="20"/>
              </w:rPr>
              <w:t>CBR+</w:t>
            </w:r>
          </w:p>
          <w:p w14:paraId="31CB2D54" w14:textId="77777777" w:rsidR="005F45F4" w:rsidRPr="00A34C8D" w:rsidRDefault="005F45F4" w:rsidP="005F45F4">
            <w:pPr>
              <w:pStyle w:val="ListParagraph"/>
              <w:ind w:left="0"/>
              <w:contextualSpacing w:val="0"/>
              <w:rPr>
                <w:sz w:val="20"/>
              </w:rPr>
            </w:pPr>
            <w:r w:rsidRPr="00A34C8D">
              <w:rPr>
                <w:sz w:val="20"/>
              </w:rPr>
              <w:t>(phase 1)</w:t>
            </w:r>
          </w:p>
        </w:tc>
        <w:tc>
          <w:tcPr>
            <w:tcW w:w="1270" w:type="dxa"/>
            <w:tcMar>
              <w:top w:w="57" w:type="dxa"/>
              <w:bottom w:w="57" w:type="dxa"/>
            </w:tcMar>
          </w:tcPr>
          <w:p w14:paraId="5A96C229" w14:textId="77777777" w:rsidR="005F45F4" w:rsidRPr="00A34C8D" w:rsidRDefault="005F45F4" w:rsidP="005F45F4">
            <w:pPr>
              <w:pStyle w:val="ListParagraph"/>
              <w:ind w:left="0"/>
              <w:contextualSpacing w:val="0"/>
              <w:rPr>
                <w:sz w:val="20"/>
              </w:rPr>
            </w:pPr>
            <w:r w:rsidRPr="00A34C8D">
              <w:rPr>
                <w:sz w:val="20"/>
              </w:rPr>
              <w:t>Engage and empower IP/LCs in national REDD+ processes</w:t>
            </w:r>
            <w:r>
              <w:rPr>
                <w:sz w:val="20"/>
              </w:rPr>
              <w:t xml:space="preserve"> (readiness, policy design)</w:t>
            </w:r>
          </w:p>
        </w:tc>
        <w:tc>
          <w:tcPr>
            <w:tcW w:w="1487" w:type="dxa"/>
            <w:tcMar>
              <w:top w:w="57" w:type="dxa"/>
              <w:bottom w:w="57" w:type="dxa"/>
            </w:tcMar>
          </w:tcPr>
          <w:p w14:paraId="64A38625" w14:textId="77777777" w:rsidR="005F45F4" w:rsidRPr="00A34C8D" w:rsidRDefault="005F45F4" w:rsidP="005F45F4">
            <w:pPr>
              <w:pStyle w:val="ListParagraph"/>
              <w:ind w:left="0"/>
              <w:contextualSpacing w:val="0"/>
              <w:rPr>
                <w:sz w:val="20"/>
              </w:rPr>
            </w:pPr>
            <w:r w:rsidRPr="00A34C8D">
              <w:rPr>
                <w:sz w:val="20"/>
              </w:rPr>
              <w:t>Multi-stakeholder steering committee, with representatives from government and IP/CSOs</w:t>
            </w:r>
          </w:p>
        </w:tc>
        <w:tc>
          <w:tcPr>
            <w:tcW w:w="808" w:type="dxa"/>
            <w:tcMar>
              <w:top w:w="57" w:type="dxa"/>
              <w:bottom w:w="57" w:type="dxa"/>
            </w:tcMar>
          </w:tcPr>
          <w:p w14:paraId="705E1ED1" w14:textId="77777777" w:rsidR="005F45F4" w:rsidRDefault="005F45F4" w:rsidP="005F45F4">
            <w:pPr>
              <w:pStyle w:val="ListParagraph"/>
              <w:ind w:left="0"/>
              <w:contextualSpacing w:val="0"/>
              <w:jc w:val="center"/>
              <w:rPr>
                <w:sz w:val="20"/>
              </w:rPr>
            </w:pPr>
            <w:r w:rsidRPr="00A34C8D">
              <w:rPr>
                <w:sz w:val="20"/>
              </w:rPr>
              <w:t>4 m.</w:t>
            </w:r>
          </w:p>
          <w:p w14:paraId="65D12EE9" w14:textId="77777777" w:rsidR="005F45F4" w:rsidRDefault="005F45F4" w:rsidP="005F45F4">
            <w:pPr>
              <w:pStyle w:val="ListParagraph"/>
              <w:ind w:left="0"/>
              <w:contextualSpacing w:val="0"/>
              <w:jc w:val="center"/>
              <w:rPr>
                <w:sz w:val="20"/>
              </w:rPr>
            </w:pPr>
          </w:p>
          <w:p w14:paraId="25018B92" w14:textId="77777777" w:rsidR="005F45F4" w:rsidRPr="00A34C8D" w:rsidRDefault="005F45F4" w:rsidP="005F45F4">
            <w:pPr>
              <w:pStyle w:val="ListParagraph"/>
              <w:ind w:left="0"/>
              <w:contextualSpacing w:val="0"/>
              <w:jc w:val="center"/>
              <w:rPr>
                <w:sz w:val="20"/>
              </w:rPr>
            </w:pPr>
          </w:p>
        </w:tc>
        <w:tc>
          <w:tcPr>
            <w:tcW w:w="1394" w:type="dxa"/>
            <w:tcMar>
              <w:top w:w="57" w:type="dxa"/>
              <w:bottom w:w="57" w:type="dxa"/>
            </w:tcMar>
          </w:tcPr>
          <w:p w14:paraId="47541B3B" w14:textId="77777777" w:rsidR="005F45F4" w:rsidRPr="00A34C8D" w:rsidRDefault="005F45F4" w:rsidP="005F45F4">
            <w:pPr>
              <w:pStyle w:val="ListParagraph"/>
              <w:ind w:left="0"/>
              <w:contextualSpacing w:val="0"/>
              <w:rPr>
                <w:sz w:val="20"/>
              </w:rPr>
            </w:pPr>
            <w:r w:rsidRPr="00A34C8D">
              <w:rPr>
                <w:sz w:val="20"/>
              </w:rPr>
              <w:t>Launched in 2013</w:t>
            </w:r>
            <w:r>
              <w:rPr>
                <w:sz w:val="20"/>
              </w:rPr>
              <w:t xml:space="preserve">, </w:t>
            </w:r>
            <w:r w:rsidRPr="00A34C8D">
              <w:rPr>
                <w:sz w:val="20"/>
              </w:rPr>
              <w:t xml:space="preserve">implemented </w:t>
            </w:r>
            <w:r>
              <w:rPr>
                <w:sz w:val="20"/>
              </w:rPr>
              <w:t xml:space="preserve">timely from </w:t>
            </w:r>
            <w:r w:rsidRPr="00A34C8D">
              <w:rPr>
                <w:sz w:val="20"/>
              </w:rPr>
              <w:t>2014-2017.</w:t>
            </w:r>
            <w:r>
              <w:rPr>
                <w:sz w:val="20"/>
              </w:rPr>
              <w:t xml:space="preserve"> Several lessons and innovations (see annexes 1 and 2 for details).</w:t>
            </w:r>
          </w:p>
        </w:tc>
        <w:tc>
          <w:tcPr>
            <w:tcW w:w="2691" w:type="dxa"/>
          </w:tcPr>
          <w:p w14:paraId="00A5934F" w14:textId="77777777" w:rsidR="005F45F4" w:rsidRDefault="005F45F4" w:rsidP="005F45F4">
            <w:pPr>
              <w:pStyle w:val="ListParagraph"/>
              <w:numPr>
                <w:ilvl w:val="0"/>
                <w:numId w:val="21"/>
              </w:numPr>
              <w:ind w:left="117" w:hanging="117"/>
              <w:contextualSpacing w:val="0"/>
              <w:rPr>
                <w:sz w:val="20"/>
              </w:rPr>
            </w:pPr>
            <w:r>
              <w:rPr>
                <w:sz w:val="20"/>
              </w:rPr>
              <w:t>Implementing REDD+ policies at the community and indigenous grassroots.</w:t>
            </w:r>
          </w:p>
          <w:p w14:paraId="6B10EE40" w14:textId="77777777" w:rsidR="005F45F4" w:rsidRDefault="005F45F4" w:rsidP="005F45F4">
            <w:pPr>
              <w:pStyle w:val="ListParagraph"/>
              <w:numPr>
                <w:ilvl w:val="0"/>
                <w:numId w:val="21"/>
              </w:numPr>
              <w:ind w:left="117" w:hanging="117"/>
              <w:contextualSpacing w:val="0"/>
              <w:rPr>
                <w:sz w:val="20"/>
              </w:rPr>
            </w:pPr>
            <w:r>
              <w:rPr>
                <w:sz w:val="20"/>
              </w:rPr>
              <w:t xml:space="preserve">Feed the LCIP Platform process with country cases. </w:t>
            </w:r>
          </w:p>
          <w:p w14:paraId="03910212" w14:textId="77777777" w:rsidR="005F45F4" w:rsidRDefault="005F45F4" w:rsidP="005F45F4">
            <w:pPr>
              <w:pStyle w:val="ListParagraph"/>
              <w:numPr>
                <w:ilvl w:val="0"/>
                <w:numId w:val="21"/>
              </w:numPr>
              <w:ind w:left="117" w:hanging="117"/>
              <w:contextualSpacing w:val="0"/>
              <w:rPr>
                <w:sz w:val="20"/>
              </w:rPr>
            </w:pPr>
            <w:r>
              <w:rPr>
                <w:sz w:val="20"/>
              </w:rPr>
              <w:t>Participatory policy dialogue around NDCs.</w:t>
            </w:r>
          </w:p>
          <w:p w14:paraId="6D090C15" w14:textId="77777777" w:rsidR="005F45F4" w:rsidRPr="00A34C8D" w:rsidRDefault="005F45F4" w:rsidP="005F45F4">
            <w:pPr>
              <w:pStyle w:val="ListParagraph"/>
              <w:numPr>
                <w:ilvl w:val="0"/>
                <w:numId w:val="21"/>
              </w:numPr>
              <w:ind w:left="117" w:hanging="117"/>
              <w:contextualSpacing w:val="0"/>
              <w:rPr>
                <w:sz w:val="20"/>
              </w:rPr>
            </w:pPr>
            <w:r>
              <w:rPr>
                <w:sz w:val="20"/>
              </w:rPr>
              <w:t>Use the same operational architecture, which proved efficient.</w:t>
            </w:r>
          </w:p>
        </w:tc>
      </w:tr>
      <w:tr w:rsidR="005F45F4" w:rsidRPr="00A34C8D" w14:paraId="5B5EE02B" w14:textId="77777777" w:rsidTr="005F45F4">
        <w:trPr>
          <w:jc w:val="center"/>
        </w:trPr>
        <w:tc>
          <w:tcPr>
            <w:tcW w:w="1248" w:type="dxa"/>
            <w:tcMar>
              <w:top w:w="57" w:type="dxa"/>
              <w:bottom w:w="57" w:type="dxa"/>
            </w:tcMar>
          </w:tcPr>
          <w:p w14:paraId="10739D1A" w14:textId="77777777" w:rsidR="005F45F4" w:rsidRPr="00A34C8D" w:rsidRDefault="005F45F4" w:rsidP="005F45F4">
            <w:pPr>
              <w:pStyle w:val="ListParagraph"/>
              <w:ind w:left="0"/>
              <w:contextualSpacing w:val="0"/>
              <w:rPr>
                <w:sz w:val="20"/>
              </w:rPr>
            </w:pPr>
            <w:r w:rsidRPr="00A34C8D">
              <w:rPr>
                <w:sz w:val="20"/>
              </w:rPr>
              <w:t>FCPF/CBP</w:t>
            </w:r>
          </w:p>
        </w:tc>
        <w:tc>
          <w:tcPr>
            <w:tcW w:w="1270" w:type="dxa"/>
            <w:tcMar>
              <w:top w:w="57" w:type="dxa"/>
              <w:bottom w:w="57" w:type="dxa"/>
            </w:tcMar>
          </w:tcPr>
          <w:p w14:paraId="3E5EA5BE" w14:textId="77777777" w:rsidR="005F45F4" w:rsidRPr="00A34C8D" w:rsidRDefault="005F45F4" w:rsidP="005F45F4">
            <w:pPr>
              <w:pStyle w:val="ListParagraph"/>
              <w:ind w:left="0"/>
              <w:contextualSpacing w:val="0"/>
              <w:rPr>
                <w:sz w:val="20"/>
              </w:rPr>
            </w:pPr>
            <w:r w:rsidRPr="00A34C8D">
              <w:rPr>
                <w:sz w:val="20"/>
              </w:rPr>
              <w:t>Capacity building to IP &amp; CSOs</w:t>
            </w:r>
          </w:p>
        </w:tc>
        <w:tc>
          <w:tcPr>
            <w:tcW w:w="1487" w:type="dxa"/>
            <w:tcMar>
              <w:top w:w="57" w:type="dxa"/>
              <w:bottom w:w="57" w:type="dxa"/>
            </w:tcMar>
          </w:tcPr>
          <w:p w14:paraId="500945CF" w14:textId="77777777" w:rsidR="005F45F4" w:rsidRPr="00A34C8D" w:rsidRDefault="005F45F4" w:rsidP="005F45F4">
            <w:pPr>
              <w:pStyle w:val="ListParagraph"/>
              <w:ind w:left="0"/>
              <w:contextualSpacing w:val="0"/>
              <w:rPr>
                <w:sz w:val="20"/>
              </w:rPr>
            </w:pPr>
            <w:r w:rsidRPr="00A34C8D">
              <w:rPr>
                <w:sz w:val="20"/>
              </w:rPr>
              <w:t>N/A: governed globally by the FCPF board (PC)</w:t>
            </w:r>
          </w:p>
        </w:tc>
        <w:tc>
          <w:tcPr>
            <w:tcW w:w="808" w:type="dxa"/>
            <w:tcMar>
              <w:top w:w="57" w:type="dxa"/>
              <w:bottom w:w="57" w:type="dxa"/>
            </w:tcMar>
          </w:tcPr>
          <w:p w14:paraId="0EC80399" w14:textId="77777777" w:rsidR="005F45F4" w:rsidRPr="00A34C8D" w:rsidRDefault="005F45F4" w:rsidP="005F45F4">
            <w:pPr>
              <w:pStyle w:val="ListParagraph"/>
              <w:ind w:left="0"/>
              <w:contextualSpacing w:val="0"/>
              <w:jc w:val="center"/>
              <w:rPr>
                <w:sz w:val="20"/>
              </w:rPr>
            </w:pPr>
            <w:r w:rsidRPr="00A34C8D">
              <w:rPr>
                <w:sz w:val="20"/>
              </w:rPr>
              <w:t>5 m.</w:t>
            </w:r>
          </w:p>
        </w:tc>
        <w:tc>
          <w:tcPr>
            <w:tcW w:w="1394" w:type="dxa"/>
            <w:tcMar>
              <w:top w:w="57" w:type="dxa"/>
              <w:bottom w:w="57" w:type="dxa"/>
            </w:tcMar>
          </w:tcPr>
          <w:p w14:paraId="2A3EBF8D" w14:textId="77777777" w:rsidR="005F45F4" w:rsidRPr="00A34C8D" w:rsidRDefault="005F45F4" w:rsidP="005F45F4">
            <w:pPr>
              <w:pStyle w:val="ListParagraph"/>
              <w:ind w:left="0"/>
              <w:contextualSpacing w:val="0"/>
              <w:rPr>
                <w:sz w:val="20"/>
              </w:rPr>
            </w:pPr>
            <w:r w:rsidRPr="00A34C8D">
              <w:rPr>
                <w:sz w:val="20"/>
              </w:rPr>
              <w:t>2008-2018</w:t>
            </w:r>
            <w:r>
              <w:rPr>
                <w:sz w:val="20"/>
              </w:rPr>
              <w:t>, in two phases. Focus on capacities of indigenous networks.</w:t>
            </w:r>
          </w:p>
        </w:tc>
        <w:tc>
          <w:tcPr>
            <w:tcW w:w="2691" w:type="dxa"/>
          </w:tcPr>
          <w:p w14:paraId="44475C30" w14:textId="77777777" w:rsidR="005F45F4" w:rsidRDefault="005F45F4" w:rsidP="005F45F4">
            <w:pPr>
              <w:pStyle w:val="ListParagraph"/>
              <w:numPr>
                <w:ilvl w:val="0"/>
                <w:numId w:val="21"/>
              </w:numPr>
              <w:ind w:left="117" w:hanging="117"/>
              <w:contextualSpacing w:val="0"/>
              <w:rPr>
                <w:sz w:val="20"/>
              </w:rPr>
            </w:pPr>
            <w:r>
              <w:rPr>
                <w:sz w:val="20"/>
              </w:rPr>
              <w:t>Directing IP capacities into policy dialogue and field actions for REDD+ results.</w:t>
            </w:r>
          </w:p>
          <w:p w14:paraId="00A880B9" w14:textId="77777777" w:rsidR="005F45F4" w:rsidRPr="00A34C8D" w:rsidRDefault="005F45F4" w:rsidP="005F45F4">
            <w:pPr>
              <w:pStyle w:val="ListParagraph"/>
              <w:numPr>
                <w:ilvl w:val="0"/>
                <w:numId w:val="21"/>
              </w:numPr>
              <w:ind w:left="117" w:hanging="117"/>
              <w:contextualSpacing w:val="0"/>
              <w:rPr>
                <w:sz w:val="20"/>
              </w:rPr>
            </w:pPr>
            <w:r>
              <w:rPr>
                <w:sz w:val="20"/>
              </w:rPr>
              <w:t>Connecting indigenous &amp; community stakeholders with national institutions.</w:t>
            </w:r>
          </w:p>
        </w:tc>
      </w:tr>
      <w:tr w:rsidR="005F45F4" w:rsidRPr="00A34C8D" w14:paraId="24618615" w14:textId="77777777" w:rsidTr="005F45F4">
        <w:trPr>
          <w:jc w:val="center"/>
        </w:trPr>
        <w:tc>
          <w:tcPr>
            <w:tcW w:w="1248" w:type="dxa"/>
            <w:tcMar>
              <w:top w:w="57" w:type="dxa"/>
              <w:bottom w:w="57" w:type="dxa"/>
            </w:tcMar>
          </w:tcPr>
          <w:p w14:paraId="61CABCD8" w14:textId="77777777" w:rsidR="005F45F4" w:rsidRPr="00A34C8D" w:rsidRDefault="005F45F4" w:rsidP="005F45F4">
            <w:pPr>
              <w:pStyle w:val="ListParagraph"/>
              <w:ind w:left="0"/>
              <w:contextualSpacing w:val="0"/>
              <w:rPr>
                <w:sz w:val="20"/>
              </w:rPr>
            </w:pPr>
            <w:r w:rsidRPr="00A34C8D">
              <w:rPr>
                <w:sz w:val="20"/>
              </w:rPr>
              <w:t>FIP/DGM</w:t>
            </w:r>
          </w:p>
        </w:tc>
        <w:tc>
          <w:tcPr>
            <w:tcW w:w="1270" w:type="dxa"/>
            <w:tcMar>
              <w:top w:w="57" w:type="dxa"/>
              <w:bottom w:w="57" w:type="dxa"/>
            </w:tcMar>
          </w:tcPr>
          <w:p w14:paraId="39BB8D00" w14:textId="77777777" w:rsidR="005F45F4" w:rsidRPr="00A34C8D" w:rsidRDefault="005F45F4" w:rsidP="005F45F4">
            <w:pPr>
              <w:pStyle w:val="ListParagraph"/>
              <w:ind w:left="0"/>
              <w:contextualSpacing w:val="0"/>
              <w:rPr>
                <w:sz w:val="20"/>
              </w:rPr>
            </w:pPr>
            <w:r w:rsidRPr="00A34C8D">
              <w:rPr>
                <w:sz w:val="20"/>
              </w:rPr>
              <w:t>Complement FIP investments with community projects</w:t>
            </w:r>
          </w:p>
        </w:tc>
        <w:tc>
          <w:tcPr>
            <w:tcW w:w="1487" w:type="dxa"/>
            <w:tcMar>
              <w:top w:w="57" w:type="dxa"/>
              <w:bottom w:w="57" w:type="dxa"/>
            </w:tcMar>
          </w:tcPr>
          <w:p w14:paraId="6B1D0D5E" w14:textId="77777777" w:rsidR="005F45F4" w:rsidRPr="00A34C8D" w:rsidRDefault="005F45F4" w:rsidP="005F45F4">
            <w:pPr>
              <w:pStyle w:val="ListParagraph"/>
              <w:ind w:left="0"/>
              <w:contextualSpacing w:val="0"/>
              <w:rPr>
                <w:sz w:val="20"/>
              </w:rPr>
            </w:pPr>
            <w:r w:rsidRPr="00A34C8D">
              <w:rPr>
                <w:sz w:val="20"/>
              </w:rPr>
              <w:t>IP-led committee</w:t>
            </w:r>
          </w:p>
        </w:tc>
        <w:tc>
          <w:tcPr>
            <w:tcW w:w="808" w:type="dxa"/>
            <w:tcMar>
              <w:top w:w="57" w:type="dxa"/>
              <w:bottom w:w="57" w:type="dxa"/>
            </w:tcMar>
          </w:tcPr>
          <w:p w14:paraId="5496BD38" w14:textId="77777777" w:rsidR="005F45F4" w:rsidRPr="00A34C8D" w:rsidRDefault="005F45F4" w:rsidP="005F45F4">
            <w:pPr>
              <w:pStyle w:val="ListParagraph"/>
              <w:ind w:left="0"/>
              <w:contextualSpacing w:val="0"/>
              <w:jc w:val="center"/>
              <w:rPr>
                <w:sz w:val="20"/>
              </w:rPr>
            </w:pPr>
            <w:r w:rsidRPr="00A34C8D">
              <w:rPr>
                <w:sz w:val="20"/>
              </w:rPr>
              <w:t>80 m.</w:t>
            </w:r>
          </w:p>
        </w:tc>
        <w:tc>
          <w:tcPr>
            <w:tcW w:w="1394" w:type="dxa"/>
            <w:tcMar>
              <w:top w:w="57" w:type="dxa"/>
              <w:bottom w:w="57" w:type="dxa"/>
            </w:tcMar>
          </w:tcPr>
          <w:p w14:paraId="35E5E0BD" w14:textId="77777777" w:rsidR="005F45F4" w:rsidRPr="00A34C8D" w:rsidRDefault="005F45F4" w:rsidP="005F45F4">
            <w:pPr>
              <w:pStyle w:val="ListParagraph"/>
              <w:ind w:left="0"/>
              <w:contextualSpacing w:val="0"/>
              <w:rPr>
                <w:sz w:val="20"/>
              </w:rPr>
            </w:pPr>
            <w:r w:rsidRPr="00A34C8D">
              <w:rPr>
                <w:sz w:val="20"/>
              </w:rPr>
              <w:t xml:space="preserve">High </w:t>
            </w:r>
            <w:r>
              <w:rPr>
                <w:sz w:val="20"/>
              </w:rPr>
              <w:t xml:space="preserve">IPs </w:t>
            </w:r>
            <w:r w:rsidRPr="00A34C8D">
              <w:rPr>
                <w:sz w:val="20"/>
              </w:rPr>
              <w:t xml:space="preserve">engagement. Delays in start. </w:t>
            </w:r>
            <w:r>
              <w:rPr>
                <w:sz w:val="20"/>
              </w:rPr>
              <w:t>Funding p</w:t>
            </w:r>
            <w:r w:rsidRPr="00A34C8D">
              <w:rPr>
                <w:sz w:val="20"/>
              </w:rPr>
              <w:t xml:space="preserve">arallel to </w:t>
            </w:r>
            <w:r>
              <w:rPr>
                <w:sz w:val="20"/>
              </w:rPr>
              <w:t xml:space="preserve">the government-owned </w:t>
            </w:r>
            <w:r w:rsidRPr="00A34C8D">
              <w:rPr>
                <w:sz w:val="20"/>
              </w:rPr>
              <w:t>FIP</w:t>
            </w:r>
            <w:r>
              <w:rPr>
                <w:sz w:val="20"/>
              </w:rPr>
              <w:t>.</w:t>
            </w:r>
          </w:p>
        </w:tc>
        <w:tc>
          <w:tcPr>
            <w:tcW w:w="2691" w:type="dxa"/>
          </w:tcPr>
          <w:p w14:paraId="4EEB92DE" w14:textId="77777777" w:rsidR="005F45F4" w:rsidRDefault="005F45F4" w:rsidP="005F45F4">
            <w:pPr>
              <w:pStyle w:val="ListParagraph"/>
              <w:numPr>
                <w:ilvl w:val="0"/>
                <w:numId w:val="21"/>
              </w:numPr>
              <w:ind w:left="117" w:hanging="117"/>
              <w:contextualSpacing w:val="0"/>
              <w:rPr>
                <w:sz w:val="20"/>
              </w:rPr>
            </w:pPr>
            <w:r>
              <w:rPr>
                <w:sz w:val="20"/>
              </w:rPr>
              <w:t>Community and IP engagement in policy reforms.</w:t>
            </w:r>
          </w:p>
          <w:p w14:paraId="3E6E312E" w14:textId="77777777" w:rsidR="005F45F4" w:rsidRPr="00A34C8D" w:rsidRDefault="005F45F4" w:rsidP="005F45F4">
            <w:pPr>
              <w:pStyle w:val="ListParagraph"/>
              <w:numPr>
                <w:ilvl w:val="0"/>
                <w:numId w:val="21"/>
              </w:numPr>
              <w:ind w:left="117" w:hanging="117"/>
              <w:contextualSpacing w:val="0"/>
              <w:rPr>
                <w:sz w:val="20"/>
              </w:rPr>
            </w:pPr>
            <w:r>
              <w:rPr>
                <w:sz w:val="20"/>
              </w:rPr>
              <w:t>Complement the investment approach of the FIP/DGM into national policy dialogues &amp; changes.</w:t>
            </w:r>
          </w:p>
        </w:tc>
      </w:tr>
      <w:tr w:rsidR="005F45F4" w:rsidRPr="00A34C8D" w14:paraId="3DFE908F" w14:textId="77777777" w:rsidTr="005F45F4">
        <w:trPr>
          <w:jc w:val="center"/>
        </w:trPr>
        <w:tc>
          <w:tcPr>
            <w:tcW w:w="1248" w:type="dxa"/>
            <w:tcMar>
              <w:top w:w="57" w:type="dxa"/>
              <w:bottom w:w="57" w:type="dxa"/>
            </w:tcMar>
          </w:tcPr>
          <w:p w14:paraId="4C619B56" w14:textId="77777777" w:rsidR="005F45F4" w:rsidRPr="00A34C8D" w:rsidRDefault="005F45F4" w:rsidP="005F45F4">
            <w:pPr>
              <w:pStyle w:val="ListParagraph"/>
              <w:ind w:left="0"/>
              <w:contextualSpacing w:val="0"/>
              <w:rPr>
                <w:sz w:val="20"/>
              </w:rPr>
            </w:pPr>
            <w:r w:rsidRPr="00A34C8D">
              <w:rPr>
                <w:sz w:val="20"/>
              </w:rPr>
              <w:t>Tenure Facility</w:t>
            </w:r>
          </w:p>
        </w:tc>
        <w:tc>
          <w:tcPr>
            <w:tcW w:w="1270" w:type="dxa"/>
            <w:tcMar>
              <w:top w:w="57" w:type="dxa"/>
              <w:bottom w:w="57" w:type="dxa"/>
            </w:tcMar>
          </w:tcPr>
          <w:p w14:paraId="57910590" w14:textId="77777777" w:rsidR="005F45F4" w:rsidRPr="00A34C8D" w:rsidRDefault="005F45F4" w:rsidP="005F45F4">
            <w:pPr>
              <w:pStyle w:val="ListParagraph"/>
              <w:ind w:left="0"/>
              <w:contextualSpacing w:val="0"/>
              <w:rPr>
                <w:sz w:val="20"/>
              </w:rPr>
            </w:pPr>
            <w:r w:rsidRPr="00A34C8D">
              <w:rPr>
                <w:sz w:val="20"/>
              </w:rPr>
              <w:t>Support tenure reforms</w:t>
            </w:r>
          </w:p>
        </w:tc>
        <w:tc>
          <w:tcPr>
            <w:tcW w:w="1487" w:type="dxa"/>
            <w:tcMar>
              <w:top w:w="57" w:type="dxa"/>
              <w:bottom w:w="57" w:type="dxa"/>
            </w:tcMar>
          </w:tcPr>
          <w:p w14:paraId="718F3E8D" w14:textId="77777777" w:rsidR="005F45F4" w:rsidRPr="00A34C8D" w:rsidRDefault="005F45F4" w:rsidP="005F45F4">
            <w:pPr>
              <w:pStyle w:val="ListParagraph"/>
              <w:ind w:left="0"/>
              <w:contextualSpacing w:val="0"/>
              <w:rPr>
                <w:sz w:val="20"/>
              </w:rPr>
            </w:pPr>
            <w:r w:rsidRPr="00A34C8D">
              <w:rPr>
                <w:sz w:val="20"/>
              </w:rPr>
              <w:t>N/A</w:t>
            </w:r>
            <w:r>
              <w:rPr>
                <w:sz w:val="20"/>
              </w:rPr>
              <w:t xml:space="preserve"> (i</w:t>
            </w:r>
            <w:r w:rsidRPr="00A34C8D">
              <w:rPr>
                <w:sz w:val="20"/>
              </w:rPr>
              <w:t>nternational board</w:t>
            </w:r>
            <w:r>
              <w:rPr>
                <w:sz w:val="20"/>
              </w:rPr>
              <w:t>)</w:t>
            </w:r>
          </w:p>
        </w:tc>
        <w:tc>
          <w:tcPr>
            <w:tcW w:w="808" w:type="dxa"/>
            <w:tcMar>
              <w:top w:w="57" w:type="dxa"/>
              <w:bottom w:w="57" w:type="dxa"/>
            </w:tcMar>
          </w:tcPr>
          <w:p w14:paraId="1F5F8DE0" w14:textId="77777777" w:rsidR="005F45F4" w:rsidRPr="00A34C8D" w:rsidRDefault="005F45F4" w:rsidP="005F45F4">
            <w:pPr>
              <w:pStyle w:val="ListParagraph"/>
              <w:ind w:left="0"/>
              <w:contextualSpacing w:val="0"/>
              <w:jc w:val="center"/>
              <w:rPr>
                <w:sz w:val="20"/>
              </w:rPr>
            </w:pPr>
            <w:r w:rsidRPr="00A34C8D">
              <w:rPr>
                <w:sz w:val="20"/>
              </w:rPr>
              <w:t>&gt; 12 m.</w:t>
            </w:r>
          </w:p>
        </w:tc>
        <w:tc>
          <w:tcPr>
            <w:tcW w:w="1394" w:type="dxa"/>
            <w:tcMar>
              <w:top w:w="57" w:type="dxa"/>
              <w:bottom w:w="57" w:type="dxa"/>
            </w:tcMar>
          </w:tcPr>
          <w:p w14:paraId="2FD29E85" w14:textId="77777777" w:rsidR="005F45F4" w:rsidRPr="00A34C8D" w:rsidRDefault="005F45F4" w:rsidP="005F45F4">
            <w:pPr>
              <w:pStyle w:val="ListParagraph"/>
              <w:ind w:left="0"/>
              <w:contextualSpacing w:val="0"/>
              <w:rPr>
                <w:sz w:val="20"/>
              </w:rPr>
            </w:pPr>
            <w:r w:rsidRPr="00A34C8D">
              <w:rPr>
                <w:sz w:val="20"/>
              </w:rPr>
              <w:t xml:space="preserve">Launched in 2014. Some projects started in 2015. Others started </w:t>
            </w:r>
            <w:r>
              <w:rPr>
                <w:sz w:val="20"/>
              </w:rPr>
              <w:t xml:space="preserve">only </w:t>
            </w:r>
            <w:r w:rsidRPr="00A34C8D">
              <w:rPr>
                <w:sz w:val="20"/>
              </w:rPr>
              <w:t>in mid</w:t>
            </w:r>
            <w:r>
              <w:rPr>
                <w:sz w:val="20"/>
              </w:rPr>
              <w:t>-</w:t>
            </w:r>
            <w:r w:rsidRPr="00A34C8D">
              <w:rPr>
                <w:sz w:val="20"/>
              </w:rPr>
              <w:t>2018.</w:t>
            </w:r>
            <w:r>
              <w:rPr>
                <w:sz w:val="20"/>
              </w:rPr>
              <w:t xml:space="preserve"> Issues with government recognition.</w:t>
            </w:r>
          </w:p>
        </w:tc>
        <w:tc>
          <w:tcPr>
            <w:tcW w:w="2691" w:type="dxa"/>
          </w:tcPr>
          <w:p w14:paraId="3E182D7B" w14:textId="77777777" w:rsidR="005F45F4" w:rsidRDefault="005F45F4" w:rsidP="005F45F4">
            <w:pPr>
              <w:pStyle w:val="ListParagraph"/>
              <w:numPr>
                <w:ilvl w:val="0"/>
                <w:numId w:val="21"/>
              </w:numPr>
              <w:ind w:left="117" w:hanging="117"/>
              <w:contextualSpacing w:val="0"/>
              <w:rPr>
                <w:sz w:val="20"/>
              </w:rPr>
            </w:pPr>
            <w:r>
              <w:rPr>
                <w:sz w:val="20"/>
              </w:rPr>
              <w:t>Foster dialogue and concertation between government and indigenous stakeholders in land-use and land tenure affairs.</w:t>
            </w:r>
          </w:p>
          <w:p w14:paraId="4095A75E" w14:textId="77777777" w:rsidR="005F45F4" w:rsidRDefault="005F45F4" w:rsidP="005F45F4">
            <w:pPr>
              <w:pStyle w:val="ListParagraph"/>
              <w:numPr>
                <w:ilvl w:val="0"/>
                <w:numId w:val="21"/>
              </w:numPr>
              <w:ind w:left="117" w:hanging="117"/>
              <w:contextualSpacing w:val="0"/>
              <w:rPr>
                <w:sz w:val="20"/>
              </w:rPr>
            </w:pPr>
            <w:r>
              <w:rPr>
                <w:sz w:val="20"/>
              </w:rPr>
              <w:t>Channel lessons of the Tenure Facility into NDCs.</w:t>
            </w:r>
          </w:p>
          <w:p w14:paraId="48429944" w14:textId="77777777" w:rsidR="005F45F4" w:rsidRPr="00A34C8D" w:rsidRDefault="005F45F4" w:rsidP="005F45F4">
            <w:pPr>
              <w:pStyle w:val="ListParagraph"/>
              <w:numPr>
                <w:ilvl w:val="0"/>
                <w:numId w:val="21"/>
              </w:numPr>
              <w:ind w:left="117" w:hanging="117"/>
              <w:contextualSpacing w:val="0"/>
              <w:rPr>
                <w:sz w:val="20"/>
              </w:rPr>
            </w:pPr>
            <w:r>
              <w:rPr>
                <w:sz w:val="20"/>
              </w:rPr>
              <w:t>Feeding land &amp; forest tenure knowledge and experiences into the LCIP Platform.</w:t>
            </w:r>
          </w:p>
        </w:tc>
      </w:tr>
    </w:tbl>
    <w:p w14:paraId="69FC8308" w14:textId="77777777" w:rsidR="005F45F4" w:rsidRDefault="005F45F4" w:rsidP="005F45F4">
      <w:pPr>
        <w:pStyle w:val="ListParagraph"/>
        <w:spacing w:after="0" w:line="240" w:lineRule="auto"/>
        <w:contextualSpacing w:val="0"/>
        <w:jc w:val="both"/>
      </w:pPr>
    </w:p>
    <w:p w14:paraId="22034A7B" w14:textId="3CB46BF1" w:rsidR="00BD3558" w:rsidRDefault="00BD3558">
      <w:pPr>
        <w:rPr>
          <w:b/>
        </w:rPr>
      </w:pPr>
      <w:r>
        <w:rPr>
          <w:b/>
        </w:rPr>
        <w:br w:type="page"/>
      </w:r>
    </w:p>
    <w:p w14:paraId="6E905607" w14:textId="7AF26557" w:rsidR="00BD3558" w:rsidRPr="00475283" w:rsidRDefault="00BD3558" w:rsidP="00BD3558">
      <w:pPr>
        <w:pStyle w:val="Heading1"/>
        <w:jc w:val="center"/>
      </w:pPr>
      <w:bookmarkStart w:id="12" w:name="_Toc10457063"/>
      <w:r>
        <w:lastRenderedPageBreak/>
        <w:t xml:space="preserve">Annex 4. </w:t>
      </w:r>
      <w:r w:rsidRPr="00BD3558">
        <w:t xml:space="preserve">Analysis of </w:t>
      </w:r>
      <w:r>
        <w:t xml:space="preserve">the </w:t>
      </w:r>
      <w:r w:rsidRPr="00BD3558">
        <w:t xml:space="preserve">alignment </w:t>
      </w:r>
      <w:r>
        <w:t>between</w:t>
      </w:r>
      <w:r w:rsidRPr="00BD3558">
        <w:t xml:space="preserve"> CBR+2 proposal </w:t>
      </w:r>
      <w:r>
        <w:t>and</w:t>
      </w:r>
      <w:r w:rsidRPr="00BD3558">
        <w:t xml:space="preserve"> NICFI's strategic framework</w:t>
      </w:r>
      <w:bookmarkEnd w:id="12"/>
    </w:p>
    <w:p w14:paraId="39599AA0" w14:textId="68A351A4" w:rsidR="00BD3558" w:rsidRDefault="00BD3558" w:rsidP="00BD3558">
      <w:pPr>
        <w:pStyle w:val="ListParagraph"/>
        <w:spacing w:after="0" w:line="240" w:lineRule="auto"/>
        <w:ind w:left="0"/>
        <w:contextualSpacing w:val="0"/>
        <w:jc w:val="both"/>
      </w:pPr>
    </w:p>
    <w:p w14:paraId="5C80014E" w14:textId="77777777" w:rsidR="00D41FAE" w:rsidRDefault="00D41FAE" w:rsidP="00BD3558">
      <w:pPr>
        <w:pStyle w:val="ListParagraph"/>
        <w:spacing w:after="0" w:line="240" w:lineRule="auto"/>
        <w:ind w:left="0"/>
        <w:contextualSpacing w:val="0"/>
        <w:jc w:val="both"/>
      </w:pPr>
    </w:p>
    <w:tbl>
      <w:tblPr>
        <w:tblStyle w:val="TableGrid"/>
        <w:tblW w:w="0" w:type="auto"/>
        <w:jc w:val="center"/>
        <w:tblLook w:val="04A0" w:firstRow="1" w:lastRow="0" w:firstColumn="1" w:lastColumn="0" w:noHBand="0" w:noVBand="1"/>
      </w:tblPr>
      <w:tblGrid>
        <w:gridCol w:w="3658"/>
        <w:gridCol w:w="5079"/>
      </w:tblGrid>
      <w:tr w:rsidR="00BD3558" w:rsidRPr="00C10AFF" w14:paraId="559BBC86" w14:textId="77777777" w:rsidTr="005957C6">
        <w:trPr>
          <w:tblHeader/>
          <w:jc w:val="center"/>
        </w:trPr>
        <w:tc>
          <w:tcPr>
            <w:tcW w:w="3658" w:type="dxa"/>
            <w:shd w:val="clear" w:color="auto" w:fill="C6D9F1" w:themeFill="text2" w:themeFillTint="33"/>
            <w:tcMar>
              <w:top w:w="57" w:type="dxa"/>
              <w:bottom w:w="57" w:type="dxa"/>
            </w:tcMar>
          </w:tcPr>
          <w:p w14:paraId="41C3BC04" w14:textId="77777777" w:rsidR="00BD3558" w:rsidRPr="00C10AFF" w:rsidRDefault="00BD3558" w:rsidP="005957C6">
            <w:pPr>
              <w:pStyle w:val="ListParagraph"/>
              <w:ind w:left="0"/>
              <w:contextualSpacing w:val="0"/>
              <w:jc w:val="center"/>
              <w:rPr>
                <w:b/>
                <w:sz w:val="20"/>
              </w:rPr>
            </w:pPr>
            <w:r w:rsidRPr="00C10AFF">
              <w:rPr>
                <w:b/>
                <w:sz w:val="20"/>
              </w:rPr>
              <w:t>NICFI strategic framework</w:t>
            </w:r>
          </w:p>
        </w:tc>
        <w:tc>
          <w:tcPr>
            <w:tcW w:w="5079" w:type="dxa"/>
            <w:shd w:val="clear" w:color="auto" w:fill="C6D9F1" w:themeFill="text2" w:themeFillTint="33"/>
            <w:tcMar>
              <w:top w:w="57" w:type="dxa"/>
              <w:bottom w:w="57" w:type="dxa"/>
            </w:tcMar>
          </w:tcPr>
          <w:p w14:paraId="0D10B927" w14:textId="77777777" w:rsidR="00BD3558" w:rsidRPr="00C10AFF" w:rsidRDefault="00BD3558" w:rsidP="005957C6">
            <w:pPr>
              <w:pStyle w:val="ListParagraph"/>
              <w:ind w:left="0"/>
              <w:contextualSpacing w:val="0"/>
              <w:jc w:val="center"/>
              <w:rPr>
                <w:b/>
                <w:sz w:val="20"/>
              </w:rPr>
            </w:pPr>
            <w:r w:rsidRPr="00C10AFF">
              <w:rPr>
                <w:b/>
                <w:sz w:val="20"/>
              </w:rPr>
              <w:t xml:space="preserve">CBR+2 </w:t>
            </w:r>
            <w:r>
              <w:rPr>
                <w:b/>
                <w:sz w:val="20"/>
              </w:rPr>
              <w:t xml:space="preserve">approaches and </w:t>
            </w:r>
            <w:r w:rsidRPr="00C10AFF">
              <w:rPr>
                <w:b/>
                <w:sz w:val="20"/>
              </w:rPr>
              <w:t>outcomes</w:t>
            </w:r>
          </w:p>
        </w:tc>
      </w:tr>
      <w:tr w:rsidR="00BD3558" w:rsidRPr="00C10AFF" w14:paraId="7F52ABAB" w14:textId="77777777" w:rsidTr="005957C6">
        <w:trPr>
          <w:jc w:val="center"/>
        </w:trPr>
        <w:tc>
          <w:tcPr>
            <w:tcW w:w="3658" w:type="dxa"/>
            <w:tcMar>
              <w:top w:w="57" w:type="dxa"/>
              <w:bottom w:w="57" w:type="dxa"/>
            </w:tcMar>
          </w:tcPr>
          <w:p w14:paraId="529C32BA" w14:textId="77777777" w:rsidR="00BD3558" w:rsidRPr="00C10AFF" w:rsidRDefault="00BD3558" w:rsidP="005957C6">
            <w:pPr>
              <w:pStyle w:val="ListParagraph"/>
              <w:ind w:left="0"/>
              <w:contextualSpacing w:val="0"/>
              <w:rPr>
                <w:sz w:val="20"/>
              </w:rPr>
            </w:pPr>
            <w:r w:rsidRPr="00C10AFF">
              <w:rPr>
                <w:sz w:val="20"/>
              </w:rPr>
              <w:t>Contribute to the conservation of natural forest in order to ensure its ability to bind carbon (Parliament-endorsed goal)</w:t>
            </w:r>
          </w:p>
        </w:tc>
        <w:tc>
          <w:tcPr>
            <w:tcW w:w="5079" w:type="dxa"/>
            <w:tcMar>
              <w:top w:w="57" w:type="dxa"/>
              <w:bottom w:w="57" w:type="dxa"/>
            </w:tcMar>
          </w:tcPr>
          <w:p w14:paraId="4D52DF70" w14:textId="77777777" w:rsidR="00BD3558" w:rsidRPr="00C10AFF" w:rsidRDefault="00BD3558" w:rsidP="005957C6">
            <w:pPr>
              <w:pStyle w:val="ListParagraph"/>
              <w:ind w:left="0"/>
              <w:contextualSpacing w:val="0"/>
              <w:rPr>
                <w:sz w:val="20"/>
              </w:rPr>
            </w:pPr>
            <w:r w:rsidRPr="00C10AFF">
              <w:rPr>
                <w:sz w:val="20"/>
              </w:rPr>
              <w:t xml:space="preserve">Indigenous forests </w:t>
            </w:r>
            <w:r>
              <w:rPr>
                <w:sz w:val="20"/>
              </w:rPr>
              <w:t xml:space="preserve">or territories </w:t>
            </w:r>
            <w:r w:rsidRPr="00C10AFF">
              <w:rPr>
                <w:sz w:val="20"/>
              </w:rPr>
              <w:t xml:space="preserve">are </w:t>
            </w:r>
            <w:r>
              <w:rPr>
                <w:sz w:val="20"/>
              </w:rPr>
              <w:t>often found to be better protected and managed than government protected areas</w:t>
            </w:r>
            <w:r w:rsidRPr="00C10AFF">
              <w:rPr>
                <w:sz w:val="20"/>
              </w:rPr>
              <w:t xml:space="preserve">, </w:t>
            </w:r>
            <w:r>
              <w:rPr>
                <w:sz w:val="20"/>
              </w:rPr>
              <w:t xml:space="preserve">in terms of </w:t>
            </w:r>
            <w:r w:rsidRPr="00C10AFF">
              <w:rPr>
                <w:sz w:val="20"/>
              </w:rPr>
              <w:t>high carbon and biodiversity values. CBR+ will target such forests</w:t>
            </w:r>
            <w:r>
              <w:rPr>
                <w:sz w:val="20"/>
              </w:rPr>
              <w:t xml:space="preserve"> in the beneficiary countries</w:t>
            </w:r>
            <w:r w:rsidRPr="00C10AFF">
              <w:rPr>
                <w:sz w:val="20"/>
              </w:rPr>
              <w:t>.</w:t>
            </w:r>
          </w:p>
        </w:tc>
      </w:tr>
      <w:tr w:rsidR="00BD3558" w:rsidRPr="00C10AFF" w14:paraId="34D29FDD" w14:textId="77777777" w:rsidTr="005957C6">
        <w:trPr>
          <w:jc w:val="center"/>
        </w:trPr>
        <w:tc>
          <w:tcPr>
            <w:tcW w:w="3658" w:type="dxa"/>
            <w:tcMar>
              <w:top w:w="57" w:type="dxa"/>
              <w:bottom w:w="57" w:type="dxa"/>
            </w:tcMar>
          </w:tcPr>
          <w:p w14:paraId="2190B31D" w14:textId="77777777" w:rsidR="00BD3558" w:rsidRPr="00C10AFF" w:rsidRDefault="00BD3558" w:rsidP="005957C6">
            <w:pPr>
              <w:pStyle w:val="ListParagraph"/>
              <w:ind w:left="0"/>
              <w:contextualSpacing w:val="0"/>
              <w:rPr>
                <w:sz w:val="20"/>
              </w:rPr>
            </w:pPr>
            <w:r w:rsidRPr="00C10AFF">
              <w:rPr>
                <w:sz w:val="20"/>
              </w:rPr>
              <w:t>Partner countries have achieved reduced emissions from forests (NICFI goal)</w:t>
            </w:r>
          </w:p>
        </w:tc>
        <w:tc>
          <w:tcPr>
            <w:tcW w:w="5079" w:type="dxa"/>
            <w:tcMar>
              <w:top w:w="57" w:type="dxa"/>
              <w:bottom w:w="57" w:type="dxa"/>
            </w:tcMar>
          </w:tcPr>
          <w:p w14:paraId="473419E7" w14:textId="77777777" w:rsidR="00BD3558" w:rsidRPr="00C10AFF" w:rsidRDefault="00BD3558" w:rsidP="005957C6">
            <w:pPr>
              <w:pStyle w:val="ListParagraph"/>
              <w:ind w:left="0"/>
              <w:contextualSpacing w:val="0"/>
              <w:rPr>
                <w:sz w:val="20"/>
              </w:rPr>
            </w:pPr>
            <w:r w:rsidRPr="00C10AFF">
              <w:rPr>
                <w:sz w:val="20"/>
              </w:rPr>
              <w:t xml:space="preserve">CBR+ will </w:t>
            </w:r>
            <w:r>
              <w:rPr>
                <w:sz w:val="20"/>
              </w:rPr>
              <w:t xml:space="preserve">have a </w:t>
            </w:r>
            <w:r w:rsidRPr="00C10AFF">
              <w:rPr>
                <w:sz w:val="20"/>
              </w:rPr>
              <w:t xml:space="preserve">focus on </w:t>
            </w:r>
            <w:hyperlink r:id="rId26" w:history="1">
              <w:r w:rsidRPr="005175A0">
                <w:rPr>
                  <w:rStyle w:val="Hyperlink"/>
                  <w:sz w:val="20"/>
                </w:rPr>
                <w:t>NICFI partner countries</w:t>
              </w:r>
            </w:hyperlink>
            <w:r w:rsidRPr="00C10AFF">
              <w:rPr>
                <w:sz w:val="20"/>
              </w:rPr>
              <w:t xml:space="preserve"> </w:t>
            </w:r>
            <w:r>
              <w:rPr>
                <w:sz w:val="20"/>
              </w:rPr>
              <w:t xml:space="preserve"> </w:t>
            </w:r>
            <w:r w:rsidRPr="00C10AFF">
              <w:rPr>
                <w:sz w:val="20"/>
              </w:rPr>
              <w:t xml:space="preserve">and will foster community-government alliances that are known as indispensable to achieve </w:t>
            </w:r>
            <w:r>
              <w:rPr>
                <w:sz w:val="20"/>
              </w:rPr>
              <w:t>carbon emission reductions</w:t>
            </w:r>
            <w:r w:rsidRPr="00C10AFF">
              <w:rPr>
                <w:sz w:val="20"/>
              </w:rPr>
              <w:t xml:space="preserve"> from forests.</w:t>
            </w:r>
          </w:p>
        </w:tc>
      </w:tr>
      <w:tr w:rsidR="00BD3558" w:rsidRPr="00C10AFF" w14:paraId="412B6F18" w14:textId="77777777" w:rsidTr="005957C6">
        <w:trPr>
          <w:jc w:val="center"/>
        </w:trPr>
        <w:tc>
          <w:tcPr>
            <w:tcW w:w="3658" w:type="dxa"/>
            <w:tcMar>
              <w:top w:w="57" w:type="dxa"/>
              <w:bottom w:w="57" w:type="dxa"/>
            </w:tcMar>
          </w:tcPr>
          <w:p w14:paraId="0F4BBF2C" w14:textId="77777777" w:rsidR="00BD3558" w:rsidRPr="00C10AFF" w:rsidRDefault="00BD3558" w:rsidP="005957C6">
            <w:pPr>
              <w:pStyle w:val="ListParagraph"/>
              <w:ind w:left="0"/>
              <w:contextualSpacing w:val="0"/>
              <w:rPr>
                <w:sz w:val="20"/>
              </w:rPr>
            </w:pPr>
            <w:r w:rsidRPr="00C10AFF">
              <w:rPr>
                <w:sz w:val="20"/>
              </w:rPr>
              <w:t>Partner countries protect natural forest (NICFI goal)</w:t>
            </w:r>
          </w:p>
        </w:tc>
        <w:tc>
          <w:tcPr>
            <w:tcW w:w="5079" w:type="dxa"/>
            <w:tcMar>
              <w:top w:w="57" w:type="dxa"/>
              <w:bottom w:w="57" w:type="dxa"/>
            </w:tcMar>
          </w:tcPr>
          <w:p w14:paraId="67F1C550" w14:textId="77777777" w:rsidR="00BD3558" w:rsidRPr="00C10AFF" w:rsidRDefault="00BD3558" w:rsidP="005957C6">
            <w:pPr>
              <w:pStyle w:val="ListParagraph"/>
              <w:ind w:left="0"/>
              <w:contextualSpacing w:val="0"/>
              <w:rPr>
                <w:sz w:val="20"/>
              </w:rPr>
            </w:pPr>
            <w:r w:rsidRPr="00C10AFF">
              <w:rPr>
                <w:sz w:val="20"/>
              </w:rPr>
              <w:t>Natural forests are often in the territories of indigenous community – hence the rol</w:t>
            </w:r>
            <w:r>
              <w:rPr>
                <w:sz w:val="20"/>
              </w:rPr>
              <w:t>e</w:t>
            </w:r>
            <w:r w:rsidRPr="00C10AFF">
              <w:rPr>
                <w:sz w:val="20"/>
              </w:rPr>
              <w:t xml:space="preserve"> of CBR+ to achieve this goal.</w:t>
            </w:r>
          </w:p>
        </w:tc>
      </w:tr>
      <w:tr w:rsidR="00BD3558" w:rsidRPr="00C10AFF" w14:paraId="3935CE94" w14:textId="77777777" w:rsidTr="005957C6">
        <w:trPr>
          <w:jc w:val="center"/>
        </w:trPr>
        <w:tc>
          <w:tcPr>
            <w:tcW w:w="3658" w:type="dxa"/>
            <w:tcMar>
              <w:top w:w="57" w:type="dxa"/>
              <w:bottom w:w="57" w:type="dxa"/>
            </w:tcMar>
          </w:tcPr>
          <w:p w14:paraId="3A51CE2D" w14:textId="77777777" w:rsidR="00BD3558" w:rsidRPr="00C10AFF" w:rsidRDefault="00BD3558" w:rsidP="005957C6">
            <w:pPr>
              <w:pStyle w:val="ListParagraph"/>
              <w:ind w:left="0"/>
              <w:contextualSpacing w:val="0"/>
              <w:rPr>
                <w:sz w:val="20"/>
              </w:rPr>
            </w:pPr>
            <w:r w:rsidRPr="00C10AFF">
              <w:rPr>
                <w:sz w:val="20"/>
              </w:rPr>
              <w:t>REDD+ contributes to increased ambitions within the global climate regime (NICFI milestone)</w:t>
            </w:r>
          </w:p>
        </w:tc>
        <w:tc>
          <w:tcPr>
            <w:tcW w:w="5079" w:type="dxa"/>
            <w:tcMar>
              <w:top w:w="57" w:type="dxa"/>
              <w:bottom w:w="57" w:type="dxa"/>
            </w:tcMar>
          </w:tcPr>
          <w:p w14:paraId="6F5F61BF" w14:textId="77777777" w:rsidR="00BD3558" w:rsidRPr="00C10AFF" w:rsidRDefault="00BD3558" w:rsidP="005957C6">
            <w:pPr>
              <w:pStyle w:val="ListParagraph"/>
              <w:ind w:left="0"/>
              <w:contextualSpacing w:val="0"/>
              <w:rPr>
                <w:sz w:val="20"/>
              </w:rPr>
            </w:pPr>
            <w:r>
              <w:rPr>
                <w:sz w:val="20"/>
              </w:rPr>
              <w:t>The CBR+ approach (community grants coupled with multi-stakeholder policy dialogue on NDCs) aims precisely at broadening and enhancing ambition in the role of forests in global climate action.</w:t>
            </w:r>
          </w:p>
        </w:tc>
      </w:tr>
      <w:tr w:rsidR="00BD3558" w:rsidRPr="00C10AFF" w14:paraId="0446ECA3" w14:textId="77777777" w:rsidTr="005957C6">
        <w:trPr>
          <w:jc w:val="center"/>
        </w:trPr>
        <w:tc>
          <w:tcPr>
            <w:tcW w:w="3658" w:type="dxa"/>
            <w:tcMar>
              <w:top w:w="57" w:type="dxa"/>
              <w:bottom w:w="57" w:type="dxa"/>
            </w:tcMar>
          </w:tcPr>
          <w:p w14:paraId="6042D6B6" w14:textId="77777777" w:rsidR="00BD3558" w:rsidRPr="00C10AFF" w:rsidRDefault="00BD3558" w:rsidP="005957C6">
            <w:pPr>
              <w:pStyle w:val="ListParagraph"/>
              <w:ind w:left="0"/>
              <w:contextualSpacing w:val="0"/>
              <w:rPr>
                <w:sz w:val="20"/>
              </w:rPr>
            </w:pPr>
            <w:r>
              <w:rPr>
                <w:sz w:val="20"/>
              </w:rPr>
              <w:t>Policy for sustainable forest and land use in place in forest countries (NICFI milestone)</w:t>
            </w:r>
          </w:p>
        </w:tc>
        <w:tc>
          <w:tcPr>
            <w:tcW w:w="5079" w:type="dxa"/>
            <w:tcMar>
              <w:top w:w="57" w:type="dxa"/>
              <w:bottom w:w="57" w:type="dxa"/>
            </w:tcMar>
          </w:tcPr>
          <w:p w14:paraId="7F33E0E0" w14:textId="77777777" w:rsidR="00BD3558" w:rsidRPr="00C10AFF" w:rsidRDefault="00BD3558" w:rsidP="005957C6">
            <w:pPr>
              <w:pStyle w:val="ListParagraph"/>
              <w:ind w:left="0"/>
              <w:contextualSpacing w:val="0"/>
              <w:rPr>
                <w:sz w:val="20"/>
              </w:rPr>
            </w:pPr>
            <w:r>
              <w:rPr>
                <w:sz w:val="20"/>
              </w:rPr>
              <w:t>CBR+ supports indigenous and community approaches to sustainable forest and land management, as well as their integration in national policy and NDCs.</w:t>
            </w:r>
          </w:p>
        </w:tc>
      </w:tr>
      <w:tr w:rsidR="00BD3558" w:rsidRPr="00C10AFF" w14:paraId="79E14FFF" w14:textId="77777777" w:rsidTr="005957C6">
        <w:trPr>
          <w:jc w:val="center"/>
        </w:trPr>
        <w:tc>
          <w:tcPr>
            <w:tcW w:w="3658" w:type="dxa"/>
            <w:tcMar>
              <w:top w:w="57" w:type="dxa"/>
              <w:bottom w:w="57" w:type="dxa"/>
            </w:tcMar>
          </w:tcPr>
          <w:p w14:paraId="2FF0D50D" w14:textId="77777777" w:rsidR="00BD3558" w:rsidRPr="00C10AFF" w:rsidRDefault="00BD3558" w:rsidP="005957C6">
            <w:pPr>
              <w:pStyle w:val="ListParagraph"/>
              <w:ind w:left="0"/>
              <w:contextualSpacing w:val="0"/>
              <w:rPr>
                <w:sz w:val="20"/>
              </w:rPr>
            </w:pPr>
            <w:r w:rsidRPr="00C10AFF">
              <w:rPr>
                <w:sz w:val="20"/>
              </w:rPr>
              <w:t>Forest and land use governance is improved (NICFI milestone)</w:t>
            </w:r>
          </w:p>
        </w:tc>
        <w:tc>
          <w:tcPr>
            <w:tcW w:w="5079" w:type="dxa"/>
            <w:tcMar>
              <w:top w:w="57" w:type="dxa"/>
              <w:bottom w:w="57" w:type="dxa"/>
            </w:tcMar>
          </w:tcPr>
          <w:p w14:paraId="452A112A" w14:textId="77777777" w:rsidR="00BD3558" w:rsidRPr="00C10AFF" w:rsidRDefault="00BD3558" w:rsidP="005957C6">
            <w:pPr>
              <w:pStyle w:val="ListParagraph"/>
              <w:ind w:left="0"/>
              <w:contextualSpacing w:val="0"/>
              <w:rPr>
                <w:sz w:val="20"/>
              </w:rPr>
            </w:pPr>
            <w:r>
              <w:rPr>
                <w:sz w:val="20"/>
              </w:rPr>
              <w:t>The indigenous-government platforms for REDD+ that CBR+ promotes will result in enhanced and inclusive governance of forest and land resources, from policy reforms to enhanced NDCs.</w:t>
            </w:r>
          </w:p>
        </w:tc>
      </w:tr>
      <w:tr w:rsidR="00BD3558" w:rsidRPr="00C10AFF" w14:paraId="39FF5827" w14:textId="77777777" w:rsidTr="005957C6">
        <w:trPr>
          <w:jc w:val="center"/>
        </w:trPr>
        <w:tc>
          <w:tcPr>
            <w:tcW w:w="3658" w:type="dxa"/>
            <w:tcMar>
              <w:top w:w="57" w:type="dxa"/>
              <w:bottom w:w="57" w:type="dxa"/>
            </w:tcMar>
          </w:tcPr>
          <w:p w14:paraId="53C6DE60" w14:textId="77777777" w:rsidR="00BD3558" w:rsidRPr="00C10AFF" w:rsidRDefault="00BD3558" w:rsidP="005957C6">
            <w:pPr>
              <w:pStyle w:val="ListParagraph"/>
              <w:ind w:left="0"/>
              <w:contextualSpacing w:val="0"/>
              <w:rPr>
                <w:sz w:val="20"/>
              </w:rPr>
            </w:pPr>
            <w:r w:rsidRPr="00C10AFF">
              <w:rPr>
                <w:sz w:val="20"/>
              </w:rPr>
              <w:t>Documented cooperation across actors and sectors (NICFI indicator)</w:t>
            </w:r>
          </w:p>
        </w:tc>
        <w:tc>
          <w:tcPr>
            <w:tcW w:w="5079" w:type="dxa"/>
            <w:tcMar>
              <w:top w:w="57" w:type="dxa"/>
              <w:bottom w:w="57" w:type="dxa"/>
            </w:tcMar>
          </w:tcPr>
          <w:p w14:paraId="0F4DE2B8" w14:textId="77777777" w:rsidR="00BD3558" w:rsidRPr="00C10AFF" w:rsidRDefault="00BD3558" w:rsidP="005957C6">
            <w:pPr>
              <w:pStyle w:val="ListParagraph"/>
              <w:ind w:left="0"/>
              <w:contextualSpacing w:val="0"/>
              <w:rPr>
                <w:sz w:val="20"/>
              </w:rPr>
            </w:pPr>
            <w:r>
              <w:rPr>
                <w:sz w:val="20"/>
              </w:rPr>
              <w:t>CBR+ fosters a genuine community-government collaborative spirit, starting with the multi-stakeholder national steering committees, which bring government, civil society and IP/LC stakeholders together, generating a practice of bilateral dialogue and joint governance mechanisms.</w:t>
            </w:r>
          </w:p>
        </w:tc>
      </w:tr>
      <w:tr w:rsidR="00BD3558" w:rsidRPr="00C10AFF" w14:paraId="4A573C7F" w14:textId="77777777" w:rsidTr="005957C6">
        <w:trPr>
          <w:jc w:val="center"/>
        </w:trPr>
        <w:tc>
          <w:tcPr>
            <w:tcW w:w="3658" w:type="dxa"/>
            <w:tcMar>
              <w:top w:w="57" w:type="dxa"/>
              <w:bottom w:w="57" w:type="dxa"/>
            </w:tcMar>
          </w:tcPr>
          <w:p w14:paraId="13E5A98F" w14:textId="77777777" w:rsidR="00BD3558" w:rsidRPr="00C10AFF" w:rsidRDefault="00BD3558" w:rsidP="005957C6">
            <w:pPr>
              <w:pStyle w:val="ListParagraph"/>
              <w:ind w:left="0"/>
              <w:contextualSpacing w:val="0"/>
              <w:rPr>
                <w:sz w:val="20"/>
              </w:rPr>
            </w:pPr>
            <w:r w:rsidRPr="00C10AFF">
              <w:rPr>
                <w:sz w:val="20"/>
              </w:rPr>
              <w:t>Inclusive forest and land use management that includes civil society, indigenous people, forest-dependent local communities, private sector, and that has a gender equality aspect (NICFI indicator)</w:t>
            </w:r>
          </w:p>
        </w:tc>
        <w:tc>
          <w:tcPr>
            <w:tcW w:w="5079" w:type="dxa"/>
            <w:tcMar>
              <w:top w:w="57" w:type="dxa"/>
              <w:bottom w:w="57" w:type="dxa"/>
            </w:tcMar>
          </w:tcPr>
          <w:p w14:paraId="6CA6A12C" w14:textId="77777777" w:rsidR="00BD3558" w:rsidRPr="00C10AFF" w:rsidRDefault="00BD3558" w:rsidP="005957C6">
            <w:pPr>
              <w:pStyle w:val="ListParagraph"/>
              <w:ind w:left="0"/>
              <w:contextualSpacing w:val="0"/>
              <w:rPr>
                <w:sz w:val="20"/>
              </w:rPr>
            </w:pPr>
            <w:r w:rsidRPr="00C10AFF">
              <w:rPr>
                <w:sz w:val="20"/>
              </w:rPr>
              <w:t>CBR+ is a genuine initiative for the inclusion of indigenous peoples and forest communities in REDD+.</w:t>
            </w:r>
          </w:p>
          <w:p w14:paraId="4F820719" w14:textId="77777777" w:rsidR="00BD3558" w:rsidRPr="00C10AFF" w:rsidRDefault="00BD3558" w:rsidP="005957C6">
            <w:pPr>
              <w:pStyle w:val="ListParagraph"/>
              <w:ind w:left="0"/>
              <w:contextualSpacing w:val="0"/>
              <w:rPr>
                <w:sz w:val="20"/>
              </w:rPr>
            </w:pPr>
            <w:r w:rsidRPr="00C10AFF">
              <w:rPr>
                <w:sz w:val="20"/>
              </w:rPr>
              <w:t>CBR+</w:t>
            </w:r>
            <w:r>
              <w:rPr>
                <w:sz w:val="20"/>
              </w:rPr>
              <w:t xml:space="preserve"> has also </w:t>
            </w:r>
            <w:r w:rsidRPr="00C10AFF">
              <w:rPr>
                <w:sz w:val="20"/>
              </w:rPr>
              <w:t>employ</w:t>
            </w:r>
            <w:r>
              <w:rPr>
                <w:sz w:val="20"/>
              </w:rPr>
              <w:t xml:space="preserve">ed </w:t>
            </w:r>
            <w:r w:rsidRPr="00C10AFF">
              <w:rPr>
                <w:sz w:val="20"/>
              </w:rPr>
              <w:t>a gender approach</w:t>
            </w:r>
            <w:r>
              <w:rPr>
                <w:sz w:val="20"/>
              </w:rPr>
              <w:t xml:space="preserve"> in its first phase</w:t>
            </w:r>
            <w:r w:rsidRPr="00C10AFF">
              <w:rPr>
                <w:sz w:val="20"/>
              </w:rPr>
              <w:t xml:space="preserve">, with various </w:t>
            </w:r>
            <w:r>
              <w:rPr>
                <w:sz w:val="20"/>
              </w:rPr>
              <w:t xml:space="preserve">community and indigenous </w:t>
            </w:r>
            <w:r w:rsidRPr="00C10AFF">
              <w:rPr>
                <w:sz w:val="20"/>
              </w:rPr>
              <w:t>lessons and pioneer examples</w:t>
            </w:r>
            <w:r>
              <w:rPr>
                <w:sz w:val="20"/>
              </w:rPr>
              <w:t xml:space="preserve">; </w:t>
            </w:r>
            <w:r w:rsidRPr="00C10AFF">
              <w:rPr>
                <w:sz w:val="20"/>
              </w:rPr>
              <w:t>e.g.</w:t>
            </w:r>
            <w:r>
              <w:rPr>
                <w:sz w:val="20"/>
              </w:rPr>
              <w:t>:</w:t>
            </w:r>
            <w:r w:rsidRPr="00C10AFF">
              <w:rPr>
                <w:sz w:val="20"/>
              </w:rPr>
              <w:t xml:space="preserve"> </w:t>
            </w:r>
            <w:hyperlink r:id="rId27" w:history="1">
              <w:r w:rsidRPr="00570C67">
                <w:rPr>
                  <w:rStyle w:val="Hyperlink"/>
                  <w:sz w:val="20"/>
                </w:rPr>
                <w:t>Nigeria</w:t>
              </w:r>
              <w:r>
                <w:rPr>
                  <w:rStyle w:val="Hyperlink"/>
                  <w:sz w:val="20"/>
                </w:rPr>
                <w:t>/</w:t>
              </w:r>
              <w:r w:rsidRPr="00570C67">
                <w:rPr>
                  <w:rStyle w:val="Hyperlink"/>
                  <w:sz w:val="20"/>
                </w:rPr>
                <w:t>CBR+</w:t>
              </w:r>
            </w:hyperlink>
            <w:r w:rsidRPr="00911F85">
              <w:rPr>
                <w:sz w:val="20"/>
              </w:rPr>
              <w:t xml:space="preserve"> empowered rural women to receive support and recognition from their communities on the critical role they play in forest management</w:t>
            </w:r>
            <w:r>
              <w:rPr>
                <w:sz w:val="20"/>
              </w:rPr>
              <w:t xml:space="preserve">, whereas the </w:t>
            </w:r>
            <w:hyperlink r:id="rId28" w:history="1">
              <w:r w:rsidRPr="00CE7BF6">
                <w:rPr>
                  <w:rStyle w:val="Hyperlink"/>
                  <w:sz w:val="20"/>
                </w:rPr>
                <w:t>DRC/CBR+</w:t>
              </w:r>
            </w:hyperlink>
            <w:r>
              <w:rPr>
                <w:sz w:val="20"/>
              </w:rPr>
              <w:t xml:space="preserve"> initiative empowered indigenous women as forest guardians and leaders</w:t>
            </w:r>
            <w:r w:rsidRPr="00C10AFF">
              <w:rPr>
                <w:sz w:val="20"/>
              </w:rPr>
              <w:t>. UN-REDD, which hosts CBR+, has pioneer efforts in terms of gender mainstreaming in REDD+</w:t>
            </w:r>
            <w:r>
              <w:rPr>
                <w:sz w:val="20"/>
              </w:rPr>
              <w:t xml:space="preserve"> (</w:t>
            </w:r>
            <w:r w:rsidRPr="00C10AFF">
              <w:rPr>
                <w:sz w:val="20"/>
              </w:rPr>
              <w:t xml:space="preserve">see synthesis essay published in the </w:t>
            </w:r>
            <w:hyperlink r:id="rId29" w:history="1">
              <w:r w:rsidRPr="00C10AFF">
                <w:rPr>
                  <w:rStyle w:val="Hyperlink"/>
                  <w:sz w:val="20"/>
                </w:rPr>
                <w:t>SDG Knowledge Hub</w:t>
              </w:r>
            </w:hyperlink>
            <w:r>
              <w:rPr>
                <w:sz w:val="20"/>
              </w:rPr>
              <w:t>).</w:t>
            </w:r>
          </w:p>
        </w:tc>
      </w:tr>
    </w:tbl>
    <w:p w14:paraId="0FB8BBFE" w14:textId="77777777" w:rsidR="00BD3558" w:rsidRDefault="00BD3558" w:rsidP="00BD3558">
      <w:pPr>
        <w:pStyle w:val="ListParagraph"/>
        <w:spacing w:after="0" w:line="240" w:lineRule="auto"/>
        <w:ind w:left="0"/>
        <w:contextualSpacing w:val="0"/>
        <w:jc w:val="both"/>
        <w:rPr>
          <w:b/>
          <w:color w:val="0000FF"/>
        </w:rPr>
      </w:pPr>
    </w:p>
    <w:p w14:paraId="6891B856" w14:textId="77777777" w:rsidR="00BD3558" w:rsidRDefault="00BD3558" w:rsidP="005F45F4">
      <w:pPr>
        <w:spacing w:after="0"/>
        <w:rPr>
          <w:b/>
        </w:rPr>
      </w:pPr>
    </w:p>
    <w:p w14:paraId="5B210D9E" w14:textId="1E1452F9" w:rsidR="005F45F4" w:rsidRDefault="005F45F4" w:rsidP="005F45F4">
      <w:pPr>
        <w:spacing w:after="0"/>
        <w:rPr>
          <w:b/>
        </w:rPr>
      </w:pPr>
    </w:p>
    <w:p w14:paraId="0CBFD581" w14:textId="77777777" w:rsidR="005F45F4" w:rsidRDefault="005F45F4" w:rsidP="005F45F4">
      <w:pPr>
        <w:spacing w:after="0"/>
        <w:rPr>
          <w:b/>
        </w:rPr>
      </w:pPr>
    </w:p>
    <w:p w14:paraId="0D4D999A" w14:textId="77777777" w:rsidR="00BD3558" w:rsidRDefault="00BD3558">
      <w:pPr>
        <w:rPr>
          <w:b/>
          <w:color w:val="0000FF"/>
        </w:rPr>
      </w:pPr>
      <w:r>
        <w:br w:type="page"/>
      </w:r>
    </w:p>
    <w:p w14:paraId="4AF79555" w14:textId="2CA4A916" w:rsidR="00C279E4" w:rsidRPr="00475283" w:rsidRDefault="00C279E4" w:rsidP="00C279E4">
      <w:pPr>
        <w:pStyle w:val="Heading1"/>
        <w:jc w:val="center"/>
      </w:pPr>
      <w:bookmarkStart w:id="13" w:name="_Toc10457064"/>
      <w:r>
        <w:lastRenderedPageBreak/>
        <w:t xml:space="preserve">Annex </w:t>
      </w:r>
      <w:r w:rsidR="00BD3558">
        <w:t>5</w:t>
      </w:r>
      <w:r>
        <w:t xml:space="preserve">. </w:t>
      </w:r>
      <w:r w:rsidRPr="00C279E4">
        <w:t>Internal, unofficial scoping of potential countries for CBR+2</w:t>
      </w:r>
      <w:bookmarkEnd w:id="13"/>
    </w:p>
    <w:p w14:paraId="16840AC2" w14:textId="532C466A" w:rsidR="00C279E4" w:rsidRDefault="00C279E4" w:rsidP="00C279E4">
      <w:pPr>
        <w:spacing w:after="0"/>
        <w:rPr>
          <w:b/>
        </w:rPr>
      </w:pPr>
    </w:p>
    <w:p w14:paraId="64962241" w14:textId="77777777" w:rsidR="00BD3558" w:rsidRDefault="00BD3558" w:rsidP="00C279E4">
      <w:pPr>
        <w:spacing w:after="0"/>
        <w:rPr>
          <w:b/>
        </w:rPr>
      </w:pPr>
    </w:p>
    <w:tbl>
      <w:tblPr>
        <w:tblStyle w:val="TableGrid"/>
        <w:tblW w:w="0" w:type="auto"/>
        <w:jc w:val="center"/>
        <w:tblLook w:val="04A0" w:firstRow="1" w:lastRow="0" w:firstColumn="1" w:lastColumn="0" w:noHBand="0" w:noVBand="1"/>
      </w:tblPr>
      <w:tblGrid>
        <w:gridCol w:w="1303"/>
        <w:gridCol w:w="4961"/>
        <w:gridCol w:w="2552"/>
      </w:tblGrid>
      <w:tr w:rsidR="00C279E4" w:rsidRPr="00C10AFF" w14:paraId="65826390" w14:textId="77777777" w:rsidTr="005F45F4">
        <w:trPr>
          <w:tblHeader/>
          <w:jc w:val="center"/>
        </w:trPr>
        <w:tc>
          <w:tcPr>
            <w:tcW w:w="1303" w:type="dxa"/>
            <w:shd w:val="clear" w:color="auto" w:fill="C6D9F1" w:themeFill="text2" w:themeFillTint="33"/>
            <w:tcMar>
              <w:top w:w="57" w:type="dxa"/>
              <w:bottom w:w="57" w:type="dxa"/>
            </w:tcMar>
            <w:vAlign w:val="center"/>
          </w:tcPr>
          <w:p w14:paraId="5A11F84C" w14:textId="77777777" w:rsidR="00C279E4" w:rsidRPr="00C10AFF" w:rsidRDefault="00C279E4" w:rsidP="005F45F4">
            <w:pPr>
              <w:pStyle w:val="ListParagraph"/>
              <w:ind w:left="0"/>
              <w:contextualSpacing w:val="0"/>
              <w:rPr>
                <w:b/>
                <w:sz w:val="20"/>
              </w:rPr>
            </w:pPr>
            <w:r>
              <w:rPr>
                <w:b/>
                <w:sz w:val="20"/>
              </w:rPr>
              <w:t>Countries</w:t>
            </w:r>
          </w:p>
        </w:tc>
        <w:tc>
          <w:tcPr>
            <w:tcW w:w="4961" w:type="dxa"/>
            <w:shd w:val="clear" w:color="auto" w:fill="C6D9F1" w:themeFill="text2" w:themeFillTint="33"/>
            <w:vAlign w:val="center"/>
          </w:tcPr>
          <w:p w14:paraId="7E6F5153" w14:textId="77777777" w:rsidR="00C279E4" w:rsidRPr="00C10AFF" w:rsidRDefault="00C279E4" w:rsidP="005F45F4">
            <w:pPr>
              <w:pStyle w:val="ListParagraph"/>
              <w:ind w:left="0"/>
              <w:contextualSpacing w:val="0"/>
              <w:jc w:val="center"/>
              <w:rPr>
                <w:b/>
                <w:sz w:val="20"/>
              </w:rPr>
            </w:pPr>
            <w:r>
              <w:rPr>
                <w:b/>
                <w:sz w:val="20"/>
              </w:rPr>
              <w:t>Assessment</w:t>
            </w:r>
          </w:p>
        </w:tc>
        <w:tc>
          <w:tcPr>
            <w:tcW w:w="2552" w:type="dxa"/>
            <w:shd w:val="clear" w:color="auto" w:fill="C6D9F1" w:themeFill="text2" w:themeFillTint="33"/>
            <w:vAlign w:val="center"/>
          </w:tcPr>
          <w:p w14:paraId="0F8FD591" w14:textId="77777777" w:rsidR="00C279E4" w:rsidRDefault="00C279E4" w:rsidP="005F45F4">
            <w:pPr>
              <w:pStyle w:val="ListParagraph"/>
              <w:ind w:left="0"/>
              <w:contextualSpacing w:val="0"/>
              <w:jc w:val="center"/>
              <w:rPr>
                <w:b/>
                <w:sz w:val="20"/>
              </w:rPr>
            </w:pPr>
            <w:r>
              <w:rPr>
                <w:b/>
                <w:sz w:val="20"/>
              </w:rPr>
              <w:t>Policy alignment</w:t>
            </w:r>
          </w:p>
          <w:p w14:paraId="1C00CB42" w14:textId="77777777" w:rsidR="00C279E4" w:rsidRDefault="00C279E4" w:rsidP="005F45F4">
            <w:pPr>
              <w:pStyle w:val="ListParagraph"/>
              <w:ind w:left="0"/>
              <w:contextualSpacing w:val="0"/>
              <w:jc w:val="center"/>
              <w:rPr>
                <w:b/>
                <w:sz w:val="20"/>
              </w:rPr>
            </w:pPr>
            <w:r>
              <w:rPr>
                <w:b/>
                <w:sz w:val="20"/>
              </w:rPr>
              <w:t>and delivery</w:t>
            </w:r>
          </w:p>
        </w:tc>
      </w:tr>
      <w:tr w:rsidR="00C279E4" w:rsidRPr="00C10AFF" w14:paraId="04064678" w14:textId="77777777" w:rsidTr="005F45F4">
        <w:trPr>
          <w:jc w:val="center"/>
        </w:trPr>
        <w:tc>
          <w:tcPr>
            <w:tcW w:w="1303" w:type="dxa"/>
            <w:tcMar>
              <w:top w:w="57" w:type="dxa"/>
              <w:bottom w:w="57" w:type="dxa"/>
            </w:tcMar>
            <w:vAlign w:val="center"/>
          </w:tcPr>
          <w:p w14:paraId="56327B2E" w14:textId="77777777" w:rsidR="00C279E4" w:rsidRPr="00CC5B3B" w:rsidRDefault="00C279E4" w:rsidP="005F45F4">
            <w:pPr>
              <w:pStyle w:val="ListParagraph"/>
              <w:ind w:left="0"/>
              <w:contextualSpacing w:val="0"/>
              <w:rPr>
                <w:b/>
                <w:sz w:val="20"/>
              </w:rPr>
            </w:pPr>
            <w:r w:rsidRPr="00CC5B3B">
              <w:rPr>
                <w:b/>
                <w:sz w:val="20"/>
              </w:rPr>
              <w:t>Colombia</w:t>
            </w:r>
          </w:p>
        </w:tc>
        <w:tc>
          <w:tcPr>
            <w:tcW w:w="4961" w:type="dxa"/>
            <w:tcMar>
              <w:top w:w="57" w:type="dxa"/>
              <w:bottom w:w="57" w:type="dxa"/>
            </w:tcMar>
            <w:vAlign w:val="center"/>
          </w:tcPr>
          <w:p w14:paraId="69AC74D1" w14:textId="77777777" w:rsidR="00C279E4" w:rsidRPr="00C10AFF" w:rsidRDefault="00C279E4" w:rsidP="005F45F4">
            <w:pPr>
              <w:pStyle w:val="ListParagraph"/>
              <w:ind w:left="0"/>
              <w:contextualSpacing w:val="0"/>
              <w:jc w:val="both"/>
              <w:rPr>
                <w:sz w:val="20"/>
              </w:rPr>
            </w:pPr>
            <w:r>
              <w:rPr>
                <w:sz w:val="20"/>
              </w:rPr>
              <w:t>Both Government and indigenous peoples' organisations have expressed to UN-REDD high interest in CBR+. The national strategy for REDD+ (</w:t>
            </w:r>
            <w:proofErr w:type="spellStart"/>
            <w:r w:rsidRPr="000D2982">
              <w:rPr>
                <w:i/>
                <w:sz w:val="20"/>
              </w:rPr>
              <w:t>Bosques</w:t>
            </w:r>
            <w:proofErr w:type="spellEnd"/>
            <w:r w:rsidRPr="000D2982">
              <w:rPr>
                <w:i/>
                <w:sz w:val="20"/>
              </w:rPr>
              <w:t xml:space="preserve"> de Vida</w:t>
            </w:r>
            <w:r>
              <w:rPr>
                <w:sz w:val="20"/>
              </w:rPr>
              <w:t xml:space="preserve">) was designed with a thorough indigenous and community engagement. The </w:t>
            </w:r>
            <w:r w:rsidRPr="00BC5859">
              <w:rPr>
                <w:i/>
                <w:sz w:val="20"/>
              </w:rPr>
              <w:t>Joint Declaration on REDD+</w:t>
            </w:r>
            <w:r>
              <w:rPr>
                <w:sz w:val="20"/>
              </w:rPr>
              <w:t xml:space="preserve"> has several milestones related to promoting the rights and actions of indigenous peoples and forest-dependent communities. The peace process requires intense community support and investments to prevent deforestation: CBR+ can be an early response that can inspire community investments for REDD+ in the longer term.</w:t>
            </w:r>
          </w:p>
        </w:tc>
        <w:tc>
          <w:tcPr>
            <w:tcW w:w="2552" w:type="dxa"/>
            <w:vAlign w:val="center"/>
          </w:tcPr>
          <w:p w14:paraId="180A5F5A" w14:textId="77777777" w:rsidR="00C279E4" w:rsidRDefault="00C279E4" w:rsidP="005F45F4">
            <w:pPr>
              <w:pStyle w:val="ListParagraph"/>
              <w:numPr>
                <w:ilvl w:val="0"/>
                <w:numId w:val="22"/>
              </w:numPr>
              <w:ind w:left="317" w:hanging="270"/>
              <w:contextualSpacing w:val="0"/>
              <w:rPr>
                <w:sz w:val="20"/>
              </w:rPr>
            </w:pPr>
            <w:r>
              <w:rPr>
                <w:sz w:val="20"/>
              </w:rPr>
              <w:t>JDI/REDD+</w:t>
            </w:r>
          </w:p>
          <w:p w14:paraId="60F8C8F9" w14:textId="77777777" w:rsidR="00C279E4" w:rsidRDefault="00C279E4" w:rsidP="005F45F4">
            <w:pPr>
              <w:pStyle w:val="ListParagraph"/>
              <w:numPr>
                <w:ilvl w:val="0"/>
                <w:numId w:val="22"/>
              </w:numPr>
              <w:ind w:left="317" w:hanging="270"/>
              <w:contextualSpacing w:val="0"/>
              <w:rPr>
                <w:sz w:val="20"/>
              </w:rPr>
            </w:pPr>
            <w:r>
              <w:rPr>
                <w:sz w:val="20"/>
              </w:rPr>
              <w:t>NDC Partnership member</w:t>
            </w:r>
          </w:p>
          <w:p w14:paraId="4342EB06" w14:textId="77777777" w:rsidR="00C279E4" w:rsidRDefault="00C279E4" w:rsidP="005F45F4">
            <w:pPr>
              <w:pStyle w:val="ListParagraph"/>
              <w:numPr>
                <w:ilvl w:val="0"/>
                <w:numId w:val="22"/>
              </w:numPr>
              <w:ind w:left="317" w:hanging="270"/>
              <w:contextualSpacing w:val="0"/>
              <w:rPr>
                <w:sz w:val="20"/>
              </w:rPr>
            </w:pPr>
            <w:r>
              <w:rPr>
                <w:sz w:val="20"/>
              </w:rPr>
              <w:t>UNDP NDC Support Programme country</w:t>
            </w:r>
          </w:p>
          <w:p w14:paraId="793F149A" w14:textId="77777777" w:rsidR="00C279E4" w:rsidRDefault="00C279E4" w:rsidP="005F45F4">
            <w:pPr>
              <w:pStyle w:val="ListParagraph"/>
              <w:numPr>
                <w:ilvl w:val="0"/>
                <w:numId w:val="22"/>
              </w:numPr>
              <w:ind w:left="317" w:hanging="270"/>
              <w:contextualSpacing w:val="0"/>
              <w:rPr>
                <w:sz w:val="20"/>
              </w:rPr>
            </w:pPr>
            <w:r>
              <w:rPr>
                <w:sz w:val="20"/>
              </w:rPr>
              <w:t>Peace process (community &amp; forest dimensions)</w:t>
            </w:r>
          </w:p>
        </w:tc>
      </w:tr>
      <w:tr w:rsidR="00C279E4" w:rsidRPr="00C10AFF" w14:paraId="75D69EC5" w14:textId="77777777" w:rsidTr="005F45F4">
        <w:trPr>
          <w:jc w:val="center"/>
        </w:trPr>
        <w:tc>
          <w:tcPr>
            <w:tcW w:w="1303" w:type="dxa"/>
            <w:tcMar>
              <w:top w:w="57" w:type="dxa"/>
              <w:bottom w:w="57" w:type="dxa"/>
            </w:tcMar>
            <w:vAlign w:val="center"/>
          </w:tcPr>
          <w:p w14:paraId="7FCA1A12" w14:textId="77777777" w:rsidR="00C279E4" w:rsidRPr="00CC5B3B" w:rsidRDefault="00C279E4" w:rsidP="005F45F4">
            <w:pPr>
              <w:pStyle w:val="ListParagraph"/>
              <w:ind w:left="0"/>
              <w:contextualSpacing w:val="0"/>
              <w:rPr>
                <w:b/>
                <w:sz w:val="20"/>
              </w:rPr>
            </w:pPr>
            <w:r w:rsidRPr="00CC5B3B">
              <w:rPr>
                <w:b/>
                <w:sz w:val="20"/>
              </w:rPr>
              <w:t>Côte d'Ivoire</w:t>
            </w:r>
          </w:p>
        </w:tc>
        <w:tc>
          <w:tcPr>
            <w:tcW w:w="4961" w:type="dxa"/>
            <w:tcMar>
              <w:top w:w="57" w:type="dxa"/>
              <w:bottom w:w="57" w:type="dxa"/>
            </w:tcMar>
            <w:vAlign w:val="center"/>
          </w:tcPr>
          <w:p w14:paraId="07571263" w14:textId="77777777" w:rsidR="00C279E4" w:rsidRPr="00C10AFF" w:rsidRDefault="00C279E4" w:rsidP="005F45F4">
            <w:pPr>
              <w:pStyle w:val="ListParagraph"/>
              <w:ind w:left="0"/>
              <w:contextualSpacing w:val="0"/>
              <w:jc w:val="both"/>
              <w:rPr>
                <w:sz w:val="20"/>
              </w:rPr>
            </w:pPr>
            <w:r>
              <w:rPr>
                <w:sz w:val="20"/>
              </w:rPr>
              <w:t xml:space="preserve">In the past years, the country has rapidly moved into REDD+ action, with high-level political engagement and notable financing partnerships with the private sector (e.g. cocoa-forest alliances). A CBR+ initiative would fit perfectly the ongoing public-private partnerships for deforestation-free commodities by better integrating and empowering communities. </w:t>
            </w:r>
          </w:p>
        </w:tc>
        <w:tc>
          <w:tcPr>
            <w:tcW w:w="2552" w:type="dxa"/>
            <w:vAlign w:val="center"/>
          </w:tcPr>
          <w:p w14:paraId="32691E88" w14:textId="77777777" w:rsidR="00C279E4" w:rsidRDefault="00C279E4" w:rsidP="005F45F4">
            <w:pPr>
              <w:pStyle w:val="ListParagraph"/>
              <w:numPr>
                <w:ilvl w:val="0"/>
                <w:numId w:val="22"/>
              </w:numPr>
              <w:ind w:left="317" w:hanging="270"/>
              <w:contextualSpacing w:val="0"/>
              <w:rPr>
                <w:sz w:val="20"/>
              </w:rPr>
            </w:pPr>
            <w:r>
              <w:rPr>
                <w:sz w:val="20"/>
              </w:rPr>
              <w:t>National Strategy for REDD+</w:t>
            </w:r>
          </w:p>
          <w:p w14:paraId="05C51496" w14:textId="77777777" w:rsidR="00C279E4" w:rsidRDefault="00C279E4" w:rsidP="005F45F4">
            <w:pPr>
              <w:pStyle w:val="ListParagraph"/>
              <w:numPr>
                <w:ilvl w:val="0"/>
                <w:numId w:val="22"/>
              </w:numPr>
              <w:ind w:left="317" w:hanging="270"/>
              <w:contextualSpacing w:val="0"/>
              <w:rPr>
                <w:sz w:val="20"/>
              </w:rPr>
            </w:pPr>
            <w:r>
              <w:rPr>
                <w:sz w:val="20"/>
              </w:rPr>
              <w:t>Private sector engagement &amp; financing for deforestation-free cocoa</w:t>
            </w:r>
          </w:p>
          <w:p w14:paraId="74B37569" w14:textId="77777777" w:rsidR="00C279E4" w:rsidRDefault="00C279E4" w:rsidP="005F45F4">
            <w:pPr>
              <w:pStyle w:val="ListParagraph"/>
              <w:numPr>
                <w:ilvl w:val="0"/>
                <w:numId w:val="22"/>
              </w:numPr>
              <w:ind w:left="317" w:hanging="270"/>
              <w:contextualSpacing w:val="0"/>
              <w:rPr>
                <w:sz w:val="20"/>
              </w:rPr>
            </w:pPr>
            <w:r>
              <w:rPr>
                <w:sz w:val="20"/>
              </w:rPr>
              <w:t>Commitments to the NY Declaration on Forests</w:t>
            </w:r>
          </w:p>
          <w:p w14:paraId="23AC42D2" w14:textId="77777777" w:rsidR="00C279E4" w:rsidRDefault="00C279E4" w:rsidP="005F45F4">
            <w:pPr>
              <w:pStyle w:val="ListParagraph"/>
              <w:numPr>
                <w:ilvl w:val="0"/>
                <w:numId w:val="22"/>
              </w:numPr>
              <w:ind w:left="317" w:hanging="270"/>
              <w:contextualSpacing w:val="0"/>
              <w:rPr>
                <w:sz w:val="20"/>
              </w:rPr>
            </w:pPr>
            <w:r>
              <w:rPr>
                <w:sz w:val="20"/>
              </w:rPr>
              <w:t>NDC Partnership member</w:t>
            </w:r>
          </w:p>
          <w:p w14:paraId="228C2791" w14:textId="77777777" w:rsidR="00C279E4" w:rsidRDefault="00C279E4" w:rsidP="005F45F4">
            <w:pPr>
              <w:pStyle w:val="ListParagraph"/>
              <w:numPr>
                <w:ilvl w:val="0"/>
                <w:numId w:val="22"/>
              </w:numPr>
              <w:ind w:left="317" w:hanging="270"/>
              <w:contextualSpacing w:val="0"/>
              <w:rPr>
                <w:sz w:val="20"/>
              </w:rPr>
            </w:pPr>
            <w:r>
              <w:rPr>
                <w:sz w:val="20"/>
              </w:rPr>
              <w:t>UNDP NDC Support Programme country</w:t>
            </w:r>
          </w:p>
        </w:tc>
      </w:tr>
      <w:tr w:rsidR="00C279E4" w:rsidRPr="00C10AFF" w14:paraId="5651727C" w14:textId="77777777" w:rsidTr="005F45F4">
        <w:trPr>
          <w:jc w:val="center"/>
        </w:trPr>
        <w:tc>
          <w:tcPr>
            <w:tcW w:w="1303" w:type="dxa"/>
            <w:tcMar>
              <w:top w:w="57" w:type="dxa"/>
              <w:bottom w:w="57" w:type="dxa"/>
            </w:tcMar>
            <w:vAlign w:val="center"/>
          </w:tcPr>
          <w:p w14:paraId="4595D524" w14:textId="77777777" w:rsidR="00C279E4" w:rsidRPr="00CC5B3B" w:rsidRDefault="00C279E4" w:rsidP="005F45F4">
            <w:pPr>
              <w:pStyle w:val="ListParagraph"/>
              <w:ind w:left="0"/>
              <w:contextualSpacing w:val="0"/>
              <w:rPr>
                <w:b/>
                <w:sz w:val="20"/>
              </w:rPr>
            </w:pPr>
            <w:r w:rsidRPr="00CC5B3B">
              <w:rPr>
                <w:b/>
                <w:sz w:val="20"/>
              </w:rPr>
              <w:t>DR Congo</w:t>
            </w:r>
          </w:p>
        </w:tc>
        <w:tc>
          <w:tcPr>
            <w:tcW w:w="4961" w:type="dxa"/>
            <w:tcMar>
              <w:top w:w="57" w:type="dxa"/>
              <w:bottom w:w="57" w:type="dxa"/>
            </w:tcMar>
            <w:vAlign w:val="center"/>
          </w:tcPr>
          <w:p w14:paraId="201E9D5F" w14:textId="77777777" w:rsidR="00C279E4" w:rsidRPr="00C10AFF" w:rsidRDefault="00C279E4" w:rsidP="005F45F4">
            <w:pPr>
              <w:pStyle w:val="ListParagraph"/>
              <w:ind w:left="0"/>
              <w:contextualSpacing w:val="0"/>
              <w:jc w:val="both"/>
              <w:rPr>
                <w:sz w:val="20"/>
              </w:rPr>
            </w:pPr>
            <w:r>
              <w:rPr>
                <w:sz w:val="20"/>
              </w:rPr>
              <w:t xml:space="preserve">DRC already implemented CBR+, but in view of the size of the country and the comprehensiveness of its REDD+ action, there is tremendous potential for a follow-up phase. In addition, since the first CBR+, the country has operationalised the National REDD+ Fund (FONAREDD), which has so far focused on policy reforms (land policy, territorial planning) and integrated investments, </w:t>
            </w:r>
            <w:r w:rsidRPr="002B4ADF">
              <w:rPr>
                <w:sz w:val="20"/>
              </w:rPr>
              <w:t xml:space="preserve">but </w:t>
            </w:r>
            <w:r>
              <w:rPr>
                <w:sz w:val="20"/>
              </w:rPr>
              <w:t xml:space="preserve">wishes to enhance </w:t>
            </w:r>
            <w:r w:rsidRPr="002B4ADF">
              <w:rPr>
                <w:sz w:val="20"/>
              </w:rPr>
              <w:t>community-focused support. A CBR+2 programme would align nicely with</w:t>
            </w:r>
            <w:r>
              <w:rPr>
                <w:sz w:val="20"/>
              </w:rPr>
              <w:t xml:space="preserve"> </w:t>
            </w:r>
            <w:r w:rsidRPr="002B4ADF">
              <w:rPr>
                <w:sz w:val="20"/>
              </w:rPr>
              <w:t>the FONAREDD</w:t>
            </w:r>
            <w:r>
              <w:rPr>
                <w:sz w:val="20"/>
              </w:rPr>
              <w:t xml:space="preserve"> work</w:t>
            </w:r>
            <w:r w:rsidRPr="002B4ADF">
              <w:rPr>
                <w:sz w:val="20"/>
              </w:rPr>
              <w:t>.</w:t>
            </w:r>
          </w:p>
        </w:tc>
        <w:tc>
          <w:tcPr>
            <w:tcW w:w="2552" w:type="dxa"/>
            <w:vAlign w:val="center"/>
          </w:tcPr>
          <w:p w14:paraId="51881070" w14:textId="77777777" w:rsidR="00C279E4" w:rsidRDefault="00C279E4" w:rsidP="005F45F4">
            <w:pPr>
              <w:pStyle w:val="ListParagraph"/>
              <w:numPr>
                <w:ilvl w:val="0"/>
                <w:numId w:val="22"/>
              </w:numPr>
              <w:ind w:left="317" w:hanging="270"/>
              <w:contextualSpacing w:val="0"/>
              <w:rPr>
                <w:sz w:val="20"/>
              </w:rPr>
            </w:pPr>
            <w:r>
              <w:rPr>
                <w:sz w:val="20"/>
              </w:rPr>
              <w:t>National REDD+ Strategy</w:t>
            </w:r>
          </w:p>
          <w:p w14:paraId="6BEB8B1A" w14:textId="77777777" w:rsidR="00C279E4" w:rsidRDefault="00C279E4" w:rsidP="005F45F4">
            <w:pPr>
              <w:pStyle w:val="ListParagraph"/>
              <w:numPr>
                <w:ilvl w:val="0"/>
                <w:numId w:val="22"/>
              </w:numPr>
              <w:ind w:left="317" w:hanging="270"/>
              <w:contextualSpacing w:val="0"/>
              <w:rPr>
                <w:sz w:val="20"/>
              </w:rPr>
            </w:pPr>
            <w:r>
              <w:rPr>
                <w:sz w:val="20"/>
              </w:rPr>
              <w:t>National REDD+ Fund (FONAREDD)</w:t>
            </w:r>
          </w:p>
          <w:p w14:paraId="46444C4C" w14:textId="77777777" w:rsidR="00C279E4" w:rsidRDefault="00C279E4" w:rsidP="005F45F4">
            <w:pPr>
              <w:pStyle w:val="ListParagraph"/>
              <w:numPr>
                <w:ilvl w:val="0"/>
                <w:numId w:val="22"/>
              </w:numPr>
              <w:ind w:left="317" w:hanging="270"/>
              <w:contextualSpacing w:val="0"/>
              <w:rPr>
                <w:sz w:val="20"/>
              </w:rPr>
            </w:pPr>
            <w:r>
              <w:rPr>
                <w:sz w:val="20"/>
              </w:rPr>
              <w:t>NDC Partnership member</w:t>
            </w:r>
          </w:p>
          <w:p w14:paraId="452FD028" w14:textId="77777777" w:rsidR="00C279E4" w:rsidRDefault="00C279E4" w:rsidP="005F45F4">
            <w:pPr>
              <w:pStyle w:val="ListParagraph"/>
              <w:numPr>
                <w:ilvl w:val="0"/>
                <w:numId w:val="22"/>
              </w:numPr>
              <w:ind w:left="317" w:hanging="270"/>
              <w:contextualSpacing w:val="0"/>
              <w:rPr>
                <w:sz w:val="20"/>
              </w:rPr>
            </w:pPr>
            <w:r>
              <w:rPr>
                <w:sz w:val="20"/>
              </w:rPr>
              <w:t>UNDP NDC Support Programme country</w:t>
            </w:r>
          </w:p>
        </w:tc>
      </w:tr>
      <w:tr w:rsidR="00C279E4" w:rsidRPr="00C10AFF" w14:paraId="13DFBE74" w14:textId="77777777" w:rsidTr="005F45F4">
        <w:trPr>
          <w:jc w:val="center"/>
        </w:trPr>
        <w:tc>
          <w:tcPr>
            <w:tcW w:w="1303" w:type="dxa"/>
            <w:tcMar>
              <w:top w:w="57" w:type="dxa"/>
              <w:bottom w:w="57" w:type="dxa"/>
            </w:tcMar>
            <w:vAlign w:val="center"/>
          </w:tcPr>
          <w:p w14:paraId="0DA1E4BA" w14:textId="77777777" w:rsidR="00C279E4" w:rsidRPr="00CC5B3B" w:rsidRDefault="00C279E4" w:rsidP="005F45F4">
            <w:pPr>
              <w:pStyle w:val="ListParagraph"/>
              <w:ind w:left="0"/>
              <w:contextualSpacing w:val="0"/>
              <w:rPr>
                <w:b/>
                <w:sz w:val="20"/>
              </w:rPr>
            </w:pPr>
            <w:r w:rsidRPr="00CC5B3B">
              <w:rPr>
                <w:b/>
                <w:sz w:val="20"/>
              </w:rPr>
              <w:t>Ecuador</w:t>
            </w:r>
          </w:p>
        </w:tc>
        <w:tc>
          <w:tcPr>
            <w:tcW w:w="4961" w:type="dxa"/>
            <w:tcMar>
              <w:top w:w="57" w:type="dxa"/>
              <w:bottom w:w="57" w:type="dxa"/>
            </w:tcMar>
            <w:vAlign w:val="center"/>
          </w:tcPr>
          <w:p w14:paraId="16D079B5" w14:textId="77777777" w:rsidR="00C279E4" w:rsidRPr="00C10AFF" w:rsidRDefault="00C279E4" w:rsidP="005F45F4">
            <w:pPr>
              <w:pStyle w:val="ListParagraph"/>
              <w:ind w:left="0"/>
              <w:contextualSpacing w:val="0"/>
              <w:jc w:val="both"/>
              <w:rPr>
                <w:sz w:val="20"/>
              </w:rPr>
            </w:pPr>
            <w:r>
              <w:rPr>
                <w:sz w:val="20"/>
              </w:rPr>
              <w:t>Together with Brazil, Ecuador is a pioneer of REDD+, not only implementing REDD+ policies but also preparing results-based payment proposals. Ecuador has demonstrated a decentralised and community approach to REDD+. A CBR+2 initiative would enhance and consolidate REDD+ impacts, while serving a model for integrated, multifaceted approaches to REDD+ action.</w:t>
            </w:r>
          </w:p>
        </w:tc>
        <w:tc>
          <w:tcPr>
            <w:tcW w:w="2552" w:type="dxa"/>
            <w:vAlign w:val="center"/>
          </w:tcPr>
          <w:p w14:paraId="56D9C8D4" w14:textId="77777777" w:rsidR="00C279E4" w:rsidRDefault="00C279E4" w:rsidP="005F45F4">
            <w:pPr>
              <w:pStyle w:val="ListParagraph"/>
              <w:numPr>
                <w:ilvl w:val="0"/>
                <w:numId w:val="22"/>
              </w:numPr>
              <w:ind w:left="317" w:hanging="270"/>
              <w:contextualSpacing w:val="0"/>
              <w:rPr>
                <w:sz w:val="20"/>
              </w:rPr>
            </w:pPr>
            <w:proofErr w:type="spellStart"/>
            <w:r>
              <w:rPr>
                <w:sz w:val="20"/>
              </w:rPr>
              <w:t>ProAmazonia</w:t>
            </w:r>
            <w:proofErr w:type="spellEnd"/>
          </w:p>
          <w:p w14:paraId="7BFA5011" w14:textId="77777777" w:rsidR="00C279E4" w:rsidRDefault="00C279E4" w:rsidP="005F45F4">
            <w:pPr>
              <w:pStyle w:val="ListParagraph"/>
              <w:numPr>
                <w:ilvl w:val="0"/>
                <w:numId w:val="22"/>
              </w:numPr>
              <w:ind w:left="317" w:hanging="270"/>
              <w:contextualSpacing w:val="0"/>
              <w:rPr>
                <w:sz w:val="20"/>
              </w:rPr>
            </w:pPr>
            <w:r>
              <w:rPr>
                <w:sz w:val="20"/>
              </w:rPr>
              <w:t>NDC Partnership member</w:t>
            </w:r>
          </w:p>
          <w:p w14:paraId="4CDEA153" w14:textId="77777777" w:rsidR="00C279E4" w:rsidRDefault="00C279E4" w:rsidP="005F45F4">
            <w:pPr>
              <w:pStyle w:val="ListParagraph"/>
              <w:numPr>
                <w:ilvl w:val="0"/>
                <w:numId w:val="22"/>
              </w:numPr>
              <w:ind w:left="317" w:hanging="270"/>
              <w:contextualSpacing w:val="0"/>
              <w:rPr>
                <w:sz w:val="20"/>
              </w:rPr>
            </w:pPr>
            <w:r>
              <w:rPr>
                <w:sz w:val="20"/>
              </w:rPr>
              <w:t>UNDP NDC Support Programme country</w:t>
            </w:r>
          </w:p>
        </w:tc>
      </w:tr>
      <w:tr w:rsidR="00C279E4" w:rsidRPr="00C10AFF" w14:paraId="52796895" w14:textId="77777777" w:rsidTr="005F45F4">
        <w:trPr>
          <w:jc w:val="center"/>
        </w:trPr>
        <w:tc>
          <w:tcPr>
            <w:tcW w:w="1303" w:type="dxa"/>
            <w:tcMar>
              <w:top w:w="57" w:type="dxa"/>
              <w:bottom w:w="57" w:type="dxa"/>
            </w:tcMar>
            <w:vAlign w:val="center"/>
          </w:tcPr>
          <w:p w14:paraId="099A1EB1" w14:textId="77777777" w:rsidR="00C279E4" w:rsidRPr="00CC5B3B" w:rsidRDefault="00C279E4" w:rsidP="005F45F4">
            <w:pPr>
              <w:pStyle w:val="ListParagraph"/>
              <w:ind w:left="0"/>
              <w:contextualSpacing w:val="0"/>
              <w:rPr>
                <w:b/>
                <w:sz w:val="20"/>
              </w:rPr>
            </w:pPr>
            <w:r>
              <w:rPr>
                <w:b/>
                <w:sz w:val="20"/>
              </w:rPr>
              <w:t>Ghana</w:t>
            </w:r>
          </w:p>
        </w:tc>
        <w:tc>
          <w:tcPr>
            <w:tcW w:w="4961" w:type="dxa"/>
            <w:tcMar>
              <w:top w:w="57" w:type="dxa"/>
              <w:bottom w:w="57" w:type="dxa"/>
            </w:tcMar>
            <w:vAlign w:val="center"/>
          </w:tcPr>
          <w:p w14:paraId="789828C4" w14:textId="77777777" w:rsidR="00C279E4" w:rsidRDefault="00C279E4" w:rsidP="005F45F4">
            <w:pPr>
              <w:jc w:val="both"/>
              <w:rPr>
                <w:sz w:val="20"/>
              </w:rPr>
            </w:pPr>
            <w:r>
              <w:rPr>
                <w:sz w:val="20"/>
              </w:rPr>
              <w:t xml:space="preserve">The </w:t>
            </w:r>
            <w:r w:rsidRPr="009D3E5C">
              <w:rPr>
                <w:sz w:val="20"/>
              </w:rPr>
              <w:t>national REDD+ strategy supports community-based</w:t>
            </w:r>
            <w:r>
              <w:rPr>
                <w:sz w:val="20"/>
              </w:rPr>
              <w:t xml:space="preserve">, </w:t>
            </w:r>
            <w:r w:rsidRPr="009D3E5C">
              <w:rPr>
                <w:sz w:val="20"/>
              </w:rPr>
              <w:t xml:space="preserve">land-use management </w:t>
            </w:r>
            <w:r>
              <w:rPr>
                <w:sz w:val="20"/>
              </w:rPr>
              <w:t xml:space="preserve">approaches and </w:t>
            </w:r>
            <w:r w:rsidRPr="009D3E5C">
              <w:rPr>
                <w:sz w:val="20"/>
              </w:rPr>
              <w:t xml:space="preserve">mechanisms. </w:t>
            </w:r>
            <w:r>
              <w:rPr>
                <w:sz w:val="20"/>
              </w:rPr>
              <w:t xml:space="preserve">In addition, Ghana has developed a strong engagement with the private sector for promoting deforestation-free commodity chains, with provisions for community inclusion (one of the key focus areas of the joint framework for action under the Cocoa Forest Initiative is precisely community engagement and social inclusion). This combination of private sector partnerships with community engagement has the potential to deliver more ambitious and inclusive REDD+ results. Thus, a CBR+ </w:t>
            </w:r>
            <w:r>
              <w:rPr>
                <w:sz w:val="20"/>
              </w:rPr>
              <w:lastRenderedPageBreak/>
              <w:t xml:space="preserve">initiative will serve to consolidate this process by ensuring communities are </w:t>
            </w:r>
            <w:proofErr w:type="gramStart"/>
            <w:r>
              <w:rPr>
                <w:sz w:val="20"/>
              </w:rPr>
              <w:t>fairly integrated</w:t>
            </w:r>
            <w:proofErr w:type="gramEnd"/>
            <w:r>
              <w:rPr>
                <w:sz w:val="20"/>
              </w:rPr>
              <w:t xml:space="preserve"> in, and benefit from private-sector investments for deforestation-free commodity chains, thus connecting the social and ecological dimensions of sustainable productive landscapes (with an initial focus on </w:t>
            </w:r>
            <w:r w:rsidRPr="009D3E5C">
              <w:rPr>
                <w:sz w:val="20"/>
              </w:rPr>
              <w:t>cocoa and shea</w:t>
            </w:r>
            <w:r>
              <w:rPr>
                <w:sz w:val="20"/>
              </w:rPr>
              <w:t xml:space="preserve"> as primary commodities). </w:t>
            </w:r>
          </w:p>
        </w:tc>
        <w:tc>
          <w:tcPr>
            <w:tcW w:w="2552" w:type="dxa"/>
            <w:vAlign w:val="center"/>
          </w:tcPr>
          <w:p w14:paraId="0060D773" w14:textId="77777777" w:rsidR="00C279E4" w:rsidRDefault="00C279E4" w:rsidP="005F45F4">
            <w:pPr>
              <w:pStyle w:val="ListParagraph"/>
              <w:numPr>
                <w:ilvl w:val="0"/>
                <w:numId w:val="22"/>
              </w:numPr>
              <w:ind w:left="317" w:hanging="270"/>
              <w:contextualSpacing w:val="0"/>
              <w:rPr>
                <w:sz w:val="20"/>
              </w:rPr>
            </w:pPr>
            <w:r>
              <w:rPr>
                <w:sz w:val="20"/>
              </w:rPr>
              <w:lastRenderedPageBreak/>
              <w:t>National REDD+ strategy</w:t>
            </w:r>
          </w:p>
          <w:p w14:paraId="1E360E27" w14:textId="77777777" w:rsidR="00C279E4" w:rsidRDefault="00C279E4" w:rsidP="005F45F4">
            <w:pPr>
              <w:pStyle w:val="ListParagraph"/>
              <w:numPr>
                <w:ilvl w:val="0"/>
                <w:numId w:val="22"/>
              </w:numPr>
              <w:ind w:left="317" w:hanging="270"/>
              <w:contextualSpacing w:val="0"/>
              <w:rPr>
                <w:sz w:val="20"/>
              </w:rPr>
            </w:pPr>
            <w:r>
              <w:rPr>
                <w:sz w:val="20"/>
              </w:rPr>
              <w:t>Private Sector Engagement &amp; financing for deforestation-free commodities</w:t>
            </w:r>
          </w:p>
          <w:p w14:paraId="1AC9AA90" w14:textId="77777777" w:rsidR="00C279E4" w:rsidRDefault="00C279E4" w:rsidP="005F45F4">
            <w:pPr>
              <w:pStyle w:val="ListParagraph"/>
              <w:numPr>
                <w:ilvl w:val="0"/>
                <w:numId w:val="22"/>
              </w:numPr>
              <w:ind w:left="317" w:hanging="270"/>
              <w:contextualSpacing w:val="0"/>
              <w:rPr>
                <w:sz w:val="20"/>
              </w:rPr>
            </w:pPr>
            <w:r>
              <w:rPr>
                <w:sz w:val="20"/>
              </w:rPr>
              <w:t>NDC partnership member</w:t>
            </w:r>
          </w:p>
          <w:p w14:paraId="45A1279C" w14:textId="77777777" w:rsidR="00C279E4" w:rsidRDefault="00C279E4" w:rsidP="005F45F4">
            <w:pPr>
              <w:pStyle w:val="ListParagraph"/>
              <w:numPr>
                <w:ilvl w:val="0"/>
                <w:numId w:val="22"/>
              </w:numPr>
              <w:ind w:left="317" w:hanging="270"/>
              <w:contextualSpacing w:val="0"/>
              <w:rPr>
                <w:sz w:val="20"/>
              </w:rPr>
            </w:pPr>
            <w:r>
              <w:rPr>
                <w:sz w:val="20"/>
              </w:rPr>
              <w:t>UNDP NDC Support Programme Country</w:t>
            </w:r>
          </w:p>
        </w:tc>
      </w:tr>
      <w:tr w:rsidR="00C279E4" w:rsidRPr="00C10AFF" w14:paraId="38B5DA72" w14:textId="77777777" w:rsidTr="005F45F4">
        <w:trPr>
          <w:jc w:val="center"/>
        </w:trPr>
        <w:tc>
          <w:tcPr>
            <w:tcW w:w="1303" w:type="dxa"/>
            <w:tcMar>
              <w:top w:w="57" w:type="dxa"/>
              <w:bottom w:w="57" w:type="dxa"/>
            </w:tcMar>
            <w:vAlign w:val="center"/>
          </w:tcPr>
          <w:p w14:paraId="16ADFEF6" w14:textId="77777777" w:rsidR="00C279E4" w:rsidRPr="00CC5B3B" w:rsidRDefault="00C279E4" w:rsidP="005F45F4">
            <w:pPr>
              <w:pStyle w:val="ListParagraph"/>
              <w:ind w:left="0"/>
              <w:contextualSpacing w:val="0"/>
              <w:rPr>
                <w:b/>
                <w:sz w:val="20"/>
              </w:rPr>
            </w:pPr>
            <w:r>
              <w:rPr>
                <w:b/>
                <w:sz w:val="20"/>
              </w:rPr>
              <w:t>Indonesia</w:t>
            </w:r>
          </w:p>
        </w:tc>
        <w:tc>
          <w:tcPr>
            <w:tcW w:w="4961" w:type="dxa"/>
            <w:tcMar>
              <w:top w:w="57" w:type="dxa"/>
              <w:bottom w:w="57" w:type="dxa"/>
            </w:tcMar>
            <w:vAlign w:val="center"/>
          </w:tcPr>
          <w:p w14:paraId="2C1AED3F" w14:textId="77777777" w:rsidR="00C279E4" w:rsidRPr="00C10AFF" w:rsidRDefault="00C279E4" w:rsidP="005F45F4">
            <w:pPr>
              <w:pStyle w:val="ListParagraph"/>
              <w:ind w:left="0"/>
              <w:contextualSpacing w:val="0"/>
              <w:jc w:val="both"/>
              <w:rPr>
                <w:sz w:val="20"/>
              </w:rPr>
            </w:pPr>
            <w:r>
              <w:rPr>
                <w:sz w:val="20"/>
              </w:rPr>
              <w:t>CBR+ could support multi-stakeholder policy dialogues to bridge indigenous peoples and public institutions in the states participating in the Governors' Climate &amp; Forest initiative. In addition, CBR+ could serve to design, test and disseminate t</w:t>
            </w:r>
            <w:r w:rsidRPr="003873C7">
              <w:rPr>
                <w:sz w:val="20"/>
              </w:rPr>
              <w:t>he operational mechanisms for social forestry – hence helping implement the national agreement to allocate 2.7 million hectares of forest estates to social forestry.</w:t>
            </w:r>
            <w:r>
              <w:rPr>
                <w:sz w:val="20"/>
              </w:rPr>
              <w:t xml:space="preserve"> Close collaboration with the organisation AMAN (which supports indigenous peoples' rights and advocacy in the country) is envisaged.</w:t>
            </w:r>
          </w:p>
        </w:tc>
        <w:tc>
          <w:tcPr>
            <w:tcW w:w="2552" w:type="dxa"/>
            <w:vAlign w:val="center"/>
          </w:tcPr>
          <w:p w14:paraId="200C6779" w14:textId="77777777" w:rsidR="00C279E4" w:rsidRDefault="00C279E4" w:rsidP="005F45F4">
            <w:pPr>
              <w:pStyle w:val="ListParagraph"/>
              <w:numPr>
                <w:ilvl w:val="0"/>
                <w:numId w:val="22"/>
              </w:numPr>
              <w:ind w:left="317" w:hanging="270"/>
              <w:contextualSpacing w:val="0"/>
              <w:rPr>
                <w:sz w:val="20"/>
              </w:rPr>
            </w:pPr>
            <w:r>
              <w:rPr>
                <w:sz w:val="20"/>
              </w:rPr>
              <w:t>Governors' Climate &amp; Forest initiative</w:t>
            </w:r>
          </w:p>
          <w:p w14:paraId="16EA61C7" w14:textId="77777777" w:rsidR="00C279E4" w:rsidRDefault="00C279E4" w:rsidP="005F45F4">
            <w:pPr>
              <w:pStyle w:val="ListParagraph"/>
              <w:numPr>
                <w:ilvl w:val="0"/>
                <w:numId w:val="22"/>
              </w:numPr>
              <w:ind w:left="317" w:hanging="270"/>
              <w:contextualSpacing w:val="0"/>
              <w:rPr>
                <w:sz w:val="20"/>
              </w:rPr>
            </w:pPr>
            <w:r>
              <w:rPr>
                <w:sz w:val="20"/>
              </w:rPr>
              <w:t>NDC Partnership member</w:t>
            </w:r>
          </w:p>
        </w:tc>
      </w:tr>
      <w:tr w:rsidR="00C279E4" w:rsidRPr="00C10AFF" w14:paraId="7DC94E70" w14:textId="77777777" w:rsidTr="005F45F4">
        <w:trPr>
          <w:jc w:val="center"/>
        </w:trPr>
        <w:tc>
          <w:tcPr>
            <w:tcW w:w="1303" w:type="dxa"/>
            <w:tcMar>
              <w:top w:w="57" w:type="dxa"/>
              <w:bottom w:w="57" w:type="dxa"/>
            </w:tcMar>
            <w:vAlign w:val="center"/>
          </w:tcPr>
          <w:p w14:paraId="338A285F" w14:textId="77777777" w:rsidR="00C279E4" w:rsidRPr="00CC5B3B" w:rsidRDefault="00C279E4" w:rsidP="005F45F4">
            <w:pPr>
              <w:pStyle w:val="ListParagraph"/>
              <w:ind w:left="0"/>
              <w:contextualSpacing w:val="0"/>
              <w:rPr>
                <w:b/>
                <w:sz w:val="20"/>
              </w:rPr>
            </w:pPr>
            <w:r w:rsidRPr="00CC5B3B">
              <w:rPr>
                <w:b/>
                <w:sz w:val="20"/>
              </w:rPr>
              <w:t>Kenya</w:t>
            </w:r>
          </w:p>
        </w:tc>
        <w:tc>
          <w:tcPr>
            <w:tcW w:w="4961" w:type="dxa"/>
            <w:tcMar>
              <w:top w:w="57" w:type="dxa"/>
              <w:bottom w:w="57" w:type="dxa"/>
            </w:tcMar>
            <w:vAlign w:val="center"/>
          </w:tcPr>
          <w:p w14:paraId="563BA000" w14:textId="77777777" w:rsidR="00C279E4" w:rsidRPr="00C10AFF" w:rsidRDefault="00C279E4" w:rsidP="005F45F4">
            <w:pPr>
              <w:pStyle w:val="ListParagraph"/>
              <w:ind w:left="0"/>
              <w:contextualSpacing w:val="0"/>
              <w:jc w:val="both"/>
              <w:rPr>
                <w:sz w:val="20"/>
              </w:rPr>
            </w:pPr>
            <w:r>
              <w:rPr>
                <w:sz w:val="20"/>
              </w:rPr>
              <w:t>The country has expressed interest in CBR+ since it was established. The national Constitution has provisions for forest protection and restoration (target: 10% of national territory). Government is willing to advance NDCs in the forest domain and engage community stakeholders in the way. A CBR+ initiative would help bridge the national-local-community interface on forest affairs.</w:t>
            </w:r>
          </w:p>
        </w:tc>
        <w:tc>
          <w:tcPr>
            <w:tcW w:w="2552" w:type="dxa"/>
            <w:vAlign w:val="center"/>
          </w:tcPr>
          <w:p w14:paraId="4875F186" w14:textId="77777777" w:rsidR="00C279E4" w:rsidRDefault="00C279E4" w:rsidP="005F45F4">
            <w:pPr>
              <w:pStyle w:val="ListParagraph"/>
              <w:numPr>
                <w:ilvl w:val="0"/>
                <w:numId w:val="22"/>
              </w:numPr>
              <w:ind w:left="317" w:hanging="270"/>
              <w:contextualSpacing w:val="0"/>
              <w:rPr>
                <w:sz w:val="20"/>
              </w:rPr>
            </w:pPr>
            <w:r>
              <w:rPr>
                <w:sz w:val="20"/>
              </w:rPr>
              <w:t>National Constitution</w:t>
            </w:r>
          </w:p>
          <w:p w14:paraId="6FBF6D21" w14:textId="77777777" w:rsidR="00C279E4" w:rsidRDefault="00C279E4" w:rsidP="005F45F4">
            <w:pPr>
              <w:pStyle w:val="ListParagraph"/>
              <w:numPr>
                <w:ilvl w:val="0"/>
                <w:numId w:val="22"/>
              </w:numPr>
              <w:ind w:left="317" w:hanging="270"/>
              <w:contextualSpacing w:val="0"/>
              <w:rPr>
                <w:sz w:val="20"/>
              </w:rPr>
            </w:pPr>
            <w:r>
              <w:rPr>
                <w:sz w:val="20"/>
              </w:rPr>
              <w:t>NDC Partnership member</w:t>
            </w:r>
          </w:p>
          <w:p w14:paraId="1DCA87D2" w14:textId="77777777" w:rsidR="00C279E4" w:rsidRDefault="00C279E4" w:rsidP="005F45F4">
            <w:pPr>
              <w:pStyle w:val="ListParagraph"/>
              <w:numPr>
                <w:ilvl w:val="0"/>
                <w:numId w:val="22"/>
              </w:numPr>
              <w:ind w:left="317" w:hanging="270"/>
              <w:contextualSpacing w:val="0"/>
              <w:rPr>
                <w:sz w:val="20"/>
              </w:rPr>
            </w:pPr>
            <w:r>
              <w:rPr>
                <w:sz w:val="20"/>
              </w:rPr>
              <w:t>UNDP NDC Support Programme country</w:t>
            </w:r>
          </w:p>
        </w:tc>
      </w:tr>
      <w:tr w:rsidR="00C279E4" w:rsidRPr="00C10AFF" w14:paraId="6C398D3F" w14:textId="77777777" w:rsidTr="005F45F4">
        <w:trPr>
          <w:jc w:val="center"/>
        </w:trPr>
        <w:tc>
          <w:tcPr>
            <w:tcW w:w="1303" w:type="dxa"/>
            <w:tcMar>
              <w:top w:w="57" w:type="dxa"/>
              <w:bottom w:w="57" w:type="dxa"/>
            </w:tcMar>
            <w:vAlign w:val="center"/>
          </w:tcPr>
          <w:p w14:paraId="2ED32602" w14:textId="77777777" w:rsidR="00C279E4" w:rsidRPr="00CC5B3B" w:rsidRDefault="00C279E4" w:rsidP="005F45F4">
            <w:pPr>
              <w:pStyle w:val="ListParagraph"/>
              <w:ind w:left="0"/>
              <w:contextualSpacing w:val="0"/>
              <w:rPr>
                <w:b/>
                <w:sz w:val="20"/>
              </w:rPr>
            </w:pPr>
            <w:r w:rsidRPr="00CC5B3B">
              <w:rPr>
                <w:b/>
                <w:sz w:val="20"/>
              </w:rPr>
              <w:t>Malaysia</w:t>
            </w:r>
          </w:p>
        </w:tc>
        <w:tc>
          <w:tcPr>
            <w:tcW w:w="4961" w:type="dxa"/>
            <w:tcMar>
              <w:top w:w="57" w:type="dxa"/>
              <w:bottom w:w="57" w:type="dxa"/>
            </w:tcMar>
            <w:vAlign w:val="center"/>
          </w:tcPr>
          <w:p w14:paraId="7565F65C" w14:textId="77777777" w:rsidR="00C279E4" w:rsidRPr="00C10AFF" w:rsidRDefault="00C279E4" w:rsidP="005F45F4">
            <w:pPr>
              <w:pStyle w:val="ListParagraph"/>
              <w:ind w:left="0"/>
              <w:contextualSpacing w:val="0"/>
              <w:jc w:val="both"/>
              <w:rPr>
                <w:sz w:val="20"/>
              </w:rPr>
            </w:pPr>
            <w:r>
              <w:rPr>
                <w:sz w:val="20"/>
              </w:rPr>
              <w:t>Willingness to advance forest restoration (policy and practice) as a key REDD+ measure, connected to local governments and communities.</w:t>
            </w:r>
          </w:p>
        </w:tc>
        <w:tc>
          <w:tcPr>
            <w:tcW w:w="2552" w:type="dxa"/>
            <w:vAlign w:val="center"/>
          </w:tcPr>
          <w:p w14:paraId="63A92D3E" w14:textId="77777777" w:rsidR="00C279E4" w:rsidRPr="00C10AFF" w:rsidRDefault="00C279E4" w:rsidP="005F45F4">
            <w:pPr>
              <w:pStyle w:val="ListParagraph"/>
              <w:numPr>
                <w:ilvl w:val="0"/>
                <w:numId w:val="22"/>
              </w:numPr>
              <w:ind w:left="317" w:hanging="270"/>
              <w:contextualSpacing w:val="0"/>
              <w:rPr>
                <w:sz w:val="20"/>
              </w:rPr>
            </w:pPr>
            <w:r>
              <w:rPr>
                <w:sz w:val="20"/>
              </w:rPr>
              <w:t>National Forest Economy programme</w:t>
            </w:r>
          </w:p>
        </w:tc>
      </w:tr>
      <w:tr w:rsidR="00C279E4" w:rsidRPr="00C10AFF" w14:paraId="08962095" w14:textId="77777777" w:rsidTr="005F45F4">
        <w:trPr>
          <w:jc w:val="center"/>
        </w:trPr>
        <w:tc>
          <w:tcPr>
            <w:tcW w:w="1303" w:type="dxa"/>
            <w:tcMar>
              <w:top w:w="57" w:type="dxa"/>
              <w:bottom w:w="57" w:type="dxa"/>
            </w:tcMar>
            <w:vAlign w:val="center"/>
          </w:tcPr>
          <w:p w14:paraId="76EC8F09" w14:textId="77777777" w:rsidR="00C279E4" w:rsidRPr="00CC5B3B" w:rsidRDefault="00C279E4" w:rsidP="005F45F4">
            <w:pPr>
              <w:pStyle w:val="ListParagraph"/>
              <w:ind w:left="0"/>
              <w:contextualSpacing w:val="0"/>
              <w:rPr>
                <w:b/>
                <w:sz w:val="20"/>
              </w:rPr>
            </w:pPr>
            <w:r w:rsidRPr="00CC5B3B">
              <w:rPr>
                <w:b/>
                <w:sz w:val="20"/>
              </w:rPr>
              <w:t>Papua New Guinea</w:t>
            </w:r>
          </w:p>
        </w:tc>
        <w:tc>
          <w:tcPr>
            <w:tcW w:w="4961" w:type="dxa"/>
            <w:tcMar>
              <w:top w:w="57" w:type="dxa"/>
              <w:bottom w:w="57" w:type="dxa"/>
            </w:tcMar>
            <w:vAlign w:val="center"/>
          </w:tcPr>
          <w:p w14:paraId="6C3854DD" w14:textId="77777777" w:rsidR="00C279E4" w:rsidRPr="00C10AFF" w:rsidRDefault="00C279E4" w:rsidP="005F45F4">
            <w:pPr>
              <w:pStyle w:val="ListParagraph"/>
              <w:ind w:left="0"/>
              <w:contextualSpacing w:val="0"/>
              <w:jc w:val="both"/>
              <w:rPr>
                <w:sz w:val="20"/>
              </w:rPr>
            </w:pPr>
            <w:r>
              <w:rPr>
                <w:sz w:val="20"/>
              </w:rPr>
              <w:t>The REDD+ commitment has reignited in the country. There is an institutional and funding gap in support to indigenous peoples and forest communities. CBR+ would align national REDD+ actions to community rights and priorities.</w:t>
            </w:r>
          </w:p>
        </w:tc>
        <w:tc>
          <w:tcPr>
            <w:tcW w:w="2552" w:type="dxa"/>
            <w:vAlign w:val="center"/>
          </w:tcPr>
          <w:p w14:paraId="481C8138" w14:textId="77777777" w:rsidR="00C279E4" w:rsidRPr="00C10AFF" w:rsidRDefault="00C279E4" w:rsidP="005F45F4">
            <w:pPr>
              <w:pStyle w:val="ListParagraph"/>
              <w:numPr>
                <w:ilvl w:val="0"/>
                <w:numId w:val="22"/>
              </w:numPr>
              <w:ind w:left="317" w:hanging="270"/>
              <w:contextualSpacing w:val="0"/>
              <w:rPr>
                <w:sz w:val="20"/>
              </w:rPr>
            </w:pPr>
            <w:r>
              <w:rPr>
                <w:sz w:val="20"/>
              </w:rPr>
              <w:t>FCPF REDD+ project (UNDP as Delivery Partner)</w:t>
            </w:r>
          </w:p>
        </w:tc>
      </w:tr>
      <w:tr w:rsidR="00C279E4" w:rsidRPr="00C10AFF" w14:paraId="1010B9FA" w14:textId="77777777" w:rsidTr="005F45F4">
        <w:trPr>
          <w:jc w:val="center"/>
        </w:trPr>
        <w:tc>
          <w:tcPr>
            <w:tcW w:w="1303" w:type="dxa"/>
            <w:tcMar>
              <w:top w:w="57" w:type="dxa"/>
              <w:bottom w:w="57" w:type="dxa"/>
            </w:tcMar>
            <w:vAlign w:val="center"/>
          </w:tcPr>
          <w:p w14:paraId="026CA270" w14:textId="77777777" w:rsidR="00C279E4" w:rsidRPr="00CC5B3B" w:rsidRDefault="00C279E4" w:rsidP="005F45F4">
            <w:pPr>
              <w:pStyle w:val="ListParagraph"/>
              <w:ind w:left="0"/>
              <w:contextualSpacing w:val="0"/>
              <w:rPr>
                <w:b/>
                <w:sz w:val="20"/>
              </w:rPr>
            </w:pPr>
            <w:r w:rsidRPr="00CC5B3B">
              <w:rPr>
                <w:b/>
                <w:sz w:val="20"/>
              </w:rPr>
              <w:t>Peru</w:t>
            </w:r>
          </w:p>
        </w:tc>
        <w:tc>
          <w:tcPr>
            <w:tcW w:w="4961" w:type="dxa"/>
            <w:tcMar>
              <w:top w:w="57" w:type="dxa"/>
              <w:bottom w:w="57" w:type="dxa"/>
            </w:tcMar>
            <w:vAlign w:val="center"/>
          </w:tcPr>
          <w:p w14:paraId="1CA05FE8" w14:textId="77777777" w:rsidR="00C279E4" w:rsidRPr="00C10AFF" w:rsidRDefault="00C279E4" w:rsidP="005F45F4">
            <w:pPr>
              <w:pStyle w:val="ListParagraph"/>
              <w:ind w:left="0"/>
              <w:jc w:val="both"/>
              <w:rPr>
                <w:sz w:val="20"/>
              </w:rPr>
            </w:pPr>
            <w:r>
              <w:rPr>
                <w:sz w:val="20"/>
              </w:rPr>
              <w:t xml:space="preserve">A CBR+2 initiative would serve to foster a </w:t>
            </w:r>
            <w:r w:rsidRPr="00F93437">
              <w:rPr>
                <w:sz w:val="20"/>
              </w:rPr>
              <w:t xml:space="preserve">common forest agenda </w:t>
            </w:r>
            <w:r>
              <w:rPr>
                <w:sz w:val="20"/>
              </w:rPr>
              <w:t xml:space="preserve">between </w:t>
            </w:r>
            <w:r w:rsidRPr="00F93437">
              <w:rPr>
                <w:sz w:val="20"/>
              </w:rPr>
              <w:t>government and indigenous peoples</w:t>
            </w:r>
            <w:r>
              <w:rPr>
                <w:sz w:val="20"/>
              </w:rPr>
              <w:t xml:space="preserve">, thus better connecting </w:t>
            </w:r>
            <w:r w:rsidRPr="00F93437">
              <w:rPr>
                <w:sz w:val="20"/>
              </w:rPr>
              <w:t xml:space="preserve">the indigenous Amazon REDD+ plan </w:t>
            </w:r>
            <w:r>
              <w:rPr>
                <w:sz w:val="20"/>
              </w:rPr>
              <w:t>(</w:t>
            </w:r>
            <w:r w:rsidRPr="00F93437">
              <w:rPr>
                <w:sz w:val="20"/>
              </w:rPr>
              <w:t>RIA</w:t>
            </w:r>
            <w:r>
              <w:rPr>
                <w:sz w:val="20"/>
              </w:rPr>
              <w:t xml:space="preserve">) with national policies (REDD+, NDCs). CBR+ could also serve to design and test </w:t>
            </w:r>
            <w:r w:rsidRPr="00F93437">
              <w:rPr>
                <w:sz w:val="20"/>
              </w:rPr>
              <w:t>protocols for recognising indigenous territorial rights</w:t>
            </w:r>
            <w:r>
              <w:rPr>
                <w:sz w:val="20"/>
              </w:rPr>
              <w:t>, in line with the JDI/REDD+ provisions. CBR+ could assist in r</w:t>
            </w:r>
            <w:r w:rsidRPr="00845AD4">
              <w:rPr>
                <w:sz w:val="20"/>
              </w:rPr>
              <w:t xml:space="preserve">evisiting the agricultural/forestry potential as key criteria for recognizing IP land rights, </w:t>
            </w:r>
            <w:r>
              <w:rPr>
                <w:sz w:val="20"/>
              </w:rPr>
              <w:t xml:space="preserve">while </w:t>
            </w:r>
            <w:r w:rsidRPr="00845AD4">
              <w:rPr>
                <w:sz w:val="20"/>
              </w:rPr>
              <w:t xml:space="preserve">highlighting customary rights and </w:t>
            </w:r>
            <w:r>
              <w:rPr>
                <w:sz w:val="20"/>
              </w:rPr>
              <w:t xml:space="preserve">the </w:t>
            </w:r>
            <w:r w:rsidRPr="00845AD4">
              <w:rPr>
                <w:sz w:val="20"/>
              </w:rPr>
              <w:t>potential for biodiversity and carbon management</w:t>
            </w:r>
            <w:r>
              <w:rPr>
                <w:sz w:val="20"/>
              </w:rPr>
              <w:t>.</w:t>
            </w:r>
          </w:p>
        </w:tc>
        <w:tc>
          <w:tcPr>
            <w:tcW w:w="2552" w:type="dxa"/>
            <w:vAlign w:val="center"/>
          </w:tcPr>
          <w:p w14:paraId="4F8C0A1E" w14:textId="77777777" w:rsidR="00C279E4" w:rsidRDefault="00C279E4" w:rsidP="005F45F4">
            <w:pPr>
              <w:pStyle w:val="ListParagraph"/>
              <w:numPr>
                <w:ilvl w:val="0"/>
                <w:numId w:val="22"/>
              </w:numPr>
              <w:ind w:left="317" w:hanging="270"/>
              <w:rPr>
                <w:sz w:val="20"/>
              </w:rPr>
            </w:pPr>
            <w:r>
              <w:rPr>
                <w:sz w:val="20"/>
              </w:rPr>
              <w:t>JDI/REDD+</w:t>
            </w:r>
          </w:p>
          <w:p w14:paraId="4A6D12A4" w14:textId="77777777" w:rsidR="00C279E4" w:rsidRDefault="00C279E4" w:rsidP="005F45F4">
            <w:pPr>
              <w:pStyle w:val="ListParagraph"/>
              <w:numPr>
                <w:ilvl w:val="0"/>
                <w:numId w:val="22"/>
              </w:numPr>
              <w:ind w:left="317" w:hanging="270"/>
              <w:rPr>
                <w:sz w:val="20"/>
              </w:rPr>
            </w:pPr>
            <w:r>
              <w:rPr>
                <w:sz w:val="20"/>
              </w:rPr>
              <w:t>Aligning and integrating RIA into national policy</w:t>
            </w:r>
          </w:p>
          <w:p w14:paraId="5570ED13" w14:textId="77777777" w:rsidR="00C279E4" w:rsidRDefault="00C279E4" w:rsidP="005F45F4">
            <w:pPr>
              <w:pStyle w:val="ListParagraph"/>
              <w:numPr>
                <w:ilvl w:val="0"/>
                <w:numId w:val="22"/>
              </w:numPr>
              <w:ind w:left="317" w:hanging="270"/>
              <w:contextualSpacing w:val="0"/>
              <w:rPr>
                <w:sz w:val="20"/>
              </w:rPr>
            </w:pPr>
            <w:r>
              <w:rPr>
                <w:sz w:val="20"/>
              </w:rPr>
              <w:t>NDC Partnership member</w:t>
            </w:r>
          </w:p>
          <w:p w14:paraId="6843E763" w14:textId="77777777" w:rsidR="00C279E4" w:rsidRDefault="00C279E4" w:rsidP="005F45F4">
            <w:pPr>
              <w:pStyle w:val="ListParagraph"/>
              <w:numPr>
                <w:ilvl w:val="0"/>
                <w:numId w:val="22"/>
              </w:numPr>
              <w:ind w:left="317" w:hanging="270"/>
              <w:rPr>
                <w:sz w:val="20"/>
              </w:rPr>
            </w:pPr>
            <w:r>
              <w:rPr>
                <w:sz w:val="20"/>
              </w:rPr>
              <w:t>UNDP NDC Support Programme country</w:t>
            </w:r>
          </w:p>
        </w:tc>
      </w:tr>
    </w:tbl>
    <w:p w14:paraId="14883075" w14:textId="692FD6EA" w:rsidR="00C279E4" w:rsidRDefault="00C279E4" w:rsidP="00C279E4">
      <w:pPr>
        <w:spacing w:before="120" w:after="0" w:line="240" w:lineRule="auto"/>
        <w:ind w:left="709" w:right="339" w:hanging="567"/>
        <w:rPr>
          <w:sz w:val="20"/>
        </w:rPr>
      </w:pPr>
      <w:r w:rsidRPr="001778BE">
        <w:rPr>
          <w:b/>
          <w:sz w:val="20"/>
          <w:u w:val="single"/>
        </w:rPr>
        <w:t>Note</w:t>
      </w:r>
      <w:r w:rsidRPr="00434279">
        <w:rPr>
          <w:sz w:val="20"/>
        </w:rPr>
        <w:t>:</w:t>
      </w:r>
      <w:r>
        <w:rPr>
          <w:sz w:val="20"/>
        </w:rPr>
        <w:tab/>
      </w:r>
      <w:r w:rsidRPr="00434279">
        <w:rPr>
          <w:sz w:val="20"/>
        </w:rPr>
        <w:t xml:space="preserve">Only a few countries will be retained, depending on interest expressed, criteria </w:t>
      </w:r>
      <w:r>
        <w:rPr>
          <w:sz w:val="20"/>
        </w:rPr>
        <w:t xml:space="preserve">met </w:t>
      </w:r>
      <w:r w:rsidRPr="00434279">
        <w:rPr>
          <w:sz w:val="20"/>
        </w:rPr>
        <w:t xml:space="preserve">and </w:t>
      </w:r>
      <w:r>
        <w:rPr>
          <w:sz w:val="20"/>
        </w:rPr>
        <w:t xml:space="preserve">scale of </w:t>
      </w:r>
      <w:r w:rsidRPr="00434279">
        <w:rPr>
          <w:sz w:val="20"/>
        </w:rPr>
        <w:t>funding available</w:t>
      </w:r>
      <w:r>
        <w:rPr>
          <w:sz w:val="20"/>
        </w:rPr>
        <w:t xml:space="preserve"> (see Section 6 above for further information).</w:t>
      </w:r>
    </w:p>
    <w:p w14:paraId="47C1969E" w14:textId="77777777" w:rsidR="00C279E4" w:rsidRPr="00475283" w:rsidRDefault="00C279E4" w:rsidP="00DF0272">
      <w:pPr>
        <w:rPr>
          <w:b/>
        </w:rPr>
      </w:pPr>
    </w:p>
    <w:sectPr w:rsidR="00C279E4" w:rsidRPr="00475283" w:rsidSect="003E4262">
      <w:footerReference w:type="default" r:id="rId30"/>
      <w:pgSz w:w="11906" w:h="16838"/>
      <w:pgMar w:top="1247" w:right="1531" w:bottom="1134"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CC45BB" w14:textId="77777777" w:rsidR="005F45F4" w:rsidRDefault="005F45F4" w:rsidP="00D54348">
      <w:pPr>
        <w:spacing w:after="0" w:line="240" w:lineRule="auto"/>
      </w:pPr>
      <w:r>
        <w:separator/>
      </w:r>
    </w:p>
  </w:endnote>
  <w:endnote w:type="continuationSeparator" w:id="0">
    <w:p w14:paraId="43721D80" w14:textId="77777777" w:rsidR="005F45F4" w:rsidRDefault="005F45F4" w:rsidP="00D54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5D9F8" w14:textId="2C63704B" w:rsidR="005F45F4" w:rsidRPr="00D54348" w:rsidRDefault="005F45F4" w:rsidP="001772C9">
    <w:pPr>
      <w:pStyle w:val="Footer"/>
      <w:jc w:val="center"/>
      <w:rPr>
        <w:sz w:val="20"/>
      </w:rPr>
    </w:pPr>
    <w:r w:rsidRPr="00D54348">
      <w:rPr>
        <w:sz w:val="20"/>
      </w:rPr>
      <w:t xml:space="preserve">- </w:t>
    </w:r>
    <w:sdt>
      <w:sdtPr>
        <w:rPr>
          <w:sz w:val="20"/>
        </w:rPr>
        <w:id w:val="1022589369"/>
        <w:docPartObj>
          <w:docPartGallery w:val="Page Numbers (Bottom of Page)"/>
          <w:docPartUnique/>
        </w:docPartObj>
      </w:sdtPr>
      <w:sdtEndPr>
        <w:rPr>
          <w:noProof/>
        </w:rPr>
      </w:sdtEndPr>
      <w:sdtContent>
        <w:r w:rsidRPr="00D54348">
          <w:rPr>
            <w:sz w:val="20"/>
          </w:rPr>
          <w:fldChar w:fldCharType="begin"/>
        </w:r>
        <w:r w:rsidRPr="00D54348">
          <w:rPr>
            <w:sz w:val="20"/>
          </w:rPr>
          <w:instrText xml:space="preserve"> PAGE   \* MERGEFORMAT </w:instrText>
        </w:r>
        <w:r w:rsidRPr="00D54348">
          <w:rPr>
            <w:sz w:val="20"/>
          </w:rPr>
          <w:fldChar w:fldCharType="separate"/>
        </w:r>
        <w:r>
          <w:rPr>
            <w:noProof/>
            <w:sz w:val="20"/>
          </w:rPr>
          <w:t>12</w:t>
        </w:r>
        <w:r w:rsidRPr="00D54348">
          <w:rPr>
            <w:noProof/>
            <w:sz w:val="20"/>
          </w:rPr>
          <w:fldChar w:fldCharType="end"/>
        </w:r>
        <w:r w:rsidRPr="00D54348">
          <w:rPr>
            <w:noProof/>
            <w:sz w:val="20"/>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48059C" w14:textId="77777777" w:rsidR="005F45F4" w:rsidRDefault="005F45F4" w:rsidP="00D54348">
      <w:pPr>
        <w:spacing w:after="0" w:line="240" w:lineRule="auto"/>
      </w:pPr>
      <w:r>
        <w:separator/>
      </w:r>
    </w:p>
  </w:footnote>
  <w:footnote w:type="continuationSeparator" w:id="0">
    <w:p w14:paraId="00855E70" w14:textId="77777777" w:rsidR="005F45F4" w:rsidRDefault="005F45F4" w:rsidP="00D543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33CF8"/>
    <w:multiLevelType w:val="hybridMultilevel"/>
    <w:tmpl w:val="70D05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FFE2A34"/>
    <w:multiLevelType w:val="hybridMultilevel"/>
    <w:tmpl w:val="9C62FC58"/>
    <w:lvl w:ilvl="0" w:tplc="C7AA7750">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45334"/>
    <w:multiLevelType w:val="hybridMultilevel"/>
    <w:tmpl w:val="A5729D8E"/>
    <w:lvl w:ilvl="0" w:tplc="A46E822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437F46"/>
    <w:multiLevelType w:val="hybridMultilevel"/>
    <w:tmpl w:val="0706B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D32653"/>
    <w:multiLevelType w:val="hybridMultilevel"/>
    <w:tmpl w:val="F9525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FA7B12"/>
    <w:multiLevelType w:val="hybridMultilevel"/>
    <w:tmpl w:val="8A4C1634"/>
    <w:lvl w:ilvl="0" w:tplc="B0DECCA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3118A8"/>
    <w:multiLevelType w:val="hybridMultilevel"/>
    <w:tmpl w:val="49C4515C"/>
    <w:lvl w:ilvl="0" w:tplc="33F2584E">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F45A8A"/>
    <w:multiLevelType w:val="hybridMultilevel"/>
    <w:tmpl w:val="4CE2E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9A15AE"/>
    <w:multiLevelType w:val="hybridMultilevel"/>
    <w:tmpl w:val="060EAA3A"/>
    <w:lvl w:ilvl="0" w:tplc="2830106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7B5BFC"/>
    <w:multiLevelType w:val="hybridMultilevel"/>
    <w:tmpl w:val="784EC2EA"/>
    <w:lvl w:ilvl="0" w:tplc="A2B6BD3E">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440285"/>
    <w:multiLevelType w:val="hybridMultilevel"/>
    <w:tmpl w:val="9586B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C31766"/>
    <w:multiLevelType w:val="hybridMultilevel"/>
    <w:tmpl w:val="CF28C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317221"/>
    <w:multiLevelType w:val="hybridMultilevel"/>
    <w:tmpl w:val="2682BAA6"/>
    <w:lvl w:ilvl="0" w:tplc="33F2584E">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DE2BA5"/>
    <w:multiLevelType w:val="hybridMultilevel"/>
    <w:tmpl w:val="08201954"/>
    <w:lvl w:ilvl="0" w:tplc="C7AA7750">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C63E43"/>
    <w:multiLevelType w:val="hybridMultilevel"/>
    <w:tmpl w:val="8C90E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2A2644"/>
    <w:multiLevelType w:val="hybridMultilevel"/>
    <w:tmpl w:val="7A92B4B2"/>
    <w:lvl w:ilvl="0" w:tplc="C7AA7750">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942823"/>
    <w:multiLevelType w:val="hybridMultilevel"/>
    <w:tmpl w:val="DFB01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9910C1"/>
    <w:multiLevelType w:val="hybridMultilevel"/>
    <w:tmpl w:val="E4122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D34202"/>
    <w:multiLevelType w:val="hybridMultilevel"/>
    <w:tmpl w:val="EEA4CAA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B146E9"/>
    <w:multiLevelType w:val="hybridMultilevel"/>
    <w:tmpl w:val="4B742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B316B9"/>
    <w:multiLevelType w:val="hybridMultilevel"/>
    <w:tmpl w:val="D26AC2B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C9069A"/>
    <w:multiLevelType w:val="hybridMultilevel"/>
    <w:tmpl w:val="08B08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A44B18"/>
    <w:multiLevelType w:val="hybridMultilevel"/>
    <w:tmpl w:val="47363F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BD2A11"/>
    <w:multiLevelType w:val="hybridMultilevel"/>
    <w:tmpl w:val="083A1D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4BC2ECB"/>
    <w:multiLevelType w:val="hybridMultilevel"/>
    <w:tmpl w:val="BBCAC7A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191C07"/>
    <w:multiLevelType w:val="hybridMultilevel"/>
    <w:tmpl w:val="EC5E8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C279EB"/>
    <w:multiLevelType w:val="hybridMultilevel"/>
    <w:tmpl w:val="0A98DB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3"/>
  </w:num>
  <w:num w:numId="2">
    <w:abstractNumId w:val="12"/>
  </w:num>
  <w:num w:numId="3">
    <w:abstractNumId w:val="25"/>
  </w:num>
  <w:num w:numId="4">
    <w:abstractNumId w:val="16"/>
  </w:num>
  <w:num w:numId="5">
    <w:abstractNumId w:val="6"/>
  </w:num>
  <w:num w:numId="6">
    <w:abstractNumId w:val="11"/>
  </w:num>
  <w:num w:numId="7">
    <w:abstractNumId w:val="7"/>
  </w:num>
  <w:num w:numId="8">
    <w:abstractNumId w:val="0"/>
  </w:num>
  <w:num w:numId="9">
    <w:abstractNumId w:val="26"/>
  </w:num>
  <w:num w:numId="10">
    <w:abstractNumId w:val="0"/>
  </w:num>
  <w:num w:numId="11">
    <w:abstractNumId w:val="19"/>
  </w:num>
  <w:num w:numId="12">
    <w:abstractNumId w:val="4"/>
  </w:num>
  <w:num w:numId="13">
    <w:abstractNumId w:val="17"/>
  </w:num>
  <w:num w:numId="14">
    <w:abstractNumId w:val="18"/>
  </w:num>
  <w:num w:numId="15">
    <w:abstractNumId w:val="20"/>
  </w:num>
  <w:num w:numId="16">
    <w:abstractNumId w:val="14"/>
  </w:num>
  <w:num w:numId="17">
    <w:abstractNumId w:val="21"/>
  </w:num>
  <w:num w:numId="18">
    <w:abstractNumId w:val="9"/>
  </w:num>
  <w:num w:numId="19">
    <w:abstractNumId w:val="5"/>
  </w:num>
  <w:num w:numId="20">
    <w:abstractNumId w:val="3"/>
  </w:num>
  <w:num w:numId="21">
    <w:abstractNumId w:val="13"/>
  </w:num>
  <w:num w:numId="22">
    <w:abstractNumId w:val="22"/>
  </w:num>
  <w:num w:numId="23">
    <w:abstractNumId w:val="24"/>
  </w:num>
  <w:num w:numId="24">
    <w:abstractNumId w:val="15"/>
  </w:num>
  <w:num w:numId="25">
    <w:abstractNumId w:val="1"/>
  </w:num>
  <w:num w:numId="26">
    <w:abstractNumId w:val="8"/>
  </w:num>
  <w:num w:numId="27">
    <w:abstractNumId w:val="2"/>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227"/>
    <w:rsid w:val="000128B7"/>
    <w:rsid w:val="0003426C"/>
    <w:rsid w:val="00037E29"/>
    <w:rsid w:val="00044094"/>
    <w:rsid w:val="00046978"/>
    <w:rsid w:val="00060537"/>
    <w:rsid w:val="00060583"/>
    <w:rsid w:val="0006443B"/>
    <w:rsid w:val="0008029B"/>
    <w:rsid w:val="00082EEA"/>
    <w:rsid w:val="000A1F2C"/>
    <w:rsid w:val="000B6500"/>
    <w:rsid w:val="000C16D4"/>
    <w:rsid w:val="000D0AEE"/>
    <w:rsid w:val="000D2982"/>
    <w:rsid w:val="000E237D"/>
    <w:rsid w:val="000F1402"/>
    <w:rsid w:val="001072AD"/>
    <w:rsid w:val="00116478"/>
    <w:rsid w:val="001175C4"/>
    <w:rsid w:val="00123494"/>
    <w:rsid w:val="00131478"/>
    <w:rsid w:val="00133C6D"/>
    <w:rsid w:val="00142E66"/>
    <w:rsid w:val="0014401D"/>
    <w:rsid w:val="00157B0F"/>
    <w:rsid w:val="00167423"/>
    <w:rsid w:val="001726FA"/>
    <w:rsid w:val="001772C9"/>
    <w:rsid w:val="001778BE"/>
    <w:rsid w:val="001952BF"/>
    <w:rsid w:val="001A6737"/>
    <w:rsid w:val="001A71AA"/>
    <w:rsid w:val="001F3699"/>
    <w:rsid w:val="001F635E"/>
    <w:rsid w:val="00201190"/>
    <w:rsid w:val="00205B02"/>
    <w:rsid w:val="00206430"/>
    <w:rsid w:val="00210D60"/>
    <w:rsid w:val="0021283A"/>
    <w:rsid w:val="0021738D"/>
    <w:rsid w:val="00217B5C"/>
    <w:rsid w:val="00217E84"/>
    <w:rsid w:val="002211A1"/>
    <w:rsid w:val="002270A2"/>
    <w:rsid w:val="00240A0A"/>
    <w:rsid w:val="00251007"/>
    <w:rsid w:val="00253331"/>
    <w:rsid w:val="002550EB"/>
    <w:rsid w:val="00256011"/>
    <w:rsid w:val="0026596B"/>
    <w:rsid w:val="00274249"/>
    <w:rsid w:val="00280783"/>
    <w:rsid w:val="00284F02"/>
    <w:rsid w:val="002B4ADF"/>
    <w:rsid w:val="002D2B9B"/>
    <w:rsid w:val="002D3EE1"/>
    <w:rsid w:val="002D7BD0"/>
    <w:rsid w:val="002E09FD"/>
    <w:rsid w:val="002E61CF"/>
    <w:rsid w:val="00303FED"/>
    <w:rsid w:val="003102F9"/>
    <w:rsid w:val="0034402E"/>
    <w:rsid w:val="00345F03"/>
    <w:rsid w:val="003501CC"/>
    <w:rsid w:val="00354905"/>
    <w:rsid w:val="00365490"/>
    <w:rsid w:val="00365B4A"/>
    <w:rsid w:val="003701BC"/>
    <w:rsid w:val="003849D5"/>
    <w:rsid w:val="003873C7"/>
    <w:rsid w:val="00391DA5"/>
    <w:rsid w:val="00394725"/>
    <w:rsid w:val="003A184B"/>
    <w:rsid w:val="003A556C"/>
    <w:rsid w:val="003A6994"/>
    <w:rsid w:val="003B4AFC"/>
    <w:rsid w:val="003C23A0"/>
    <w:rsid w:val="003C280F"/>
    <w:rsid w:val="003E0C4F"/>
    <w:rsid w:val="003E12E4"/>
    <w:rsid w:val="003E4262"/>
    <w:rsid w:val="0040105D"/>
    <w:rsid w:val="00401EEA"/>
    <w:rsid w:val="00403AF3"/>
    <w:rsid w:val="004041FF"/>
    <w:rsid w:val="00406482"/>
    <w:rsid w:val="00407BE0"/>
    <w:rsid w:val="00412852"/>
    <w:rsid w:val="00424C0E"/>
    <w:rsid w:val="00425BEF"/>
    <w:rsid w:val="00431681"/>
    <w:rsid w:val="00434279"/>
    <w:rsid w:val="00453D8C"/>
    <w:rsid w:val="00475283"/>
    <w:rsid w:val="00484FC9"/>
    <w:rsid w:val="004A41BD"/>
    <w:rsid w:val="004C350C"/>
    <w:rsid w:val="004C5216"/>
    <w:rsid w:val="004C7C04"/>
    <w:rsid w:val="004D1786"/>
    <w:rsid w:val="00512319"/>
    <w:rsid w:val="00512B39"/>
    <w:rsid w:val="005175A0"/>
    <w:rsid w:val="005208D0"/>
    <w:rsid w:val="00533C70"/>
    <w:rsid w:val="00534E63"/>
    <w:rsid w:val="005372E6"/>
    <w:rsid w:val="005647D2"/>
    <w:rsid w:val="00565619"/>
    <w:rsid w:val="00570C67"/>
    <w:rsid w:val="00582F0E"/>
    <w:rsid w:val="005A2DBE"/>
    <w:rsid w:val="005A5622"/>
    <w:rsid w:val="005A72E9"/>
    <w:rsid w:val="005B23FA"/>
    <w:rsid w:val="005B3317"/>
    <w:rsid w:val="005C2999"/>
    <w:rsid w:val="005F45F4"/>
    <w:rsid w:val="005F4A52"/>
    <w:rsid w:val="005F68BE"/>
    <w:rsid w:val="0060125C"/>
    <w:rsid w:val="006259BF"/>
    <w:rsid w:val="00627E74"/>
    <w:rsid w:val="00631078"/>
    <w:rsid w:val="006438E9"/>
    <w:rsid w:val="00664FED"/>
    <w:rsid w:val="00684C5A"/>
    <w:rsid w:val="00685776"/>
    <w:rsid w:val="0069028D"/>
    <w:rsid w:val="00691AA0"/>
    <w:rsid w:val="006975B4"/>
    <w:rsid w:val="006B4564"/>
    <w:rsid w:val="006C60A2"/>
    <w:rsid w:val="006D7385"/>
    <w:rsid w:val="006F09FB"/>
    <w:rsid w:val="006F789D"/>
    <w:rsid w:val="006F7E8B"/>
    <w:rsid w:val="0070614C"/>
    <w:rsid w:val="00730662"/>
    <w:rsid w:val="0073246C"/>
    <w:rsid w:val="007474E1"/>
    <w:rsid w:val="00750F56"/>
    <w:rsid w:val="0075705B"/>
    <w:rsid w:val="00770EA4"/>
    <w:rsid w:val="00777D16"/>
    <w:rsid w:val="00781D47"/>
    <w:rsid w:val="00785B2F"/>
    <w:rsid w:val="0079010D"/>
    <w:rsid w:val="007A29EF"/>
    <w:rsid w:val="007A7172"/>
    <w:rsid w:val="007B040B"/>
    <w:rsid w:val="007B0D9A"/>
    <w:rsid w:val="007B0EA4"/>
    <w:rsid w:val="007C38E2"/>
    <w:rsid w:val="008072F7"/>
    <w:rsid w:val="0081196E"/>
    <w:rsid w:val="00821877"/>
    <w:rsid w:val="00830FC5"/>
    <w:rsid w:val="0083308E"/>
    <w:rsid w:val="00845AD4"/>
    <w:rsid w:val="00847B54"/>
    <w:rsid w:val="00851122"/>
    <w:rsid w:val="0085230B"/>
    <w:rsid w:val="0086246A"/>
    <w:rsid w:val="008677F0"/>
    <w:rsid w:val="00875380"/>
    <w:rsid w:val="00875DC9"/>
    <w:rsid w:val="008826C3"/>
    <w:rsid w:val="00884B0C"/>
    <w:rsid w:val="00895034"/>
    <w:rsid w:val="008B0854"/>
    <w:rsid w:val="008B5E29"/>
    <w:rsid w:val="008C0909"/>
    <w:rsid w:val="008C11F1"/>
    <w:rsid w:val="008D114F"/>
    <w:rsid w:val="008E5220"/>
    <w:rsid w:val="008F23D1"/>
    <w:rsid w:val="009026B8"/>
    <w:rsid w:val="00906505"/>
    <w:rsid w:val="00911F85"/>
    <w:rsid w:val="00921DBD"/>
    <w:rsid w:val="009223A9"/>
    <w:rsid w:val="00926F48"/>
    <w:rsid w:val="00945D04"/>
    <w:rsid w:val="00947063"/>
    <w:rsid w:val="00950BC8"/>
    <w:rsid w:val="00951E80"/>
    <w:rsid w:val="00952D47"/>
    <w:rsid w:val="00964EDD"/>
    <w:rsid w:val="00965227"/>
    <w:rsid w:val="009833AD"/>
    <w:rsid w:val="00983973"/>
    <w:rsid w:val="00987E74"/>
    <w:rsid w:val="009905E5"/>
    <w:rsid w:val="009938C2"/>
    <w:rsid w:val="009A0DA0"/>
    <w:rsid w:val="009A1913"/>
    <w:rsid w:val="009D21F3"/>
    <w:rsid w:val="009D439B"/>
    <w:rsid w:val="009D7168"/>
    <w:rsid w:val="009E2F23"/>
    <w:rsid w:val="00A00D27"/>
    <w:rsid w:val="00A03C4F"/>
    <w:rsid w:val="00A0639C"/>
    <w:rsid w:val="00A34C8D"/>
    <w:rsid w:val="00A36319"/>
    <w:rsid w:val="00A400E8"/>
    <w:rsid w:val="00A40B16"/>
    <w:rsid w:val="00A63581"/>
    <w:rsid w:val="00A647E3"/>
    <w:rsid w:val="00A72A96"/>
    <w:rsid w:val="00A759EA"/>
    <w:rsid w:val="00A967F8"/>
    <w:rsid w:val="00AA0698"/>
    <w:rsid w:val="00AA4086"/>
    <w:rsid w:val="00AB2ED8"/>
    <w:rsid w:val="00AC25C7"/>
    <w:rsid w:val="00AD0FA5"/>
    <w:rsid w:val="00AF08EF"/>
    <w:rsid w:val="00B15939"/>
    <w:rsid w:val="00B42747"/>
    <w:rsid w:val="00B43902"/>
    <w:rsid w:val="00B471B0"/>
    <w:rsid w:val="00B477A7"/>
    <w:rsid w:val="00B5046C"/>
    <w:rsid w:val="00B773C2"/>
    <w:rsid w:val="00B87672"/>
    <w:rsid w:val="00BA13C2"/>
    <w:rsid w:val="00BA4CEC"/>
    <w:rsid w:val="00BB4759"/>
    <w:rsid w:val="00BC5859"/>
    <w:rsid w:val="00BD3558"/>
    <w:rsid w:val="00BD69AD"/>
    <w:rsid w:val="00BE47FD"/>
    <w:rsid w:val="00BE5DB6"/>
    <w:rsid w:val="00BE6982"/>
    <w:rsid w:val="00BE7DC0"/>
    <w:rsid w:val="00BF0CA8"/>
    <w:rsid w:val="00BF423B"/>
    <w:rsid w:val="00BF5F6A"/>
    <w:rsid w:val="00C10AFF"/>
    <w:rsid w:val="00C11E54"/>
    <w:rsid w:val="00C12F44"/>
    <w:rsid w:val="00C16F71"/>
    <w:rsid w:val="00C279E4"/>
    <w:rsid w:val="00C532DA"/>
    <w:rsid w:val="00C62A22"/>
    <w:rsid w:val="00C868F7"/>
    <w:rsid w:val="00C86FEF"/>
    <w:rsid w:val="00C87109"/>
    <w:rsid w:val="00CA0624"/>
    <w:rsid w:val="00CB2338"/>
    <w:rsid w:val="00CB7F1F"/>
    <w:rsid w:val="00CC5B3B"/>
    <w:rsid w:val="00CD7947"/>
    <w:rsid w:val="00CE23A9"/>
    <w:rsid w:val="00CE7BF6"/>
    <w:rsid w:val="00CF1D6F"/>
    <w:rsid w:val="00CF5EE7"/>
    <w:rsid w:val="00D01B28"/>
    <w:rsid w:val="00D167CC"/>
    <w:rsid w:val="00D177D4"/>
    <w:rsid w:val="00D330E0"/>
    <w:rsid w:val="00D41FAE"/>
    <w:rsid w:val="00D44447"/>
    <w:rsid w:val="00D54348"/>
    <w:rsid w:val="00D6347A"/>
    <w:rsid w:val="00D63DB5"/>
    <w:rsid w:val="00DA0B18"/>
    <w:rsid w:val="00DA36ED"/>
    <w:rsid w:val="00DA581F"/>
    <w:rsid w:val="00DC559A"/>
    <w:rsid w:val="00DD16F1"/>
    <w:rsid w:val="00DD7816"/>
    <w:rsid w:val="00DE1443"/>
    <w:rsid w:val="00DE23A3"/>
    <w:rsid w:val="00DE4D6F"/>
    <w:rsid w:val="00DF0272"/>
    <w:rsid w:val="00DF4B85"/>
    <w:rsid w:val="00E20F60"/>
    <w:rsid w:val="00E34AD2"/>
    <w:rsid w:val="00E35243"/>
    <w:rsid w:val="00E52AF3"/>
    <w:rsid w:val="00E53AC9"/>
    <w:rsid w:val="00E55F1E"/>
    <w:rsid w:val="00E7442F"/>
    <w:rsid w:val="00E74CB0"/>
    <w:rsid w:val="00EA348B"/>
    <w:rsid w:val="00EA4204"/>
    <w:rsid w:val="00EB30BB"/>
    <w:rsid w:val="00EC115A"/>
    <w:rsid w:val="00EC128D"/>
    <w:rsid w:val="00EC541F"/>
    <w:rsid w:val="00EE4015"/>
    <w:rsid w:val="00EF5F46"/>
    <w:rsid w:val="00EF6322"/>
    <w:rsid w:val="00F0155D"/>
    <w:rsid w:val="00F05EFE"/>
    <w:rsid w:val="00F14DF5"/>
    <w:rsid w:val="00F16287"/>
    <w:rsid w:val="00F2168A"/>
    <w:rsid w:val="00F24798"/>
    <w:rsid w:val="00F25619"/>
    <w:rsid w:val="00F32CBD"/>
    <w:rsid w:val="00F40423"/>
    <w:rsid w:val="00F4376D"/>
    <w:rsid w:val="00F5272B"/>
    <w:rsid w:val="00F72EE7"/>
    <w:rsid w:val="00F74502"/>
    <w:rsid w:val="00F74871"/>
    <w:rsid w:val="00F76883"/>
    <w:rsid w:val="00F902C6"/>
    <w:rsid w:val="00F9079B"/>
    <w:rsid w:val="00F93437"/>
    <w:rsid w:val="00FA3370"/>
    <w:rsid w:val="00FB794F"/>
    <w:rsid w:val="00FD4D16"/>
    <w:rsid w:val="00FE58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8C35669"/>
  <w15:docId w15:val="{8E697B2C-8988-4E6F-B437-601A41391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23FA"/>
    <w:pPr>
      <w:spacing w:after="0" w:line="240" w:lineRule="auto"/>
      <w:outlineLvl w:val="0"/>
    </w:pPr>
    <w:rPr>
      <w:b/>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5227"/>
    <w:pPr>
      <w:ind w:left="720"/>
      <w:contextualSpacing/>
    </w:pPr>
  </w:style>
  <w:style w:type="character" w:styleId="Hyperlink">
    <w:name w:val="Hyperlink"/>
    <w:basedOn w:val="DefaultParagraphFont"/>
    <w:uiPriority w:val="99"/>
    <w:unhideWhenUsed/>
    <w:rsid w:val="00484FC9"/>
    <w:rPr>
      <w:color w:val="0000FF" w:themeColor="hyperlink"/>
      <w:u w:val="single"/>
    </w:rPr>
  </w:style>
  <w:style w:type="character" w:styleId="FollowedHyperlink">
    <w:name w:val="FollowedHyperlink"/>
    <w:basedOn w:val="DefaultParagraphFont"/>
    <w:uiPriority w:val="99"/>
    <w:semiHidden/>
    <w:unhideWhenUsed/>
    <w:rsid w:val="008C11F1"/>
    <w:rPr>
      <w:color w:val="800080" w:themeColor="followedHyperlink"/>
      <w:u w:val="single"/>
    </w:rPr>
  </w:style>
  <w:style w:type="character" w:styleId="CommentReference">
    <w:name w:val="annotation reference"/>
    <w:basedOn w:val="DefaultParagraphFont"/>
    <w:uiPriority w:val="99"/>
    <w:semiHidden/>
    <w:unhideWhenUsed/>
    <w:rsid w:val="009833AD"/>
    <w:rPr>
      <w:sz w:val="16"/>
      <w:szCs w:val="16"/>
    </w:rPr>
  </w:style>
  <w:style w:type="paragraph" w:styleId="CommentText">
    <w:name w:val="annotation text"/>
    <w:basedOn w:val="Normal"/>
    <w:link w:val="CommentTextChar"/>
    <w:uiPriority w:val="99"/>
    <w:semiHidden/>
    <w:unhideWhenUsed/>
    <w:rsid w:val="009833AD"/>
    <w:pPr>
      <w:spacing w:line="240" w:lineRule="auto"/>
    </w:pPr>
    <w:rPr>
      <w:sz w:val="20"/>
      <w:szCs w:val="20"/>
    </w:rPr>
  </w:style>
  <w:style w:type="character" w:customStyle="1" w:styleId="CommentTextChar">
    <w:name w:val="Comment Text Char"/>
    <w:basedOn w:val="DefaultParagraphFont"/>
    <w:link w:val="CommentText"/>
    <w:uiPriority w:val="99"/>
    <w:semiHidden/>
    <w:rsid w:val="009833AD"/>
    <w:rPr>
      <w:sz w:val="20"/>
      <w:szCs w:val="20"/>
    </w:rPr>
  </w:style>
  <w:style w:type="paragraph" w:styleId="CommentSubject">
    <w:name w:val="annotation subject"/>
    <w:basedOn w:val="CommentText"/>
    <w:next w:val="CommentText"/>
    <w:link w:val="CommentSubjectChar"/>
    <w:uiPriority w:val="99"/>
    <w:semiHidden/>
    <w:unhideWhenUsed/>
    <w:rsid w:val="009833AD"/>
    <w:rPr>
      <w:b/>
      <w:bCs/>
    </w:rPr>
  </w:style>
  <w:style w:type="character" w:customStyle="1" w:styleId="CommentSubjectChar">
    <w:name w:val="Comment Subject Char"/>
    <w:basedOn w:val="CommentTextChar"/>
    <w:link w:val="CommentSubject"/>
    <w:uiPriority w:val="99"/>
    <w:semiHidden/>
    <w:rsid w:val="009833AD"/>
    <w:rPr>
      <w:b/>
      <w:bCs/>
      <w:sz w:val="20"/>
      <w:szCs w:val="20"/>
    </w:rPr>
  </w:style>
  <w:style w:type="paragraph" w:styleId="BalloonText">
    <w:name w:val="Balloon Text"/>
    <w:basedOn w:val="Normal"/>
    <w:link w:val="BalloonTextChar"/>
    <w:uiPriority w:val="99"/>
    <w:semiHidden/>
    <w:unhideWhenUsed/>
    <w:rsid w:val="009833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33AD"/>
    <w:rPr>
      <w:rFonts w:ascii="Tahoma" w:hAnsi="Tahoma" w:cs="Tahoma"/>
      <w:sz w:val="16"/>
      <w:szCs w:val="16"/>
    </w:rPr>
  </w:style>
  <w:style w:type="character" w:customStyle="1" w:styleId="UnresolvedMention1">
    <w:name w:val="Unresolved Mention1"/>
    <w:basedOn w:val="DefaultParagraphFont"/>
    <w:uiPriority w:val="99"/>
    <w:semiHidden/>
    <w:unhideWhenUsed/>
    <w:rsid w:val="00951E80"/>
    <w:rPr>
      <w:color w:val="808080"/>
      <w:shd w:val="clear" w:color="auto" w:fill="E6E6E6"/>
    </w:rPr>
  </w:style>
  <w:style w:type="table" w:styleId="TableGrid">
    <w:name w:val="Table Grid"/>
    <w:basedOn w:val="TableNormal"/>
    <w:uiPriority w:val="59"/>
    <w:rsid w:val="00BF4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43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4348"/>
  </w:style>
  <w:style w:type="paragraph" w:styleId="Footer">
    <w:name w:val="footer"/>
    <w:basedOn w:val="Normal"/>
    <w:link w:val="FooterChar"/>
    <w:uiPriority w:val="99"/>
    <w:unhideWhenUsed/>
    <w:rsid w:val="00D543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4348"/>
  </w:style>
  <w:style w:type="character" w:customStyle="1" w:styleId="Heading1Char">
    <w:name w:val="Heading 1 Char"/>
    <w:basedOn w:val="DefaultParagraphFont"/>
    <w:link w:val="Heading1"/>
    <w:uiPriority w:val="9"/>
    <w:rsid w:val="005B23FA"/>
    <w:rPr>
      <w:b/>
      <w:color w:val="0000FF"/>
    </w:rPr>
  </w:style>
  <w:style w:type="paragraph" w:styleId="TOCHeading">
    <w:name w:val="TOC Heading"/>
    <w:basedOn w:val="Heading1"/>
    <w:next w:val="Normal"/>
    <w:uiPriority w:val="39"/>
    <w:unhideWhenUsed/>
    <w:qFormat/>
    <w:rsid w:val="005B23FA"/>
    <w:pPr>
      <w:keepNext/>
      <w:keepLines/>
      <w:spacing w:before="240" w:line="259" w:lineRule="auto"/>
      <w:outlineLvl w:val="9"/>
    </w:pPr>
    <w:rPr>
      <w:rFonts w:asciiTheme="majorHAnsi" w:eastAsiaTheme="majorEastAsia" w:hAnsiTheme="majorHAnsi" w:cstheme="majorBidi"/>
      <w:b w:val="0"/>
      <w:color w:val="365F91" w:themeColor="accent1" w:themeShade="BF"/>
      <w:sz w:val="32"/>
      <w:szCs w:val="32"/>
      <w:lang w:val="en-US"/>
    </w:rPr>
  </w:style>
  <w:style w:type="paragraph" w:styleId="TOC1">
    <w:name w:val="toc 1"/>
    <w:basedOn w:val="Normal"/>
    <w:next w:val="Normal"/>
    <w:autoRedefine/>
    <w:uiPriority w:val="39"/>
    <w:unhideWhenUsed/>
    <w:rsid w:val="00425BEF"/>
    <w:pPr>
      <w:pBdr>
        <w:bottom w:val="single" w:sz="4" w:space="1" w:color="auto"/>
      </w:pBdr>
      <w:tabs>
        <w:tab w:val="right" w:leader="dot" w:pos="8834"/>
      </w:tabs>
      <w:spacing w:after="0" w:line="240" w:lineRule="auto"/>
    </w:pPr>
  </w:style>
  <w:style w:type="paragraph" w:styleId="Revision">
    <w:name w:val="Revision"/>
    <w:hidden/>
    <w:uiPriority w:val="99"/>
    <w:semiHidden/>
    <w:rsid w:val="003E12E4"/>
    <w:pPr>
      <w:spacing w:after="0" w:line="240" w:lineRule="auto"/>
    </w:pPr>
  </w:style>
  <w:style w:type="character" w:styleId="UnresolvedMention">
    <w:name w:val="Unresolved Mention"/>
    <w:basedOn w:val="DefaultParagraphFont"/>
    <w:uiPriority w:val="99"/>
    <w:semiHidden/>
    <w:unhideWhenUsed/>
    <w:rsid w:val="000A1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323771">
      <w:bodyDiv w:val="1"/>
      <w:marLeft w:val="0"/>
      <w:marRight w:val="0"/>
      <w:marTop w:val="0"/>
      <w:marBottom w:val="0"/>
      <w:divBdr>
        <w:top w:val="none" w:sz="0" w:space="0" w:color="auto"/>
        <w:left w:val="none" w:sz="0" w:space="0" w:color="auto"/>
        <w:bottom w:val="none" w:sz="0" w:space="0" w:color="auto"/>
        <w:right w:val="none" w:sz="0" w:space="0" w:color="auto"/>
      </w:divBdr>
    </w:div>
    <w:div w:id="307394160">
      <w:bodyDiv w:val="1"/>
      <w:marLeft w:val="0"/>
      <w:marRight w:val="0"/>
      <w:marTop w:val="0"/>
      <w:marBottom w:val="0"/>
      <w:divBdr>
        <w:top w:val="none" w:sz="0" w:space="0" w:color="auto"/>
        <w:left w:val="none" w:sz="0" w:space="0" w:color="auto"/>
        <w:bottom w:val="none" w:sz="0" w:space="0" w:color="auto"/>
        <w:right w:val="none" w:sz="0" w:space="0" w:color="auto"/>
      </w:divBdr>
    </w:div>
    <w:div w:id="461315328">
      <w:bodyDiv w:val="1"/>
      <w:marLeft w:val="0"/>
      <w:marRight w:val="0"/>
      <w:marTop w:val="0"/>
      <w:marBottom w:val="0"/>
      <w:divBdr>
        <w:top w:val="none" w:sz="0" w:space="0" w:color="auto"/>
        <w:left w:val="none" w:sz="0" w:space="0" w:color="auto"/>
        <w:bottom w:val="none" w:sz="0" w:space="0" w:color="auto"/>
        <w:right w:val="none" w:sz="0" w:space="0" w:color="auto"/>
      </w:divBdr>
    </w:div>
    <w:div w:id="852186964">
      <w:bodyDiv w:val="1"/>
      <w:marLeft w:val="0"/>
      <w:marRight w:val="0"/>
      <w:marTop w:val="0"/>
      <w:marBottom w:val="0"/>
      <w:divBdr>
        <w:top w:val="none" w:sz="0" w:space="0" w:color="auto"/>
        <w:left w:val="none" w:sz="0" w:space="0" w:color="auto"/>
        <w:bottom w:val="none" w:sz="0" w:space="0" w:color="auto"/>
        <w:right w:val="none" w:sz="0" w:space="0" w:color="auto"/>
      </w:divBdr>
    </w:div>
    <w:div w:id="871066882">
      <w:bodyDiv w:val="1"/>
      <w:marLeft w:val="0"/>
      <w:marRight w:val="0"/>
      <w:marTop w:val="0"/>
      <w:marBottom w:val="0"/>
      <w:divBdr>
        <w:top w:val="none" w:sz="0" w:space="0" w:color="auto"/>
        <w:left w:val="none" w:sz="0" w:space="0" w:color="auto"/>
        <w:bottom w:val="none" w:sz="0" w:space="0" w:color="auto"/>
        <w:right w:val="none" w:sz="0" w:space="0" w:color="auto"/>
      </w:divBdr>
    </w:div>
    <w:div w:id="964235758">
      <w:bodyDiv w:val="1"/>
      <w:marLeft w:val="0"/>
      <w:marRight w:val="0"/>
      <w:marTop w:val="0"/>
      <w:marBottom w:val="0"/>
      <w:divBdr>
        <w:top w:val="none" w:sz="0" w:space="0" w:color="auto"/>
        <w:left w:val="none" w:sz="0" w:space="0" w:color="auto"/>
        <w:bottom w:val="none" w:sz="0" w:space="0" w:color="auto"/>
        <w:right w:val="none" w:sz="0" w:space="0" w:color="auto"/>
      </w:divBdr>
    </w:div>
    <w:div w:id="1076247852">
      <w:bodyDiv w:val="1"/>
      <w:marLeft w:val="0"/>
      <w:marRight w:val="0"/>
      <w:marTop w:val="0"/>
      <w:marBottom w:val="0"/>
      <w:divBdr>
        <w:top w:val="none" w:sz="0" w:space="0" w:color="auto"/>
        <w:left w:val="none" w:sz="0" w:space="0" w:color="auto"/>
        <w:bottom w:val="none" w:sz="0" w:space="0" w:color="auto"/>
        <w:right w:val="none" w:sz="0" w:space="0" w:color="auto"/>
      </w:divBdr>
    </w:div>
    <w:div w:id="1435058084">
      <w:bodyDiv w:val="1"/>
      <w:marLeft w:val="0"/>
      <w:marRight w:val="0"/>
      <w:marTop w:val="0"/>
      <w:marBottom w:val="0"/>
      <w:divBdr>
        <w:top w:val="none" w:sz="0" w:space="0" w:color="auto"/>
        <w:left w:val="none" w:sz="0" w:space="0" w:color="auto"/>
        <w:bottom w:val="none" w:sz="0" w:space="0" w:color="auto"/>
        <w:right w:val="none" w:sz="0" w:space="0" w:color="auto"/>
      </w:divBdr>
    </w:div>
    <w:div w:id="1503162950">
      <w:bodyDiv w:val="1"/>
      <w:marLeft w:val="0"/>
      <w:marRight w:val="0"/>
      <w:marTop w:val="0"/>
      <w:marBottom w:val="0"/>
      <w:divBdr>
        <w:top w:val="none" w:sz="0" w:space="0" w:color="auto"/>
        <w:left w:val="none" w:sz="0" w:space="0" w:color="auto"/>
        <w:bottom w:val="none" w:sz="0" w:space="0" w:color="auto"/>
        <w:right w:val="none" w:sz="0" w:space="0" w:color="auto"/>
      </w:divBdr>
    </w:div>
    <w:div w:id="1785028748">
      <w:bodyDiv w:val="1"/>
      <w:marLeft w:val="0"/>
      <w:marRight w:val="0"/>
      <w:marTop w:val="0"/>
      <w:marBottom w:val="0"/>
      <w:divBdr>
        <w:top w:val="none" w:sz="0" w:space="0" w:color="auto"/>
        <w:left w:val="none" w:sz="0" w:space="0" w:color="auto"/>
        <w:bottom w:val="none" w:sz="0" w:space="0" w:color="auto"/>
        <w:right w:val="none" w:sz="0" w:space="0" w:color="auto"/>
      </w:divBdr>
    </w:div>
    <w:div w:id="1834643207">
      <w:bodyDiv w:val="1"/>
      <w:marLeft w:val="0"/>
      <w:marRight w:val="0"/>
      <w:marTop w:val="0"/>
      <w:marBottom w:val="0"/>
      <w:divBdr>
        <w:top w:val="none" w:sz="0" w:space="0" w:color="auto"/>
        <w:left w:val="none" w:sz="0" w:space="0" w:color="auto"/>
        <w:bottom w:val="none" w:sz="0" w:space="0" w:color="auto"/>
        <w:right w:val="none" w:sz="0" w:space="0" w:color="auto"/>
      </w:divBdr>
    </w:div>
    <w:div w:id="209600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redd.net/documents/global-programme-191/community-based-redd-2992/16130-cbr-brochure-updated-may-2017.html" TargetMode="External"/><Relationship Id="rId18" Type="http://schemas.openxmlformats.org/officeDocument/2006/relationships/hyperlink" Target="http://www.un-redd.org/single-post/2018/06/21/Community-Based-REDD-Programme-in-Nigeria-a-success-story" TargetMode="External"/><Relationship Id="rId26" Type="http://schemas.openxmlformats.org/officeDocument/2006/relationships/hyperlink" Target="https://www.regjeringen.no/en/topics/climate-and-environment/climate/climate-and-forest-initiative/kos-innsikt/samarbeidspartnere/id2345203/" TargetMode="External"/><Relationship Id="rId3" Type="http://schemas.openxmlformats.org/officeDocument/2006/relationships/customXml" Target="../customXml/item3.xml"/><Relationship Id="rId21" Type="http://schemas.openxmlformats.org/officeDocument/2006/relationships/hyperlink" Target="http://www.ppdpanama.org/files/publicaciones/Lecciones_aprendidas_PPD_2017_FINAL_WEB.pdf" TargetMode="External"/><Relationship Id="rId7" Type="http://schemas.openxmlformats.org/officeDocument/2006/relationships/settings" Target="settings.xml"/><Relationship Id="rId12" Type="http://schemas.openxmlformats.org/officeDocument/2006/relationships/hyperlink" Target="https://www.unredd.net/documents/policy-board-86/15th-policy-board-meeting-san-jose-costa-rica-7-10-november-2015/joint-un-reddfcpf-knowledge-exchange-day/session-7-social-inclusion-and-redd-1/14844-community-based-redd-cbr-fact-sheet.html?path=policy-board-86/15th-policy-board-meeting-san-jose-costa-rica-7-10-november-2015/joint-un-reddfcpf-knowledge-exchange-day/session-7-social-inclusion-and-redd-1" TargetMode="External"/><Relationship Id="rId17" Type="http://schemas.openxmlformats.org/officeDocument/2006/relationships/hyperlink" Target="https://twitter.com/PNUDRDC/status/999966918034501632" TargetMode="External"/><Relationship Id="rId25" Type="http://schemas.openxmlformats.org/officeDocument/2006/relationships/hyperlink" Target="https://www.unredd.net/documents/global-programme-191/community-based-redd-2992/16530-sri-lanka-cbr-review-brief/file.html" TargetMode="External"/><Relationship Id="rId2" Type="http://schemas.openxmlformats.org/officeDocument/2006/relationships/customXml" Target="../customXml/item2.xml"/><Relationship Id="rId16" Type="http://schemas.openxmlformats.org/officeDocument/2006/relationships/hyperlink" Target="https://medium.com/@UNDP/guardians-of-the-forest-431c639818ae" TargetMode="External"/><Relationship Id="rId20" Type="http://schemas.openxmlformats.org/officeDocument/2006/relationships/hyperlink" Target="http://www.ppdpanama.org/files/publicaciones/5._BOSQUES_DE_VIDA_-_Memoria_de_un_taller_de_intercambio.pdf" TargetMode="External"/><Relationship Id="rId29" Type="http://schemas.openxmlformats.org/officeDocument/2006/relationships/hyperlink" Target="http://sdg.iisd.org/commentary/guest-articles/forests-and-gender-a-catalytic-alliance-for-sustainable-develop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fccc.int/topics/mitigation/events-meetings/ndc-regional-dialogues/ndc-regional-dialogues-2018" TargetMode="External"/><Relationship Id="rId24" Type="http://schemas.openxmlformats.org/officeDocument/2006/relationships/hyperlink" Target="https://www.youtube.com/watch?v=8s8n5ZXtwPI"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unredd.net/announcements-and-news/2668-community-based-redd-update-supporting-innovative-community-solutions-in-sri-lanka-and-cambodia.html" TargetMode="External"/><Relationship Id="rId23" Type="http://schemas.openxmlformats.org/officeDocument/2006/relationships/hyperlink" Target="https://www.youtube.com/watch?v=8HkR55bpfak" TargetMode="External"/><Relationship Id="rId28" Type="http://schemas.openxmlformats.org/officeDocument/2006/relationships/hyperlink" Target="https://medium.com/@UNDP/guardians-of-the-forest-431c639818ae" TargetMode="External"/><Relationship Id="rId10" Type="http://schemas.openxmlformats.org/officeDocument/2006/relationships/endnotes" Target="endnotes.xml"/><Relationship Id="rId19" Type="http://schemas.openxmlformats.org/officeDocument/2006/relationships/hyperlink" Target="http://www.pa.undp.org/content/dam/panama/docs/documentos/undp_pa_bosques_de_vida.pdf"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redd.net/documents/global-programme-191/community-based-redd-2992/16012-cbr-progress-update.html" TargetMode="External"/><Relationship Id="rId22" Type="http://schemas.openxmlformats.org/officeDocument/2006/relationships/hyperlink" Target="http://www.pojoaju.org.py/2/wp-content/uploads/2015/10/1.-Plan-de-Acci%C3%B3n-CBR-Paraguay.pdf" TargetMode="External"/><Relationship Id="rId27" Type="http://schemas.openxmlformats.org/officeDocument/2006/relationships/hyperlink" Target="http://www.un-redd.org/single-post/2018/06/21/Community-Based-REDD-Programme-in-Nigeria-a-success-story"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C2CCF91A797E428246BC4DCDA57C52" ma:contentTypeVersion="11" ma:contentTypeDescription="Create a new document." ma:contentTypeScope="" ma:versionID="d523e0fc0234ea33df84cdb991b43b5c">
  <xsd:schema xmlns:xsd="http://www.w3.org/2001/XMLSchema" xmlns:xs="http://www.w3.org/2001/XMLSchema" xmlns:p="http://schemas.microsoft.com/office/2006/metadata/properties" xmlns:ns3="eeeb78c5-bc88-4add-ad32-76fa4a4f666f" xmlns:ns4="0b3a3bc0-3152-477e-b763-ab5b39cf85ac" targetNamespace="http://schemas.microsoft.com/office/2006/metadata/properties" ma:root="true" ma:fieldsID="de71d3ffeb2381fe13f772ca9db0b62c" ns3:_="" ns4:_="">
    <xsd:import namespace="eeeb78c5-bc88-4add-ad32-76fa4a4f666f"/>
    <xsd:import namespace="0b3a3bc0-3152-477e-b763-ab5b39cf85a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eb78c5-bc88-4add-ad32-76fa4a4f66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3a3bc0-3152-477e-b763-ab5b39cf85a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9583E-82B2-41D7-BFEA-1154E187DE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eb78c5-bc88-4add-ad32-76fa4a4f666f"/>
    <ds:schemaRef ds:uri="0b3a3bc0-3152-477e-b763-ab5b39cf85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12F742-2157-475D-BE10-60831BEB3E80}">
  <ds:schemaRefs>
    <ds:schemaRef ds:uri="http://schemas.microsoft.com/sharepoint/v3/contenttype/forms"/>
  </ds:schemaRefs>
</ds:datastoreItem>
</file>

<file path=customXml/itemProps3.xml><?xml version="1.0" encoding="utf-8"?>
<ds:datastoreItem xmlns:ds="http://schemas.openxmlformats.org/officeDocument/2006/customXml" ds:itemID="{605455CB-4D9E-42E6-8744-9221F2920026}">
  <ds:schemaRefs>
    <ds:schemaRef ds:uri="http://schemas.microsoft.com/office/2006/metadata/properties"/>
    <ds:schemaRef ds:uri="http://purl.org/dc/terms/"/>
    <ds:schemaRef ds:uri="eeeb78c5-bc88-4add-ad32-76fa4a4f666f"/>
    <ds:schemaRef ds:uri="http://schemas.openxmlformats.org/package/2006/metadata/core-properties"/>
    <ds:schemaRef ds:uri="http://schemas.microsoft.com/office/2006/documentManagement/types"/>
    <ds:schemaRef ds:uri="0b3a3bc0-3152-477e-b763-ab5b39cf85ac"/>
    <ds:schemaRef ds:uri="http://purl.org/dc/elements/1.1/"/>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203203E0-4AD5-4A4D-A8F9-D59C6A2A3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6067</Words>
  <Characters>34584</Characters>
  <Application>Microsoft Office Word</Application>
  <DocSecurity>4</DocSecurity>
  <Lines>288</Lines>
  <Paragraphs>81</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UN-REDD Programme</Company>
  <LinksUpToDate>false</LinksUpToDate>
  <CharactersWithSpaces>40570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Mihaela Secrieru</dc:creator>
  <cp:lastModifiedBy>Ela Ionescu</cp:lastModifiedBy>
  <cp:revision>2</cp:revision>
  <cp:lastPrinted>2018-06-26T14:02:00Z</cp:lastPrinted>
  <dcterms:created xsi:type="dcterms:W3CDTF">2019-09-21T19:08:00Z</dcterms:created>
  <dcterms:modified xsi:type="dcterms:W3CDTF">2019-09-21T19:08:00Z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0x0101005CC2CCF91A797E428246BC4DCDA57C52</vt:lpwstr>
  </property>
</Properties>
</file>