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A8F53" w14:textId="77777777" w:rsidR="00334D6D" w:rsidRPr="0000499F" w:rsidRDefault="005B771E" w:rsidP="005B771E">
      <w:pPr>
        <w:pStyle w:val="Body"/>
        <w:tabs>
          <w:tab w:val="left" w:pos="4080"/>
        </w:tabs>
        <w:jc w:val="both"/>
        <w:rPr>
          <w:rFonts w:ascii="Calibri" w:eastAsia="Calibri" w:hAnsi="Calibri" w:cs="Calibri"/>
          <w:u w:color="000000"/>
          <w:lang w:val="en-US"/>
        </w:rPr>
      </w:pPr>
      <w:r w:rsidRPr="0000499F">
        <w:rPr>
          <w:rFonts w:ascii="Calibri" w:eastAsia="Calibri" w:hAnsi="Calibri" w:cs="Calibri"/>
          <w:u w:color="000000"/>
          <w:lang w:val="en-US"/>
        </w:rPr>
        <w:tab/>
      </w:r>
    </w:p>
    <w:p w14:paraId="7CD953C4" w14:textId="77777777" w:rsidR="00334D6D" w:rsidRPr="0000499F" w:rsidRDefault="004C5E64" w:rsidP="005B771E">
      <w:pPr>
        <w:pStyle w:val="Body"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 w:cs="Calibri"/>
          <w:b/>
          <w:bCs/>
          <w:u w:color="000000"/>
          <w:lang w:val="en-GB"/>
        </w:rPr>
      </w:pPr>
      <w:r w:rsidRPr="0000499F">
        <w:rPr>
          <w:rFonts w:ascii="Calibri" w:eastAsia="Calibri" w:hAnsi="Calibri" w:cs="Calibri"/>
          <w:b/>
          <w:bCs/>
          <w:u w:color="000000"/>
          <w:lang w:val="en-GB"/>
        </w:rPr>
        <w:t>UN-REDD Programme</w:t>
      </w:r>
    </w:p>
    <w:p w14:paraId="386F86A2" w14:textId="565B29C4" w:rsidR="005B771E" w:rsidRPr="0000499F" w:rsidRDefault="000314A8" w:rsidP="005B771E">
      <w:pPr>
        <w:pStyle w:val="Body"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Calibri" w:eastAsia="Calibri" w:hAnsi="Calibri" w:cs="Calibri"/>
          <w:b/>
          <w:bCs/>
          <w:u w:color="000000"/>
          <w:lang w:val="en-GB"/>
        </w:rPr>
      </w:pPr>
      <w:r w:rsidRPr="0000499F">
        <w:rPr>
          <w:rFonts w:ascii="Calibri" w:eastAsia="Calibri" w:hAnsi="Calibri" w:cs="Calibri"/>
          <w:b/>
          <w:bCs/>
          <w:u w:color="000000"/>
          <w:lang w:val="en-GB"/>
        </w:rPr>
        <w:t>UN-REDD/EB2</w:t>
      </w:r>
      <w:r w:rsidR="009F2FF8">
        <w:rPr>
          <w:rFonts w:ascii="Calibri" w:eastAsia="Calibri" w:hAnsi="Calibri" w:cs="Calibri"/>
          <w:b/>
          <w:bCs/>
          <w:u w:color="000000"/>
          <w:lang w:val="en-GB"/>
        </w:rPr>
        <w:t>/9</w:t>
      </w:r>
    </w:p>
    <w:p w14:paraId="298CB537" w14:textId="77777777" w:rsidR="005B771E" w:rsidRPr="0000499F" w:rsidRDefault="005B771E">
      <w:pPr>
        <w:pStyle w:val="Body"/>
        <w:rPr>
          <w:rFonts w:ascii="Calibri" w:eastAsia="Calibri" w:hAnsi="Calibri" w:cs="Calibri"/>
          <w:b/>
          <w:bCs/>
          <w:u w:color="000000"/>
          <w:lang w:val="en-GB"/>
        </w:rPr>
      </w:pPr>
    </w:p>
    <w:p w14:paraId="1610D9F2" w14:textId="0CC97C6A" w:rsidR="00334D6D" w:rsidRPr="0000499F" w:rsidRDefault="00595818">
      <w:pPr>
        <w:pStyle w:val="Body"/>
        <w:rPr>
          <w:rFonts w:ascii="Calibri" w:eastAsia="Calibri" w:hAnsi="Calibri" w:cs="Calibri"/>
          <w:b/>
          <w:bCs/>
          <w:smallCaps/>
          <w:u w:color="000000"/>
        </w:rPr>
      </w:pPr>
      <w:r w:rsidRPr="0000499F">
        <w:rPr>
          <w:rFonts w:ascii="Calibri" w:eastAsia="Calibri" w:hAnsi="Calibri" w:cs="Calibri"/>
          <w:b/>
          <w:bCs/>
          <w:smallCaps/>
          <w:u w:color="000000"/>
          <w:lang w:val="en-US"/>
        </w:rPr>
        <w:t>Second</w:t>
      </w:r>
      <w:r w:rsidR="004C5E64" w:rsidRPr="0000499F">
        <w:rPr>
          <w:rFonts w:ascii="Calibri" w:eastAsia="Calibri" w:hAnsi="Calibri" w:cs="Calibri"/>
          <w:b/>
          <w:bCs/>
          <w:smallCaps/>
          <w:u w:color="000000"/>
          <w:lang w:val="en-US"/>
        </w:rPr>
        <w:t xml:space="preserve"> Executive Board meeting</w:t>
      </w:r>
    </w:p>
    <w:p w14:paraId="1F85E006" w14:textId="77777777" w:rsidR="00334D6D" w:rsidRPr="0000499F" w:rsidRDefault="004C5E64">
      <w:pPr>
        <w:pStyle w:val="Body"/>
        <w:rPr>
          <w:rFonts w:ascii="Calibri" w:eastAsia="Calibri" w:hAnsi="Calibri" w:cs="Calibri"/>
          <w:b/>
          <w:bCs/>
          <w:smallCaps/>
          <w:u w:color="000000"/>
        </w:rPr>
      </w:pPr>
      <w:r w:rsidRPr="0000499F">
        <w:rPr>
          <w:rFonts w:ascii="Calibri" w:eastAsia="Calibri" w:hAnsi="Calibri" w:cs="Calibri"/>
          <w:b/>
          <w:bCs/>
          <w:smallCaps/>
          <w:u w:color="000000"/>
          <w:lang w:val="en-US"/>
        </w:rPr>
        <w:t>Rome, Italy</w:t>
      </w:r>
    </w:p>
    <w:p w14:paraId="6DF0081D" w14:textId="2E405CE9" w:rsidR="00334D6D" w:rsidRPr="0000499F" w:rsidRDefault="004C5E64">
      <w:pPr>
        <w:pStyle w:val="Body"/>
        <w:rPr>
          <w:rFonts w:ascii="Calibri" w:eastAsia="Calibri" w:hAnsi="Calibri" w:cs="Calibri"/>
          <w:b/>
          <w:bCs/>
          <w:smallCaps/>
          <w:u w:color="000000"/>
          <w:lang w:val="en-US"/>
        </w:rPr>
      </w:pPr>
      <w:r w:rsidRPr="0000499F">
        <w:rPr>
          <w:rFonts w:ascii="Calibri" w:eastAsia="Calibri" w:hAnsi="Calibri" w:cs="Calibri"/>
          <w:b/>
          <w:bCs/>
          <w:smallCaps/>
          <w:u w:color="000000"/>
          <w:lang w:val="en-US"/>
        </w:rPr>
        <w:t>1</w:t>
      </w:r>
      <w:r w:rsidR="00595818" w:rsidRPr="0000499F">
        <w:rPr>
          <w:rFonts w:ascii="Calibri" w:eastAsia="Calibri" w:hAnsi="Calibri" w:cs="Calibri"/>
          <w:b/>
          <w:bCs/>
          <w:smallCaps/>
          <w:u w:color="000000"/>
          <w:lang w:val="en-US"/>
        </w:rPr>
        <w:t>8</w:t>
      </w:r>
      <w:r w:rsidRPr="0000499F">
        <w:rPr>
          <w:rFonts w:ascii="Calibri" w:eastAsia="Calibri" w:hAnsi="Calibri" w:cs="Calibri"/>
          <w:b/>
          <w:bCs/>
          <w:smallCaps/>
          <w:u w:color="000000"/>
          <w:lang w:val="en-US"/>
        </w:rPr>
        <w:t>-1</w:t>
      </w:r>
      <w:r w:rsidR="00595818" w:rsidRPr="0000499F">
        <w:rPr>
          <w:rFonts w:ascii="Calibri" w:eastAsia="Calibri" w:hAnsi="Calibri" w:cs="Calibri"/>
          <w:b/>
          <w:bCs/>
          <w:smallCaps/>
          <w:u w:color="000000"/>
          <w:lang w:val="en-US"/>
        </w:rPr>
        <w:t>9</w:t>
      </w:r>
      <w:r w:rsidRPr="0000499F">
        <w:rPr>
          <w:rFonts w:ascii="Calibri" w:eastAsia="Calibri" w:hAnsi="Calibri" w:cs="Calibri"/>
          <w:b/>
          <w:bCs/>
          <w:smallCaps/>
          <w:u w:color="000000"/>
          <w:lang w:val="en-US"/>
        </w:rPr>
        <w:t xml:space="preserve"> </w:t>
      </w:r>
      <w:r w:rsidR="00FF4432" w:rsidRPr="0000499F">
        <w:rPr>
          <w:rFonts w:ascii="Calibri" w:eastAsia="Calibri" w:hAnsi="Calibri" w:cs="Calibri"/>
          <w:b/>
          <w:bCs/>
          <w:smallCaps/>
          <w:u w:color="000000"/>
          <w:lang w:val="en-US"/>
        </w:rPr>
        <w:t>October</w:t>
      </w:r>
      <w:r w:rsidRPr="0000499F">
        <w:rPr>
          <w:rFonts w:ascii="Calibri" w:eastAsia="Calibri" w:hAnsi="Calibri" w:cs="Calibri"/>
          <w:b/>
          <w:bCs/>
          <w:smallCaps/>
          <w:u w:color="000000"/>
          <w:lang w:val="en-US"/>
        </w:rPr>
        <w:t xml:space="preserve"> 201</w:t>
      </w:r>
      <w:r w:rsidR="00FF4432" w:rsidRPr="0000499F">
        <w:rPr>
          <w:rFonts w:ascii="Calibri" w:eastAsia="Calibri" w:hAnsi="Calibri" w:cs="Calibri"/>
          <w:b/>
          <w:bCs/>
          <w:smallCaps/>
          <w:u w:color="000000"/>
          <w:lang w:val="en-US"/>
        </w:rPr>
        <w:t>8</w:t>
      </w:r>
    </w:p>
    <w:p w14:paraId="2C743ABF" w14:textId="77777777" w:rsidR="005B771E" w:rsidRPr="0000499F" w:rsidRDefault="005B771E" w:rsidP="005B771E">
      <w:pPr>
        <w:pStyle w:val="Body"/>
        <w:jc w:val="center"/>
        <w:rPr>
          <w:rFonts w:ascii="Calibri" w:eastAsia="Calibri" w:hAnsi="Calibri" w:cs="Calibri"/>
          <w:b/>
          <w:bCs/>
          <w:smallCaps/>
          <w:u w:color="000000"/>
          <w:lang w:val="en-US"/>
        </w:rPr>
      </w:pPr>
    </w:p>
    <w:p w14:paraId="2517D050" w14:textId="77777777" w:rsidR="0000499F" w:rsidRPr="0000499F" w:rsidRDefault="0000499F" w:rsidP="0000499F">
      <w:pPr>
        <w:pStyle w:val="Body"/>
        <w:spacing w:after="120"/>
        <w:jc w:val="center"/>
        <w:rPr>
          <w:rFonts w:ascii="Calibri" w:eastAsia="Calibri" w:hAnsi="Calibri" w:cs="Calibri"/>
          <w:b/>
          <w:bCs/>
          <w:smallCaps/>
          <w:u w:color="000000"/>
          <w:lang w:val="en-US"/>
        </w:rPr>
      </w:pPr>
      <w:r w:rsidRPr="0000499F">
        <w:rPr>
          <w:rFonts w:ascii="Calibri" w:eastAsia="Calibri" w:hAnsi="Calibri" w:cs="Calibri"/>
          <w:b/>
          <w:bCs/>
          <w:smallCaps/>
          <w:u w:color="000000"/>
          <w:lang w:val="en-US"/>
        </w:rPr>
        <w:t>Information Note</w:t>
      </w:r>
    </w:p>
    <w:p w14:paraId="01FE6EC2" w14:textId="4BDBDC94" w:rsidR="005B771E" w:rsidRPr="0000499F" w:rsidRDefault="0000499F" w:rsidP="005B771E">
      <w:pPr>
        <w:pStyle w:val="Body"/>
        <w:jc w:val="center"/>
        <w:rPr>
          <w:rFonts w:ascii="Calibri" w:eastAsia="Calibri" w:hAnsi="Calibri" w:cs="Calibri"/>
          <w:b/>
          <w:bCs/>
          <w:smallCaps/>
          <w:u w:color="000000"/>
        </w:rPr>
      </w:pPr>
      <w:r w:rsidRPr="0000499F">
        <w:rPr>
          <w:rFonts w:ascii="Calibri" w:eastAsia="Calibri" w:hAnsi="Calibri" w:cs="Calibri"/>
          <w:b/>
          <w:bCs/>
          <w:smallCaps/>
          <w:u w:color="000000"/>
          <w:lang w:val="en-US"/>
        </w:rPr>
        <w:t>Background on</w:t>
      </w:r>
      <w:r w:rsidRPr="0000499F">
        <w:rPr>
          <w:rFonts w:ascii="Calibri" w:eastAsia="Calibri" w:hAnsi="Calibri" w:cs="Calibri"/>
          <w:b/>
          <w:bCs/>
          <w:smallCaps/>
          <w:u w:color="000000"/>
          <w:lang w:val="en-US"/>
        </w:rPr>
        <w:tab/>
        <w:t>REDD+ and Cooperative Approaches in Support of NDCs</w:t>
      </w:r>
    </w:p>
    <w:p w14:paraId="18EBB2E4" w14:textId="77777777" w:rsidR="00334D6D" w:rsidRPr="0000499F" w:rsidRDefault="00334D6D">
      <w:pPr>
        <w:pStyle w:val="Body"/>
        <w:rPr>
          <w:rFonts w:ascii="Calibri" w:eastAsia="Calibri" w:hAnsi="Calibri" w:cs="Calibri"/>
          <w:u w:color="000000"/>
        </w:rPr>
      </w:pPr>
    </w:p>
    <w:p w14:paraId="4916E9E2" w14:textId="77777777" w:rsidR="0000499F" w:rsidRPr="0000499F" w:rsidRDefault="0000499F" w:rsidP="0000499F">
      <w:pPr>
        <w:rPr>
          <w:rFonts w:ascii="Calibri" w:hAnsi="Calibri"/>
          <w:b/>
          <w:sz w:val="22"/>
          <w:szCs w:val="22"/>
        </w:rPr>
      </w:pPr>
    </w:p>
    <w:p w14:paraId="32DFD3F2" w14:textId="77777777" w:rsidR="0000499F" w:rsidRPr="0000499F" w:rsidRDefault="0000499F" w:rsidP="0000499F">
      <w:pPr>
        <w:rPr>
          <w:rFonts w:ascii="Calibri" w:hAnsi="Calibri"/>
          <w:b/>
          <w:sz w:val="22"/>
          <w:szCs w:val="22"/>
        </w:rPr>
      </w:pPr>
      <w:r w:rsidRPr="0000499F">
        <w:rPr>
          <w:rFonts w:ascii="Calibri" w:hAnsi="Calibri"/>
          <w:b/>
          <w:sz w:val="22"/>
          <w:szCs w:val="22"/>
        </w:rPr>
        <w:t xml:space="preserve">Session Objectives </w:t>
      </w:r>
    </w:p>
    <w:p w14:paraId="4FD2BB16" w14:textId="77777777" w:rsidR="0000499F" w:rsidRPr="0000499F" w:rsidRDefault="0000499F" w:rsidP="0000499F">
      <w:pPr>
        <w:rPr>
          <w:rFonts w:ascii="Calibri" w:hAnsi="Calibri"/>
          <w:b/>
          <w:sz w:val="22"/>
          <w:szCs w:val="22"/>
        </w:rPr>
      </w:pPr>
    </w:p>
    <w:p w14:paraId="62602277" w14:textId="77777777" w:rsidR="0000499F" w:rsidRPr="0000499F" w:rsidRDefault="0000499F" w:rsidP="0000499F">
      <w:pPr>
        <w:pStyle w:val="ListParagraph"/>
        <w:numPr>
          <w:ilvl w:val="0"/>
          <w:numId w:val="3"/>
        </w:numPr>
        <w:ind w:left="720"/>
        <w:rPr>
          <w:rFonts w:ascii="Calibri" w:hAnsi="Calibri"/>
          <w:lang w:val="en-GB"/>
        </w:rPr>
      </w:pPr>
      <w:r w:rsidRPr="0000499F">
        <w:rPr>
          <w:rFonts w:ascii="Calibri" w:hAnsi="Calibri"/>
          <w:lang w:val="en-GB"/>
        </w:rPr>
        <w:t>This knowledge session will present an overview of forests and REDD+ in the NDCs, as well as the current status of UNFCCC negotiations on Article 6.</w:t>
      </w:r>
    </w:p>
    <w:p w14:paraId="1D172984" w14:textId="77777777" w:rsidR="0000499F" w:rsidRPr="0000499F" w:rsidRDefault="0000499F" w:rsidP="0000499F">
      <w:pPr>
        <w:pStyle w:val="ListParagraph"/>
        <w:numPr>
          <w:ilvl w:val="0"/>
          <w:numId w:val="3"/>
        </w:numPr>
        <w:ind w:left="720"/>
        <w:rPr>
          <w:rFonts w:ascii="Calibri" w:hAnsi="Calibri"/>
          <w:lang w:val="en-GB"/>
        </w:rPr>
      </w:pPr>
      <w:r w:rsidRPr="0000499F">
        <w:rPr>
          <w:rFonts w:ascii="Calibri" w:hAnsi="Calibri"/>
          <w:lang w:val="en-GB"/>
        </w:rPr>
        <w:t>During the session, initial discussion will be promoted, on potential implications for REDD+, including, for example, complementarities between results-based finance and cooperative approaches, as well as options and issues for operationalizing potential transfer of ownership of emission reductions.</w:t>
      </w:r>
    </w:p>
    <w:p w14:paraId="1CA07137" w14:textId="77777777" w:rsidR="0000499F" w:rsidRPr="0000499F" w:rsidRDefault="0000499F" w:rsidP="0000499F">
      <w:pPr>
        <w:pStyle w:val="ListParagraph"/>
        <w:numPr>
          <w:ilvl w:val="0"/>
          <w:numId w:val="3"/>
        </w:numPr>
        <w:ind w:left="720"/>
        <w:rPr>
          <w:rFonts w:ascii="Calibri" w:hAnsi="Calibri"/>
          <w:lang w:val="en-GB"/>
        </w:rPr>
      </w:pPr>
      <w:r w:rsidRPr="0000499F">
        <w:rPr>
          <w:rFonts w:ascii="Calibri" w:hAnsi="Calibri"/>
          <w:lang w:val="en-GB"/>
        </w:rPr>
        <w:t>The session will provide a foundation for related discussions to continue in the sessions immediately following.</w:t>
      </w:r>
    </w:p>
    <w:p w14:paraId="522410AA" w14:textId="77777777" w:rsidR="0000499F" w:rsidRPr="0000499F" w:rsidRDefault="0000499F" w:rsidP="0000499F">
      <w:pPr>
        <w:rPr>
          <w:rFonts w:ascii="Calibri" w:hAnsi="Calibri"/>
          <w:b/>
          <w:sz w:val="22"/>
          <w:szCs w:val="22"/>
        </w:rPr>
      </w:pPr>
    </w:p>
    <w:p w14:paraId="4CA020C0" w14:textId="77777777" w:rsidR="0000499F" w:rsidRPr="0000499F" w:rsidRDefault="0000499F" w:rsidP="0000499F">
      <w:pPr>
        <w:rPr>
          <w:rFonts w:ascii="Calibri" w:hAnsi="Calibri"/>
          <w:b/>
          <w:sz w:val="22"/>
          <w:szCs w:val="22"/>
        </w:rPr>
      </w:pPr>
      <w:r w:rsidRPr="0000499F">
        <w:rPr>
          <w:rFonts w:ascii="Calibri" w:hAnsi="Calibri"/>
          <w:b/>
          <w:sz w:val="22"/>
          <w:szCs w:val="22"/>
        </w:rPr>
        <w:t>Introduction</w:t>
      </w:r>
    </w:p>
    <w:p w14:paraId="36153B2B" w14:textId="77777777" w:rsidR="0000499F" w:rsidRPr="0000499F" w:rsidRDefault="0000499F" w:rsidP="0000499F">
      <w:pPr>
        <w:rPr>
          <w:rFonts w:ascii="Calibri" w:hAnsi="Calibri"/>
          <w:b/>
          <w:sz w:val="22"/>
          <w:szCs w:val="22"/>
        </w:rPr>
      </w:pPr>
    </w:p>
    <w:p w14:paraId="678BBD28" w14:textId="77777777" w:rsidR="0000499F" w:rsidRPr="0000499F" w:rsidRDefault="0000499F" w:rsidP="0000499F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color w:val="000000"/>
          <w:lang w:val="en-CA"/>
        </w:rPr>
      </w:pPr>
      <w:r w:rsidRPr="0000499F">
        <w:rPr>
          <w:rFonts w:ascii="Calibri" w:eastAsia="Times New Roman" w:hAnsi="Calibri" w:cs="Times New Roman"/>
          <w:color w:val="000000"/>
          <w:lang w:val="en-CA"/>
        </w:rPr>
        <w:t xml:space="preserve">The land use sector, including forests, is represented in the majority of Nationally Determined Contributions (NDCs). 54% of countries included Land Use, Land-Use Change and Forestry (LULUCF) as part of an economy-wide target, while many more (approximately 77%) reference, in some way, a contribution to be made from LULUCF. </w:t>
      </w:r>
    </w:p>
    <w:p w14:paraId="76E48DE1" w14:textId="77777777" w:rsidR="0000499F" w:rsidRPr="0000499F" w:rsidRDefault="0000499F" w:rsidP="0000499F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color w:val="000000"/>
          <w:lang w:val="en-CA"/>
        </w:rPr>
      </w:pPr>
      <w:r w:rsidRPr="0000499F">
        <w:rPr>
          <w:rFonts w:ascii="Calibri" w:eastAsia="Times New Roman" w:hAnsi="Calibri" w:cs="Times New Roman"/>
          <w:color w:val="000000"/>
          <w:lang w:val="en-CA"/>
        </w:rPr>
        <w:t>A number of REDD+ countries, in particular, highlight the key contribution to be made by forest-related activities to meet their NDC goals. Approaches range from inclusion of LULUCF in a multi-sectoral or economy-wide target, specific LULUCF targets, and/or specific indication of activities to be implemented as part of the NDC, such as REDD+, zero-deforestation agriculture, agroforestry or improved cook stoves.</w:t>
      </w:r>
    </w:p>
    <w:p w14:paraId="3923F596" w14:textId="77777777" w:rsidR="0000499F" w:rsidRPr="0000499F" w:rsidRDefault="0000499F" w:rsidP="0000499F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color w:val="000000"/>
          <w:lang w:val="en-CA"/>
        </w:rPr>
      </w:pPr>
      <w:r w:rsidRPr="0000499F">
        <w:rPr>
          <w:rFonts w:ascii="Calibri" w:eastAsia="Times New Roman" w:hAnsi="Calibri" w:cs="Times New Roman"/>
          <w:color w:val="000000"/>
          <w:lang w:val="en-CA"/>
        </w:rPr>
        <w:t>Overall, the LULUCF sector represents 25% of planned emission reductions in current NDCs, making the role of LULUCF in the NDCs second only to the energy sector.</w:t>
      </w:r>
    </w:p>
    <w:p w14:paraId="33915748" w14:textId="2E46A817" w:rsidR="0000499F" w:rsidRPr="0000499F" w:rsidRDefault="0000499F" w:rsidP="0000499F">
      <w:pPr>
        <w:pStyle w:val="ListParagraph"/>
        <w:numPr>
          <w:ilvl w:val="0"/>
          <w:numId w:val="2"/>
        </w:numPr>
        <w:rPr>
          <w:rFonts w:ascii="Calibri" w:eastAsia="Times New Roman" w:hAnsi="Calibri" w:cstheme="majorHAnsi"/>
          <w:color w:val="000000"/>
          <w:lang w:val="en-CA"/>
        </w:rPr>
      </w:pPr>
      <w:r w:rsidRPr="0000499F">
        <w:rPr>
          <w:rFonts w:ascii="Calibri" w:eastAsia="Times New Roman" w:hAnsi="Calibri" w:cs="Times New Roman"/>
          <w:color w:val="000000"/>
          <w:lang w:val="en-CA"/>
        </w:rPr>
        <w:t>However, the potential to be harnessed is even greater, given that “natural climate solutions,” including</w:t>
      </w:r>
      <w:r w:rsidR="00D008A4">
        <w:rPr>
          <w:rFonts w:ascii="Calibri" w:eastAsia="Times New Roman" w:hAnsi="Calibri" w:cs="Times New Roman"/>
          <w:color w:val="000000"/>
          <w:lang w:val="en-CA"/>
        </w:rPr>
        <w:t xml:space="preserve"> forests, can deliver up to 30</w:t>
      </w:r>
      <w:bookmarkStart w:id="0" w:name="_GoBack"/>
      <w:bookmarkEnd w:id="0"/>
      <w:r w:rsidRPr="0000499F">
        <w:rPr>
          <w:rFonts w:ascii="Calibri" w:eastAsia="Times New Roman" w:hAnsi="Calibri" w:cs="Times New Roman"/>
          <w:color w:val="000000"/>
          <w:lang w:val="en-CA"/>
        </w:rPr>
        <w:t>% globally of cost-effective CO</w:t>
      </w:r>
      <w:r w:rsidRPr="0000499F">
        <w:rPr>
          <w:rFonts w:ascii="Calibri" w:eastAsia="Times New Roman" w:hAnsi="Calibri" w:cs="Times New Roman"/>
          <w:color w:val="000000"/>
          <w:vertAlign w:val="subscript"/>
          <w:lang w:val="en-CA"/>
        </w:rPr>
        <w:t>2</w:t>
      </w:r>
      <w:r w:rsidRPr="0000499F">
        <w:rPr>
          <w:rFonts w:ascii="Calibri" w:eastAsia="Times New Roman" w:hAnsi="Calibri" w:cs="Times New Roman"/>
          <w:color w:val="000000"/>
          <w:lang w:val="en-CA"/>
        </w:rPr>
        <w:t xml:space="preserve"> mitigation needed through 2030</w:t>
      </w:r>
      <w:r w:rsidRPr="0000499F">
        <w:rPr>
          <w:rFonts w:ascii="Calibri" w:hAnsi="Calibri"/>
          <w:lang w:val="en-GB"/>
        </w:rPr>
        <w:t xml:space="preserve"> </w:t>
      </w:r>
      <w:r w:rsidRPr="0000499F">
        <w:rPr>
          <w:rFonts w:ascii="Calibri" w:hAnsi="Calibri" w:cstheme="majorHAnsi"/>
          <w:lang w:val="en-GB"/>
        </w:rPr>
        <w:t xml:space="preserve">to keep </w:t>
      </w:r>
      <w:r w:rsidRPr="0000499F">
        <w:rPr>
          <w:rFonts w:ascii="Calibri" w:eastAsia="Times New Roman" w:hAnsi="Calibri" w:cstheme="majorHAnsi"/>
          <w:color w:val="000000"/>
          <w:lang w:val="en-CA"/>
        </w:rPr>
        <w:t xml:space="preserve">warming well below 2°C. </w:t>
      </w:r>
    </w:p>
    <w:p w14:paraId="69CE2C30" w14:textId="77777777" w:rsidR="0000499F" w:rsidRPr="0000499F" w:rsidRDefault="0000499F" w:rsidP="0000499F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color w:val="000000"/>
          <w:lang w:val="en-CA"/>
        </w:rPr>
      </w:pPr>
      <w:r w:rsidRPr="0000499F">
        <w:rPr>
          <w:rFonts w:ascii="Calibri" w:eastAsia="Times New Roman" w:hAnsi="Calibri" w:cs="Times New Roman"/>
          <w:color w:val="000000"/>
          <w:lang w:val="en-CA"/>
        </w:rPr>
        <w:t>Article 6 of the Paris Agreement presents new opportunities for cooperation between Parties to enhance global climate change mitigation efforts toward meeting the long-term temperature goal, through the NDCs.</w:t>
      </w:r>
      <w:r w:rsidRPr="0000499F">
        <w:rPr>
          <w:rFonts w:ascii="Calibri" w:hAnsi="Calibri"/>
          <w:lang w:val="en-GB"/>
        </w:rPr>
        <w:t xml:space="preserve"> </w:t>
      </w:r>
      <w:r w:rsidRPr="0000499F">
        <w:rPr>
          <w:rFonts w:ascii="Calibri" w:eastAsia="Times New Roman" w:hAnsi="Calibri" w:cs="Times New Roman"/>
          <w:color w:val="000000"/>
          <w:lang w:val="en-CA"/>
        </w:rPr>
        <w:t>Article 6.2 of the Paris Agreement allows UNFCCC Parties to voluntarily engage in “cooperative approaches” involving the use of Internationally Transferred Mitigation Outcomes (ITMOs) towards NDCs, while Article 6.4 establishes a mechanism for greenhouse gas mitigation and fostering sustainable development.</w:t>
      </w:r>
    </w:p>
    <w:p w14:paraId="25820EC5" w14:textId="77777777" w:rsidR="0000499F" w:rsidRPr="0000499F" w:rsidRDefault="0000499F" w:rsidP="0000499F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color w:val="000000"/>
          <w:lang w:val="en-CA"/>
        </w:rPr>
      </w:pPr>
      <w:r w:rsidRPr="0000499F">
        <w:rPr>
          <w:rFonts w:ascii="Calibri" w:eastAsia="Times New Roman" w:hAnsi="Calibri" w:cs="Times New Roman"/>
          <w:color w:val="000000"/>
          <w:lang w:val="en-CA"/>
        </w:rPr>
        <w:t>Considering UNFCCC negotiations on Article 6 are still under way, however, there are divergent views and uncertainty around the eligibility criteria, guidance, rules, procedures and institutional arrangements to be put into place.</w:t>
      </w:r>
    </w:p>
    <w:p w14:paraId="097D7389" w14:textId="77777777" w:rsidR="0000499F" w:rsidRPr="0000499F" w:rsidRDefault="0000499F" w:rsidP="0000499F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color w:val="000000"/>
          <w:lang w:val="en-CA"/>
        </w:rPr>
      </w:pPr>
      <w:r w:rsidRPr="0000499F">
        <w:rPr>
          <w:rFonts w:ascii="Calibri" w:eastAsia="Times New Roman" w:hAnsi="Calibri" w:cs="Times New Roman"/>
          <w:color w:val="000000"/>
          <w:lang w:val="en-CA"/>
        </w:rPr>
        <w:lastRenderedPageBreak/>
        <w:t xml:space="preserve">Though it is not yet </w:t>
      </w:r>
      <w:proofErr w:type="gramStart"/>
      <w:r w:rsidRPr="0000499F">
        <w:rPr>
          <w:rFonts w:ascii="Calibri" w:eastAsia="Times New Roman" w:hAnsi="Calibri" w:cs="Times New Roman"/>
          <w:color w:val="000000"/>
          <w:lang w:val="en-CA"/>
        </w:rPr>
        <w:t>clear</w:t>
      </w:r>
      <w:proofErr w:type="gramEnd"/>
      <w:r w:rsidRPr="0000499F">
        <w:rPr>
          <w:rFonts w:ascii="Calibri" w:eastAsia="Times New Roman" w:hAnsi="Calibri" w:cs="Times New Roman"/>
          <w:color w:val="000000"/>
          <w:lang w:val="en-CA"/>
        </w:rPr>
        <w:t>, therefore, if and how forests and/or REDD+ may be included in future cooperative approaches and/or the mechanism established under Art. 6.4, it is important to follow the Article 6 negotiations as they evolve, and consider the potential implications for REDD+, in the broader context of NDCs.</w:t>
      </w:r>
    </w:p>
    <w:p w14:paraId="2CC60BB0" w14:textId="77777777" w:rsidR="0000499F" w:rsidRPr="0000499F" w:rsidRDefault="0000499F" w:rsidP="0000499F">
      <w:pPr>
        <w:rPr>
          <w:rFonts w:ascii="Calibri" w:eastAsia="Times New Roman" w:hAnsi="Calibri"/>
          <w:b/>
          <w:color w:val="000000"/>
          <w:sz w:val="22"/>
          <w:szCs w:val="22"/>
          <w:lang w:val="en-CA"/>
        </w:rPr>
      </w:pPr>
      <w:r w:rsidRPr="0000499F">
        <w:rPr>
          <w:rFonts w:ascii="Calibri" w:eastAsia="Times New Roman" w:hAnsi="Calibri"/>
          <w:b/>
          <w:color w:val="000000"/>
          <w:sz w:val="22"/>
          <w:szCs w:val="22"/>
          <w:lang w:val="en-CA"/>
        </w:rPr>
        <w:t>Considerations for Forests and REDD+ in the Context of Article 6 and NDCs</w:t>
      </w:r>
    </w:p>
    <w:p w14:paraId="44BB2C43" w14:textId="77777777" w:rsidR="0000499F" w:rsidRPr="0000499F" w:rsidRDefault="0000499F" w:rsidP="0000499F">
      <w:pPr>
        <w:rPr>
          <w:rFonts w:ascii="Calibri" w:eastAsia="Times New Roman" w:hAnsi="Calibri"/>
          <w:b/>
          <w:color w:val="000000"/>
          <w:sz w:val="22"/>
          <w:szCs w:val="22"/>
          <w:lang w:val="en-CA"/>
        </w:rPr>
      </w:pPr>
    </w:p>
    <w:p w14:paraId="5B9DF190" w14:textId="77777777" w:rsidR="0000499F" w:rsidRPr="0000499F" w:rsidRDefault="0000499F" w:rsidP="0000499F">
      <w:pPr>
        <w:pStyle w:val="ListParagraph"/>
        <w:numPr>
          <w:ilvl w:val="0"/>
          <w:numId w:val="1"/>
        </w:numPr>
        <w:rPr>
          <w:rFonts w:ascii="Calibri" w:eastAsia="Times New Roman" w:hAnsi="Calibri" w:cs="Times New Roman"/>
          <w:color w:val="000000"/>
          <w:lang w:val="en-CA"/>
        </w:rPr>
      </w:pPr>
      <w:r w:rsidRPr="0000499F">
        <w:rPr>
          <w:rFonts w:ascii="Calibri" w:eastAsia="Times New Roman" w:hAnsi="Calibri" w:cs="Times New Roman"/>
          <w:color w:val="000000"/>
          <w:lang w:val="en-CA"/>
        </w:rPr>
        <w:t xml:space="preserve">REDD+ forest reference levels and the corresponding results are developed in the context of seeking results-based payments in line with the UNFCCC framework. </w:t>
      </w:r>
    </w:p>
    <w:p w14:paraId="5548F861" w14:textId="77777777" w:rsidR="0000499F" w:rsidRPr="0000499F" w:rsidRDefault="0000499F" w:rsidP="0000499F">
      <w:pPr>
        <w:pStyle w:val="ListParagraph"/>
        <w:numPr>
          <w:ilvl w:val="0"/>
          <w:numId w:val="1"/>
        </w:numPr>
        <w:rPr>
          <w:rFonts w:ascii="Calibri" w:eastAsia="Times New Roman" w:hAnsi="Calibri" w:cs="Times New Roman"/>
          <w:color w:val="000000"/>
          <w:lang w:val="en-CA"/>
        </w:rPr>
      </w:pPr>
      <w:r w:rsidRPr="0000499F">
        <w:rPr>
          <w:rFonts w:ascii="Calibri" w:eastAsia="Times New Roman" w:hAnsi="Calibri" w:cs="Times New Roman"/>
          <w:color w:val="000000"/>
          <w:lang w:val="en-CA"/>
        </w:rPr>
        <w:t>Cooperative approaches and the Sustainable Development Mechanism (SDM) under Article 6 could complement results-based finance/results-based payments to provide an appropriate level of investment in forests in developing countries.</w:t>
      </w:r>
    </w:p>
    <w:p w14:paraId="6B6D7D9F" w14:textId="77777777" w:rsidR="0000499F" w:rsidRPr="0000499F" w:rsidRDefault="0000499F" w:rsidP="0000499F">
      <w:pPr>
        <w:pStyle w:val="ListParagraph"/>
        <w:numPr>
          <w:ilvl w:val="0"/>
          <w:numId w:val="1"/>
        </w:numPr>
        <w:rPr>
          <w:rFonts w:ascii="Calibri" w:eastAsia="Times New Roman" w:hAnsi="Calibri" w:cs="Times New Roman"/>
          <w:color w:val="000000"/>
          <w:lang w:val="en-CA"/>
        </w:rPr>
      </w:pPr>
      <w:r w:rsidRPr="0000499F">
        <w:rPr>
          <w:rFonts w:ascii="Calibri" w:eastAsia="Times New Roman" w:hAnsi="Calibri" w:cs="Times New Roman"/>
          <w:color w:val="000000"/>
          <w:lang w:val="en-CA"/>
        </w:rPr>
        <w:t>While the Warsaw Framework for REDD+, in Decision 14/CP.19, leaves the door open to “</w:t>
      </w:r>
      <w:r w:rsidRPr="0000499F">
        <w:rPr>
          <w:rFonts w:ascii="Calibri" w:eastAsia="Times New Roman" w:hAnsi="Calibri" w:cs="Times New Roman"/>
          <w:i/>
          <w:color w:val="000000"/>
          <w:lang w:val="en-CA"/>
        </w:rPr>
        <w:t>results-based actions that may be eligible to appropriate market-based approaches that could be developed by the Conference of the Parties to the UNFCCC</w:t>
      </w:r>
      <w:r w:rsidRPr="0000499F">
        <w:rPr>
          <w:rFonts w:ascii="Calibri" w:eastAsia="Times New Roman" w:hAnsi="Calibri" w:cs="Times New Roman"/>
          <w:color w:val="000000"/>
          <w:lang w:val="en-CA"/>
        </w:rPr>
        <w:t>”, it also recognizes that such actions “</w:t>
      </w:r>
      <w:r w:rsidRPr="0000499F">
        <w:rPr>
          <w:rFonts w:ascii="Calibri" w:eastAsia="Times New Roman" w:hAnsi="Calibri" w:cs="Times New Roman"/>
          <w:i/>
          <w:color w:val="000000"/>
          <w:lang w:val="en-CA"/>
        </w:rPr>
        <w:t>may be subject to any further specific modalities for verification consistent with any relevant decision of the Conference of the Parties</w:t>
      </w:r>
      <w:r w:rsidRPr="0000499F">
        <w:rPr>
          <w:rFonts w:ascii="Calibri" w:eastAsia="Times New Roman" w:hAnsi="Calibri" w:cs="Times New Roman"/>
          <w:color w:val="000000"/>
          <w:lang w:val="en-CA"/>
        </w:rPr>
        <w:t xml:space="preserve">”. </w:t>
      </w:r>
    </w:p>
    <w:p w14:paraId="62793B8A" w14:textId="77777777" w:rsidR="0000499F" w:rsidRPr="0000499F" w:rsidRDefault="0000499F" w:rsidP="0000499F">
      <w:pPr>
        <w:pStyle w:val="ListParagraph"/>
        <w:numPr>
          <w:ilvl w:val="0"/>
          <w:numId w:val="1"/>
        </w:numPr>
        <w:rPr>
          <w:rFonts w:ascii="Calibri" w:eastAsia="Times New Roman" w:hAnsi="Calibri" w:cs="Times New Roman"/>
          <w:color w:val="000000"/>
          <w:lang w:val="en-CA"/>
        </w:rPr>
      </w:pPr>
      <w:r w:rsidRPr="0000499F">
        <w:rPr>
          <w:rFonts w:ascii="Calibri" w:eastAsia="Times New Roman" w:hAnsi="Calibri" w:cs="Times New Roman"/>
          <w:color w:val="000000"/>
          <w:lang w:val="en-CA"/>
        </w:rPr>
        <w:t xml:space="preserve">The Warsaw Framework, therefore, does not include the necessary rules and guidance that would be needed to enable the transfer of REDD+ emission reduction units in the context of UNFCCC. </w:t>
      </w:r>
    </w:p>
    <w:p w14:paraId="5FEE03DC" w14:textId="77777777" w:rsidR="0000499F" w:rsidRPr="0000499F" w:rsidRDefault="0000499F" w:rsidP="0000499F">
      <w:pPr>
        <w:pStyle w:val="ListParagraph"/>
        <w:numPr>
          <w:ilvl w:val="0"/>
          <w:numId w:val="1"/>
        </w:numPr>
        <w:rPr>
          <w:rFonts w:ascii="Calibri" w:eastAsia="Times New Roman" w:hAnsi="Calibri" w:cs="Times New Roman"/>
          <w:color w:val="000000"/>
          <w:lang w:val="en-CA"/>
        </w:rPr>
      </w:pPr>
      <w:r w:rsidRPr="0000499F">
        <w:rPr>
          <w:rFonts w:ascii="Calibri" w:eastAsia="Times New Roman" w:hAnsi="Calibri" w:cs="Times New Roman"/>
          <w:color w:val="000000"/>
          <w:lang w:val="en-CA"/>
        </w:rPr>
        <w:t>There are a number of strategic considerations to take into account in the context of potential Article 6 engagement. Unlike results-based payments in the context of UNFCCC, engaging in Article 6 is expected to have an impact on countries’ abilities to achieve their NDC targets/goals. Further, the relationship between the unconditional and conditional components of an NDC and ITMOs, as well as how this potentially relates to REDD+ under Article 6, are other issues which are useful to consider more closely.</w:t>
      </w:r>
    </w:p>
    <w:p w14:paraId="12C4B6AD" w14:textId="77777777" w:rsidR="003B64DA" w:rsidRPr="0000499F" w:rsidRDefault="003B64DA" w:rsidP="003B64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n-CA" w:eastAsia="en-AU"/>
        </w:rPr>
      </w:pPr>
    </w:p>
    <w:p w14:paraId="20EF7862" w14:textId="5FC64173" w:rsidR="00D17EA9" w:rsidRPr="0000499F" w:rsidRDefault="00D17EA9" w:rsidP="00D17E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  <w:lang w:val="en-AU" w:eastAsia="en-AU"/>
        </w:rPr>
      </w:pPr>
      <w:r w:rsidRPr="0000499F">
        <w:rPr>
          <w:rFonts w:ascii="Calibri" w:hAnsi="Calibri" w:cs="Calibri"/>
          <w:color w:val="000000"/>
          <w:sz w:val="22"/>
          <w:szCs w:val="22"/>
          <w:lang w:val="en-AU" w:eastAsia="en-AU"/>
        </w:rPr>
        <w:t>*****</w:t>
      </w:r>
    </w:p>
    <w:p w14:paraId="1DEA1694" w14:textId="77777777" w:rsidR="00D17EA9" w:rsidRPr="0000499F" w:rsidRDefault="00D17EA9" w:rsidP="003B64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n-AU" w:eastAsia="en-AU"/>
        </w:rPr>
      </w:pPr>
    </w:p>
    <w:p w14:paraId="1FA0C31F" w14:textId="77777777" w:rsidR="003B64DA" w:rsidRPr="0000499F" w:rsidRDefault="003B64DA" w:rsidP="00CC0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 w:cs="Calibri"/>
          <w:u w:color="000000"/>
        </w:rPr>
      </w:pPr>
    </w:p>
    <w:sectPr w:rsidR="003B64DA" w:rsidRPr="0000499F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C46871" w15:done="0"/>
  <w15:commentEx w15:paraId="0DA5ACE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C06A9" w14:textId="77777777" w:rsidR="00AF5F5D" w:rsidRDefault="00AF5F5D">
      <w:r>
        <w:separator/>
      </w:r>
    </w:p>
  </w:endnote>
  <w:endnote w:type="continuationSeparator" w:id="0">
    <w:p w14:paraId="7059631F" w14:textId="77777777" w:rsidR="00AF5F5D" w:rsidRDefault="00AF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ADFD9" w14:textId="77777777" w:rsidR="00334D6D" w:rsidRDefault="00334D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C8337" w14:textId="77777777" w:rsidR="00AF5F5D" w:rsidRDefault="00AF5F5D">
      <w:r>
        <w:separator/>
      </w:r>
    </w:p>
  </w:footnote>
  <w:footnote w:type="continuationSeparator" w:id="0">
    <w:p w14:paraId="226E9DF7" w14:textId="77777777" w:rsidR="00AF5F5D" w:rsidRDefault="00AF5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4BC81" w14:textId="77777777" w:rsidR="00334D6D" w:rsidRDefault="00334D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05C25"/>
    <w:multiLevelType w:val="hybridMultilevel"/>
    <w:tmpl w:val="5D804E24"/>
    <w:lvl w:ilvl="0" w:tplc="E53CE88C">
      <w:start w:val="6"/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BF2519B"/>
    <w:multiLevelType w:val="hybridMultilevel"/>
    <w:tmpl w:val="E3A601DE"/>
    <w:lvl w:ilvl="0" w:tplc="39FE2CC4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225F9"/>
    <w:multiLevelType w:val="hybridMultilevel"/>
    <w:tmpl w:val="4E707A86"/>
    <w:lvl w:ilvl="0" w:tplc="E53CE88C">
      <w:start w:val="6"/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szkoBriggs, Malgorzata (FOA)">
    <w15:presenceInfo w15:providerId="AD" w15:userId="S-1-5-21-2107199734-1002509562-578033828-701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6D"/>
    <w:rsid w:val="0000499F"/>
    <w:rsid w:val="000116E8"/>
    <w:rsid w:val="000314A8"/>
    <w:rsid w:val="00035063"/>
    <w:rsid w:val="00132FF7"/>
    <w:rsid w:val="00192E33"/>
    <w:rsid w:val="00196880"/>
    <w:rsid w:val="002538CD"/>
    <w:rsid w:val="002C3225"/>
    <w:rsid w:val="002C34C6"/>
    <w:rsid w:val="002D2141"/>
    <w:rsid w:val="00334D6D"/>
    <w:rsid w:val="00335EA9"/>
    <w:rsid w:val="003B64DA"/>
    <w:rsid w:val="00482DD9"/>
    <w:rsid w:val="004A58A3"/>
    <w:rsid w:val="004C5E64"/>
    <w:rsid w:val="00595818"/>
    <w:rsid w:val="005B771E"/>
    <w:rsid w:val="00646E2B"/>
    <w:rsid w:val="00691C2C"/>
    <w:rsid w:val="0073142D"/>
    <w:rsid w:val="00741A8F"/>
    <w:rsid w:val="00774FB1"/>
    <w:rsid w:val="00801D89"/>
    <w:rsid w:val="0082062F"/>
    <w:rsid w:val="008A2A32"/>
    <w:rsid w:val="008F2BAF"/>
    <w:rsid w:val="009504B1"/>
    <w:rsid w:val="009F2FF8"/>
    <w:rsid w:val="00A40D4B"/>
    <w:rsid w:val="00AF064C"/>
    <w:rsid w:val="00AF5F5D"/>
    <w:rsid w:val="00B23D59"/>
    <w:rsid w:val="00B36BCE"/>
    <w:rsid w:val="00B60311"/>
    <w:rsid w:val="00CC04A1"/>
    <w:rsid w:val="00D008A4"/>
    <w:rsid w:val="00D17EA9"/>
    <w:rsid w:val="00D96415"/>
    <w:rsid w:val="00DA418C"/>
    <w:rsid w:val="00DE413F"/>
    <w:rsid w:val="00E133ED"/>
    <w:rsid w:val="00EA7169"/>
    <w:rsid w:val="00F162FC"/>
    <w:rsid w:val="00F73F66"/>
    <w:rsid w:val="00FC61B1"/>
    <w:rsid w:val="00FF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04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Heading">
    <w:name w:val="Heading"/>
    <w:next w:val="Body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en-US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35063"/>
    <w:rPr>
      <w:color w:val="FF00FF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0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4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4B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4B1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4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4B1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49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fr-CH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0499F"/>
    <w:rPr>
      <w:rFonts w:asciiTheme="minorHAnsi" w:eastAsiaTheme="minorHAnsi" w:hAnsiTheme="minorHAnsi" w:cstheme="minorBidi"/>
      <w:sz w:val="22"/>
      <w:szCs w:val="22"/>
      <w:bdr w:val="none" w:sz="0" w:space="0" w:color="auto"/>
      <w:lang w:val="fr-CH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Heading">
    <w:name w:val="Heading"/>
    <w:next w:val="Body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en-US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35063"/>
    <w:rPr>
      <w:color w:val="FF00FF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0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4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4B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4B1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4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4B1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49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fr-CH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0499F"/>
    <w:rPr>
      <w:rFonts w:asciiTheme="minorHAnsi" w:eastAsiaTheme="minorHAnsi" w:hAnsiTheme="minorHAnsi" w:cstheme="minorBidi"/>
      <w:sz w:val="22"/>
      <w:szCs w:val="22"/>
      <w:bdr w:val="none" w:sz="0" w:space="0" w:color="auto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UN-REDD</dc:creator>
  <cp:lastModifiedBy>Mihaela Secrieru</cp:lastModifiedBy>
  <cp:revision>4</cp:revision>
  <dcterms:created xsi:type="dcterms:W3CDTF">2018-10-04T13:43:00Z</dcterms:created>
  <dcterms:modified xsi:type="dcterms:W3CDTF">2018-10-04T16:36:00Z</dcterms:modified>
</cp:coreProperties>
</file>